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176029" w14:textId="279F6373" w:rsidR="00D90962" w:rsidRPr="005017F9" w:rsidRDefault="00A378CD" w:rsidP="00A85EF7">
      <w:pPr>
        <w:rPr>
          <w:rFonts w:ascii="Arial" w:hAnsi="Arial" w:cs="Arial"/>
          <w:szCs w:val="24"/>
        </w:rPr>
      </w:pPr>
      <w:commentRangeStart w:id="0"/>
      <w:r w:rsidRPr="005017F9">
        <w:rPr>
          <w:rFonts w:ascii="Arial" w:hAnsi="Arial" w:cs="Arial"/>
          <w:szCs w:val="24"/>
        </w:rPr>
        <w:t>CD&amp;R Policy Brief Section 2</w:t>
      </w:r>
      <w:r w:rsidR="00354854" w:rsidRPr="005017F9">
        <w:rPr>
          <w:rFonts w:ascii="Arial" w:hAnsi="Arial" w:cs="Arial"/>
          <w:szCs w:val="24"/>
        </w:rPr>
        <w:t>: Capacity Building and Maintenance</w:t>
      </w:r>
    </w:p>
    <w:p w14:paraId="32E24735" w14:textId="28B6E7FA" w:rsidR="00354854" w:rsidRPr="005017F9" w:rsidRDefault="00A378CD" w:rsidP="00354854">
      <w:pPr>
        <w:rPr>
          <w:rFonts w:ascii="Arial" w:hAnsi="Arial" w:cs="Arial"/>
          <w:szCs w:val="24"/>
        </w:rPr>
      </w:pPr>
      <w:r w:rsidRPr="005017F9">
        <w:rPr>
          <w:rFonts w:ascii="Arial" w:hAnsi="Arial" w:cs="Arial"/>
          <w:szCs w:val="24"/>
        </w:rPr>
        <w:t>Leads: Erin Bascom and Juliana Grant</w:t>
      </w:r>
      <w:commentRangeEnd w:id="0"/>
      <w:r w:rsidR="008A035D">
        <w:rPr>
          <w:rStyle w:val="CommentReference"/>
        </w:rPr>
        <w:commentReference w:id="0"/>
      </w:r>
    </w:p>
    <w:p w14:paraId="10060B1C" w14:textId="0BEE3A50" w:rsidR="00A378CD" w:rsidRPr="005017F9" w:rsidRDefault="00A378CD" w:rsidP="00354854">
      <w:pPr>
        <w:pStyle w:val="ListParagraph"/>
        <w:numPr>
          <w:ilvl w:val="0"/>
          <w:numId w:val="40"/>
        </w:numPr>
        <w:rPr>
          <w:rFonts w:ascii="Arial" w:hAnsi="Arial" w:cs="Arial"/>
          <w:szCs w:val="24"/>
        </w:rPr>
      </w:pPr>
      <w:r w:rsidRPr="005017F9">
        <w:rPr>
          <w:rFonts w:ascii="Arial" w:hAnsi="Arial" w:cs="Arial"/>
          <w:szCs w:val="24"/>
        </w:rPr>
        <w:t>Description of the Problem</w:t>
      </w:r>
    </w:p>
    <w:p w14:paraId="4982E9EE" w14:textId="424B0517" w:rsidR="00C3360F" w:rsidRPr="005017F9" w:rsidRDefault="00B93BD3" w:rsidP="00B93BD3">
      <w:pPr>
        <w:rPr>
          <w:rFonts w:ascii="Arial" w:hAnsi="Arial" w:cs="Arial"/>
          <w:szCs w:val="24"/>
        </w:rPr>
      </w:pPr>
      <w:r w:rsidRPr="005017F9">
        <w:rPr>
          <w:rFonts w:ascii="Arial" w:hAnsi="Arial" w:cs="Arial"/>
          <w:szCs w:val="24"/>
        </w:rPr>
        <w:t xml:space="preserve">There are multiple organizational and structural barriers to developing and maintaining sufficient </w:t>
      </w:r>
      <w:r w:rsidR="00C3360F" w:rsidRPr="005017F9">
        <w:rPr>
          <w:rFonts w:ascii="Arial" w:hAnsi="Arial" w:cs="Arial"/>
          <w:szCs w:val="24"/>
        </w:rPr>
        <w:t xml:space="preserve">capacity </w:t>
      </w:r>
      <w:r w:rsidRPr="005017F9">
        <w:rPr>
          <w:rFonts w:ascii="Arial" w:hAnsi="Arial" w:cs="Arial"/>
          <w:szCs w:val="24"/>
        </w:rPr>
        <w:t xml:space="preserve">in state, local, tribal, and territorial health departments </w:t>
      </w:r>
      <w:r w:rsidR="00C3360F" w:rsidRPr="005017F9">
        <w:rPr>
          <w:rFonts w:ascii="Arial" w:hAnsi="Arial" w:cs="Arial"/>
          <w:szCs w:val="24"/>
        </w:rPr>
        <w:t xml:space="preserve">for </w:t>
      </w:r>
      <w:r w:rsidRPr="005017F9">
        <w:rPr>
          <w:rFonts w:ascii="Arial" w:hAnsi="Arial" w:cs="Arial"/>
          <w:szCs w:val="24"/>
        </w:rPr>
        <w:t xml:space="preserve">HIV </w:t>
      </w:r>
      <w:r w:rsidR="00C3360F" w:rsidRPr="005017F9">
        <w:rPr>
          <w:rFonts w:ascii="Arial" w:hAnsi="Arial" w:cs="Arial"/>
          <w:szCs w:val="24"/>
        </w:rPr>
        <w:t>cluster detection and response</w:t>
      </w:r>
      <w:r w:rsidR="007800F1" w:rsidRPr="005017F9">
        <w:rPr>
          <w:rFonts w:ascii="Arial" w:hAnsi="Arial" w:cs="Arial"/>
          <w:szCs w:val="24"/>
        </w:rPr>
        <w:t xml:space="preserve">. </w:t>
      </w:r>
      <w:r w:rsidRPr="005017F9">
        <w:rPr>
          <w:rFonts w:ascii="Arial" w:hAnsi="Arial" w:cs="Arial"/>
          <w:szCs w:val="24"/>
        </w:rPr>
        <w:t xml:space="preserve">(Note: </w:t>
      </w:r>
      <w:r w:rsidR="007800F1" w:rsidRPr="005017F9">
        <w:rPr>
          <w:rFonts w:ascii="Arial" w:hAnsi="Arial" w:cs="Arial"/>
          <w:szCs w:val="24"/>
        </w:rPr>
        <w:t xml:space="preserve">Individual staff capacity and training are addressed in Section </w:t>
      </w:r>
      <w:r w:rsidRPr="005017F9">
        <w:rPr>
          <w:rFonts w:ascii="Arial" w:hAnsi="Arial" w:cs="Arial"/>
          <w:szCs w:val="24"/>
        </w:rPr>
        <w:t>1</w:t>
      </w:r>
      <w:r w:rsidR="00C3360F" w:rsidRPr="005017F9">
        <w:rPr>
          <w:rFonts w:ascii="Arial" w:hAnsi="Arial" w:cs="Arial"/>
          <w:szCs w:val="24"/>
        </w:rPr>
        <w:t>.</w:t>
      </w:r>
      <w:r w:rsidRPr="005017F9">
        <w:rPr>
          <w:rFonts w:ascii="Arial" w:hAnsi="Arial" w:cs="Arial"/>
          <w:szCs w:val="24"/>
        </w:rPr>
        <w:t>)</w:t>
      </w:r>
      <w:r w:rsidR="00C3360F" w:rsidRPr="005017F9">
        <w:rPr>
          <w:rFonts w:ascii="Arial" w:hAnsi="Arial" w:cs="Arial"/>
          <w:szCs w:val="24"/>
        </w:rPr>
        <w:t xml:space="preserve"> </w:t>
      </w:r>
    </w:p>
    <w:p w14:paraId="530F14F4" w14:textId="41318B41" w:rsidR="00B93BD3" w:rsidRPr="005017F9" w:rsidRDefault="00900005" w:rsidP="00B93BD3">
      <w:pPr>
        <w:rPr>
          <w:rFonts w:ascii="Arial" w:hAnsi="Arial" w:cs="Arial"/>
          <w:szCs w:val="24"/>
        </w:rPr>
      </w:pPr>
      <w:r w:rsidRPr="005017F9">
        <w:rPr>
          <w:rFonts w:ascii="Arial" w:hAnsi="Arial" w:cs="Arial"/>
          <w:szCs w:val="24"/>
        </w:rPr>
        <w:t>The rapid ramp-up of multiple new activities under PS18-1802 (e.g., cluster detectio</w:t>
      </w:r>
      <w:bookmarkStart w:id="1" w:name="_GoBack"/>
      <w:bookmarkEnd w:id="1"/>
      <w:r w:rsidRPr="005017F9">
        <w:rPr>
          <w:rFonts w:ascii="Arial" w:hAnsi="Arial" w:cs="Arial"/>
          <w:szCs w:val="24"/>
        </w:rPr>
        <w:t>n and response, data-to-care, etc.) has been a challenge for most health departments and strained existing capacity to implement these activities</w:t>
      </w:r>
      <w:r w:rsidR="00F46A9E" w:rsidRPr="005017F9">
        <w:rPr>
          <w:rFonts w:ascii="Arial" w:hAnsi="Arial" w:cs="Arial"/>
          <w:szCs w:val="24"/>
        </w:rPr>
        <w:t xml:space="preserve"> and programs and staff are unclear how to prioritize all of the required work activities</w:t>
      </w:r>
      <w:r w:rsidRPr="005017F9">
        <w:rPr>
          <w:rFonts w:ascii="Arial" w:hAnsi="Arial" w:cs="Arial"/>
          <w:szCs w:val="24"/>
        </w:rPr>
        <w:t>. Closely tied to this challenge are difficulties hiring and retaining sufficient staff with the appropriate knowledge and skills to conduct this work. Insufficient funding is a key part of this (See Section X), but even when funding is available, most health departments have a long, arduous process for creating new positions or filling vacant positions. Candidates with the right background and expertise are often lacking and health departments are unable to offer competitive salaries to hire and retain qualified staff</w:t>
      </w:r>
      <w:r w:rsidR="00C422C9" w:rsidRPr="005017F9">
        <w:rPr>
          <w:rFonts w:ascii="Arial" w:hAnsi="Arial" w:cs="Arial"/>
          <w:szCs w:val="24"/>
        </w:rPr>
        <w:t xml:space="preserve"> in a variety of positions</w:t>
      </w:r>
      <w:r w:rsidRPr="005017F9">
        <w:rPr>
          <w:rFonts w:ascii="Arial" w:hAnsi="Arial" w:cs="Arial"/>
          <w:szCs w:val="24"/>
        </w:rPr>
        <w:t xml:space="preserve">. </w:t>
      </w:r>
    </w:p>
    <w:p w14:paraId="451EC529" w14:textId="5EB25AD7" w:rsidR="0080460A" w:rsidRPr="005017F9" w:rsidRDefault="0080460A" w:rsidP="00B93BD3">
      <w:pPr>
        <w:rPr>
          <w:rFonts w:ascii="Arial" w:hAnsi="Arial" w:cs="Arial"/>
          <w:szCs w:val="24"/>
        </w:rPr>
      </w:pPr>
      <w:r w:rsidRPr="005017F9">
        <w:rPr>
          <w:rFonts w:ascii="Arial" w:hAnsi="Arial" w:cs="Arial"/>
          <w:szCs w:val="24"/>
        </w:rPr>
        <w:t xml:space="preserve">In general, most health departments have been successful in collecting molecular HIV data, uploading it into eHARS, and running </w:t>
      </w:r>
      <w:proofErr w:type="spellStart"/>
      <w:r w:rsidRPr="005017F9">
        <w:rPr>
          <w:rFonts w:ascii="Arial" w:hAnsi="Arial" w:cs="Arial"/>
          <w:szCs w:val="24"/>
        </w:rPr>
        <w:t>SecureTrace</w:t>
      </w:r>
      <w:proofErr w:type="spellEnd"/>
      <w:r w:rsidRPr="005017F9">
        <w:rPr>
          <w:rFonts w:ascii="Arial" w:hAnsi="Arial" w:cs="Arial"/>
          <w:szCs w:val="24"/>
        </w:rPr>
        <w:t xml:space="preserve"> or other cluster detection methods. </w:t>
      </w:r>
      <w:r w:rsidR="00F46A9E" w:rsidRPr="005017F9">
        <w:rPr>
          <w:rFonts w:ascii="Arial" w:hAnsi="Arial" w:cs="Arial"/>
          <w:szCs w:val="24"/>
        </w:rPr>
        <w:t>However, some larger systems (e.g., the Veterans Administration) are not consistently reporting data despite being legally required to do so. Additionally</w:t>
      </w:r>
      <w:r w:rsidRPr="005017F9">
        <w:rPr>
          <w:rFonts w:ascii="Arial" w:hAnsi="Arial" w:cs="Arial"/>
          <w:szCs w:val="24"/>
        </w:rPr>
        <w:t xml:space="preserve">, </w:t>
      </w:r>
      <w:r w:rsidR="00F46A9E" w:rsidRPr="005017F9">
        <w:rPr>
          <w:rFonts w:ascii="Arial" w:hAnsi="Arial" w:cs="Arial"/>
          <w:szCs w:val="24"/>
        </w:rPr>
        <w:t xml:space="preserve">insufficient </w:t>
      </w:r>
      <w:r w:rsidRPr="005017F9">
        <w:rPr>
          <w:rFonts w:ascii="Arial" w:hAnsi="Arial" w:cs="Arial"/>
          <w:szCs w:val="24"/>
        </w:rPr>
        <w:t>data sharing with other states (to ensure complete/accurate eHARS data) and organizations (e.g., STD control, correctional facilities, Ryan White programs) remain</w:t>
      </w:r>
      <w:r w:rsidR="00F46A9E" w:rsidRPr="005017F9">
        <w:rPr>
          <w:rFonts w:ascii="Arial" w:hAnsi="Arial" w:cs="Arial"/>
          <w:szCs w:val="24"/>
        </w:rPr>
        <w:t>s</w:t>
      </w:r>
      <w:r w:rsidRPr="005017F9">
        <w:rPr>
          <w:rFonts w:ascii="Arial" w:hAnsi="Arial" w:cs="Arial"/>
          <w:szCs w:val="24"/>
        </w:rPr>
        <w:t xml:space="preserve"> a barrier to implementing effective cluster response activities.</w:t>
      </w:r>
    </w:p>
    <w:p w14:paraId="6148C08D" w14:textId="55E13625" w:rsidR="006C4520" w:rsidRPr="005017F9" w:rsidRDefault="003A2BBD" w:rsidP="00B93BD3">
      <w:pPr>
        <w:rPr>
          <w:rFonts w:ascii="Arial" w:hAnsi="Arial" w:cs="Arial"/>
          <w:szCs w:val="24"/>
        </w:rPr>
      </w:pPr>
      <w:r w:rsidRPr="005017F9">
        <w:rPr>
          <w:rFonts w:ascii="Arial" w:hAnsi="Arial" w:cs="Arial"/>
          <w:szCs w:val="24"/>
        </w:rPr>
        <w:t xml:space="preserve">There have also been capacity barriers for developing cluster detection and response plans. </w:t>
      </w:r>
      <w:r w:rsidR="0030459F" w:rsidRPr="005017F9">
        <w:rPr>
          <w:rFonts w:ascii="Arial" w:hAnsi="Arial" w:cs="Arial"/>
          <w:szCs w:val="24"/>
        </w:rPr>
        <w:t xml:space="preserve">In addition to having insufficient </w:t>
      </w:r>
      <w:r w:rsidR="00F46A9E" w:rsidRPr="005017F9">
        <w:rPr>
          <w:rFonts w:ascii="Arial" w:hAnsi="Arial" w:cs="Arial"/>
          <w:szCs w:val="24"/>
        </w:rPr>
        <w:t>staff</w:t>
      </w:r>
      <w:r w:rsidR="0030459F" w:rsidRPr="005017F9">
        <w:rPr>
          <w:rFonts w:ascii="Arial" w:hAnsi="Arial" w:cs="Arial"/>
          <w:szCs w:val="24"/>
        </w:rPr>
        <w:t xml:space="preserve"> capacity to develop plan</w:t>
      </w:r>
      <w:r w:rsidR="00F46A9E" w:rsidRPr="005017F9">
        <w:rPr>
          <w:rFonts w:ascii="Arial" w:hAnsi="Arial" w:cs="Arial"/>
          <w:szCs w:val="24"/>
        </w:rPr>
        <w:t>s</w:t>
      </w:r>
      <w:r w:rsidR="0030459F" w:rsidRPr="005017F9">
        <w:rPr>
          <w:rFonts w:ascii="Arial" w:hAnsi="Arial" w:cs="Arial"/>
          <w:szCs w:val="24"/>
        </w:rPr>
        <w:t>, l</w:t>
      </w:r>
      <w:r w:rsidRPr="005017F9">
        <w:rPr>
          <w:rFonts w:ascii="Arial" w:hAnsi="Arial" w:cs="Arial"/>
          <w:szCs w:val="24"/>
        </w:rPr>
        <w:t>ack of easy-to-use template</w:t>
      </w:r>
      <w:r w:rsidR="00F46A9E" w:rsidRPr="005017F9">
        <w:rPr>
          <w:rFonts w:ascii="Arial" w:hAnsi="Arial" w:cs="Arial"/>
          <w:szCs w:val="24"/>
        </w:rPr>
        <w:t>s and guidelines</w:t>
      </w:r>
      <w:r w:rsidRPr="005017F9">
        <w:rPr>
          <w:rFonts w:ascii="Arial" w:hAnsi="Arial" w:cs="Arial"/>
          <w:szCs w:val="24"/>
        </w:rPr>
        <w:t xml:space="preserve"> has </w:t>
      </w:r>
      <w:r w:rsidR="0030459F" w:rsidRPr="005017F9">
        <w:rPr>
          <w:rFonts w:ascii="Arial" w:hAnsi="Arial" w:cs="Arial"/>
          <w:szCs w:val="24"/>
        </w:rPr>
        <w:t xml:space="preserve">also </w:t>
      </w:r>
      <w:r w:rsidRPr="005017F9">
        <w:rPr>
          <w:rFonts w:ascii="Arial" w:hAnsi="Arial" w:cs="Arial"/>
          <w:szCs w:val="24"/>
        </w:rPr>
        <w:t>been a barrier</w:t>
      </w:r>
      <w:r w:rsidR="00F46A9E" w:rsidRPr="005017F9">
        <w:rPr>
          <w:rFonts w:ascii="Arial" w:hAnsi="Arial" w:cs="Arial"/>
          <w:szCs w:val="24"/>
        </w:rPr>
        <w:t>. L</w:t>
      </w:r>
      <w:r w:rsidR="006C4520" w:rsidRPr="005017F9">
        <w:rPr>
          <w:rFonts w:ascii="Arial" w:hAnsi="Arial" w:cs="Arial"/>
          <w:szCs w:val="24"/>
        </w:rPr>
        <w:t xml:space="preserve">ow morbidity jurisdictions need support in developing streamlined processes that work effectively </w:t>
      </w:r>
      <w:r w:rsidR="00F46A9E" w:rsidRPr="005017F9">
        <w:rPr>
          <w:rFonts w:ascii="Arial" w:hAnsi="Arial" w:cs="Arial"/>
          <w:szCs w:val="24"/>
        </w:rPr>
        <w:t>in</w:t>
      </w:r>
      <w:r w:rsidR="006C4520" w:rsidRPr="005017F9">
        <w:rPr>
          <w:rFonts w:ascii="Arial" w:hAnsi="Arial" w:cs="Arial"/>
          <w:szCs w:val="24"/>
        </w:rPr>
        <w:t xml:space="preserve"> lower capacity </w:t>
      </w:r>
      <w:r w:rsidR="00F46A9E" w:rsidRPr="005017F9">
        <w:rPr>
          <w:rFonts w:ascii="Arial" w:hAnsi="Arial" w:cs="Arial"/>
          <w:szCs w:val="24"/>
        </w:rPr>
        <w:t>settings</w:t>
      </w:r>
      <w:r w:rsidR="006C4520" w:rsidRPr="005017F9">
        <w:rPr>
          <w:rFonts w:ascii="Arial" w:hAnsi="Arial" w:cs="Arial"/>
          <w:szCs w:val="24"/>
        </w:rPr>
        <w:t>. Many programs</w:t>
      </w:r>
      <w:r w:rsidR="00BA79A2" w:rsidRPr="005017F9">
        <w:rPr>
          <w:rFonts w:ascii="Arial" w:hAnsi="Arial" w:cs="Arial"/>
          <w:szCs w:val="24"/>
        </w:rPr>
        <w:t xml:space="preserve"> also</w:t>
      </w:r>
      <w:r w:rsidR="006C4520" w:rsidRPr="005017F9">
        <w:rPr>
          <w:rFonts w:ascii="Arial" w:hAnsi="Arial" w:cs="Arial"/>
          <w:szCs w:val="24"/>
        </w:rPr>
        <w:t xml:space="preserve"> report </w:t>
      </w:r>
      <w:r w:rsidR="00F46A9E" w:rsidRPr="005017F9">
        <w:rPr>
          <w:rFonts w:ascii="Arial" w:hAnsi="Arial" w:cs="Arial"/>
          <w:szCs w:val="24"/>
        </w:rPr>
        <w:t>they are</w:t>
      </w:r>
      <w:r w:rsidR="006C4520" w:rsidRPr="005017F9">
        <w:rPr>
          <w:rFonts w:ascii="Arial" w:hAnsi="Arial" w:cs="Arial"/>
          <w:szCs w:val="24"/>
        </w:rPr>
        <w:t xml:space="preserve"> unclear which partners should be included in the </w:t>
      </w:r>
      <w:r w:rsidR="0030459F" w:rsidRPr="005017F9">
        <w:rPr>
          <w:rFonts w:ascii="Arial" w:hAnsi="Arial" w:cs="Arial"/>
          <w:szCs w:val="24"/>
        </w:rPr>
        <w:t xml:space="preserve">planning </w:t>
      </w:r>
      <w:r w:rsidR="00BA79A2" w:rsidRPr="005017F9">
        <w:rPr>
          <w:rFonts w:ascii="Arial" w:hAnsi="Arial" w:cs="Arial"/>
          <w:szCs w:val="24"/>
        </w:rPr>
        <w:t xml:space="preserve">or response </w:t>
      </w:r>
      <w:r w:rsidR="006C4520" w:rsidRPr="005017F9">
        <w:rPr>
          <w:rFonts w:ascii="Arial" w:hAnsi="Arial" w:cs="Arial"/>
          <w:szCs w:val="24"/>
        </w:rPr>
        <w:t xml:space="preserve">process </w:t>
      </w:r>
      <w:r w:rsidR="0030459F" w:rsidRPr="005017F9">
        <w:rPr>
          <w:rFonts w:ascii="Arial" w:hAnsi="Arial" w:cs="Arial"/>
          <w:szCs w:val="24"/>
        </w:rPr>
        <w:t xml:space="preserve">or how to go about involving those partners. </w:t>
      </w:r>
      <w:r w:rsidR="005017F9" w:rsidRPr="005017F9">
        <w:rPr>
          <w:rFonts w:ascii="Arial" w:hAnsi="Arial" w:cs="Arial"/>
          <w:szCs w:val="24"/>
        </w:rPr>
        <w:t>When it comes to implementing cluster response activities, jurisdictions of all sizes report challenges with prioritizing clusters for follow-up so that the work can be matched with available capacity, and most jurisdictions lack surge capacity to respond to large or rapidly expanding clusters if that type of response is every needed.</w:t>
      </w:r>
    </w:p>
    <w:p w14:paraId="4DB1C9C8" w14:textId="7931BA4D" w:rsidR="00BA79A2" w:rsidRPr="005017F9" w:rsidRDefault="00BA79A2" w:rsidP="00B93BD3">
      <w:pPr>
        <w:rPr>
          <w:rFonts w:ascii="Arial" w:hAnsi="Arial" w:cs="Arial"/>
          <w:szCs w:val="24"/>
        </w:rPr>
      </w:pPr>
      <w:r w:rsidRPr="005017F9">
        <w:rPr>
          <w:rFonts w:ascii="Arial" w:hAnsi="Arial" w:cs="Arial"/>
          <w:szCs w:val="24"/>
        </w:rPr>
        <w:t xml:space="preserve">Broad concerns around confidentiality and potential for using cluster data to pursue criminalization activities have been raised. While legal and regulatory changes are being addressed elsewhere, many HIV programs lack internal capacity for effectively working with existing laws and regulations and consulting with legal counsel. This internal capacity is necessary to ensure that cluster detection activities are implemented </w:t>
      </w:r>
      <w:r w:rsidRPr="005017F9">
        <w:rPr>
          <w:rFonts w:ascii="Arial" w:hAnsi="Arial" w:cs="Arial"/>
          <w:szCs w:val="24"/>
        </w:rPr>
        <w:lastRenderedPageBreak/>
        <w:t xml:space="preserve">in a way that balances public health work with the protection of individual privacy, and that health department communications with partners and the public adequately address these concerns. </w:t>
      </w:r>
    </w:p>
    <w:p w14:paraId="5666B90B" w14:textId="34A8F9F9" w:rsidR="00BA79A2" w:rsidRPr="005017F9" w:rsidRDefault="00BA79A2" w:rsidP="00B93BD3">
      <w:pPr>
        <w:rPr>
          <w:rFonts w:ascii="Arial" w:hAnsi="Arial" w:cs="Arial"/>
          <w:szCs w:val="24"/>
        </w:rPr>
      </w:pPr>
      <w:r w:rsidRPr="005017F9">
        <w:rPr>
          <w:rFonts w:ascii="Arial" w:hAnsi="Arial" w:cs="Arial"/>
          <w:szCs w:val="24"/>
        </w:rPr>
        <w:t xml:space="preserve">Closely related, many community stakeholders and external partners do not fully support the use of MHS. Appropriately, there is a broad desire to have better evidence that MHS is a cost-effective way of responding to the HIV epidemic. Individual health departments are </w:t>
      </w:r>
      <w:r w:rsidR="005017F9" w:rsidRPr="005017F9">
        <w:rPr>
          <w:rFonts w:ascii="Arial" w:hAnsi="Arial" w:cs="Arial"/>
          <w:szCs w:val="24"/>
        </w:rPr>
        <w:t xml:space="preserve">generally ill equipped </w:t>
      </w:r>
      <w:r w:rsidRPr="005017F9">
        <w:rPr>
          <w:rFonts w:ascii="Arial" w:hAnsi="Arial" w:cs="Arial"/>
          <w:szCs w:val="24"/>
        </w:rPr>
        <w:t xml:space="preserve">to </w:t>
      </w:r>
      <w:r w:rsidR="005017F9" w:rsidRPr="005017F9">
        <w:rPr>
          <w:rFonts w:ascii="Arial" w:hAnsi="Arial" w:cs="Arial"/>
          <w:szCs w:val="24"/>
        </w:rPr>
        <w:t>collect and disseminate evidence. On an operational level, most health departments have not been able to implement post-response evaluation and assessment to iterate on cluster response plans, identify successful strategies, and address barriers, much less collect evidence on the broader impact of cluster response.</w:t>
      </w:r>
    </w:p>
    <w:p w14:paraId="0422DE8E" w14:textId="48C09B8D" w:rsidR="006C4520" w:rsidRPr="005017F9" w:rsidRDefault="006C4520" w:rsidP="00B93BD3">
      <w:pPr>
        <w:rPr>
          <w:rFonts w:ascii="Arial" w:hAnsi="Arial" w:cs="Arial"/>
          <w:szCs w:val="24"/>
        </w:rPr>
      </w:pPr>
    </w:p>
    <w:p w14:paraId="02FD8FF7" w14:textId="77777777" w:rsidR="005B7347" w:rsidRPr="005017F9" w:rsidRDefault="005B7347" w:rsidP="005B7347">
      <w:pPr>
        <w:rPr>
          <w:rFonts w:ascii="Arial" w:hAnsi="Arial" w:cs="Arial"/>
          <w:szCs w:val="24"/>
        </w:rPr>
      </w:pPr>
    </w:p>
    <w:p w14:paraId="52E4E878" w14:textId="49D5F496" w:rsidR="00A378CD" w:rsidRPr="005017F9" w:rsidRDefault="00A378CD" w:rsidP="00B93BD3">
      <w:pPr>
        <w:pStyle w:val="ListParagraph"/>
        <w:numPr>
          <w:ilvl w:val="0"/>
          <w:numId w:val="40"/>
        </w:numPr>
        <w:rPr>
          <w:rFonts w:ascii="Arial" w:hAnsi="Arial" w:cs="Arial"/>
          <w:szCs w:val="24"/>
        </w:rPr>
      </w:pPr>
      <w:r w:rsidRPr="005017F9">
        <w:rPr>
          <w:rFonts w:ascii="Arial" w:hAnsi="Arial" w:cs="Arial"/>
          <w:szCs w:val="24"/>
        </w:rPr>
        <w:t>Proposed solution</w:t>
      </w:r>
      <w:r w:rsidR="00B93BD3" w:rsidRPr="005017F9">
        <w:rPr>
          <w:rFonts w:ascii="Arial" w:hAnsi="Arial" w:cs="Arial"/>
          <w:szCs w:val="24"/>
        </w:rPr>
        <w:t>s</w:t>
      </w:r>
    </w:p>
    <w:p w14:paraId="4946CFC8" w14:textId="77777777" w:rsidR="001131BC" w:rsidRPr="005017F9" w:rsidRDefault="001131BC" w:rsidP="001131BC">
      <w:pPr>
        <w:spacing w:after="0"/>
        <w:rPr>
          <w:rFonts w:ascii="Arial" w:hAnsi="Arial" w:cs="Arial"/>
          <w:szCs w:val="24"/>
        </w:rPr>
      </w:pPr>
      <w:r w:rsidRPr="005017F9">
        <w:rPr>
          <w:rFonts w:ascii="Arial" w:hAnsi="Arial" w:cs="Arial"/>
          <w:szCs w:val="24"/>
        </w:rPr>
        <w:t>In order to bring cluster detection and response activities to scale across the country, many health departments, particularly those in lower incidence jurisdictions, will need increased financial resources to support hiring additional dedicated staff to build capacity for both cluster detection (i.e., epidemiologists/surveillance staff) and response (</w:t>
      </w:r>
      <w:proofErr w:type="spellStart"/>
      <w:r w:rsidRPr="005017F9">
        <w:rPr>
          <w:rFonts w:ascii="Arial" w:hAnsi="Arial" w:cs="Arial"/>
          <w:szCs w:val="24"/>
        </w:rPr>
        <w:t>i.e</w:t>
      </w:r>
      <w:proofErr w:type="spellEnd"/>
      <w:r w:rsidRPr="005017F9">
        <w:rPr>
          <w:rFonts w:ascii="Arial" w:hAnsi="Arial" w:cs="Arial"/>
          <w:szCs w:val="24"/>
        </w:rPr>
        <w:t xml:space="preserve">, DIS/field staff). For health departments facing many competing priorities and epidemics and managing multiple complex funding sources and reporting requirements, additional resources and flexibility to use them will increase base staff capacity necessary for implementing routine cluster detection and response programming and preparing for enhanced community response in the event of an outbreak. Health departments also need the ability to provide competitive salaries and professional development for DIS (or similar linkage field roles) to improve retention of experienced staff. In the interim, health departments should also assess staff usage and explore ways to integrate routine cluster detection and response activities across multiple roles within the organizational structure.  </w:t>
      </w:r>
    </w:p>
    <w:p w14:paraId="3C9E0831" w14:textId="77777777" w:rsidR="001131BC" w:rsidRPr="005017F9" w:rsidRDefault="001131BC" w:rsidP="001131BC">
      <w:pPr>
        <w:spacing w:after="0"/>
        <w:rPr>
          <w:rFonts w:ascii="Arial" w:hAnsi="Arial" w:cs="Arial"/>
          <w:szCs w:val="24"/>
        </w:rPr>
      </w:pPr>
    </w:p>
    <w:p w14:paraId="15AD2628" w14:textId="77777777" w:rsidR="001131BC" w:rsidRPr="005017F9" w:rsidRDefault="001131BC" w:rsidP="001131BC">
      <w:pPr>
        <w:spacing w:after="0"/>
        <w:rPr>
          <w:rFonts w:ascii="Arial" w:hAnsi="Arial" w:cs="Arial"/>
          <w:szCs w:val="24"/>
        </w:rPr>
      </w:pPr>
      <w:r w:rsidRPr="005017F9">
        <w:rPr>
          <w:rFonts w:ascii="Arial" w:hAnsi="Arial" w:cs="Arial"/>
          <w:szCs w:val="24"/>
        </w:rPr>
        <w:t xml:space="preserve">Additional financial resources or technological expertise should be made available to health departments working to improve data system interoperability to build capacity for integrated data analysis. This will increase cluster data accuracy, improve efficiency and free up staff time, and limit the unnecessary field work. Health departments need support at the jurisdictional and/or national level to enforce consistent reporting of genetic sequence data from providers/laboratories to improve cluster detection data completeness. As clusters often occur across jurisdictional borders, a system to share data securely with other states will improve effectiveness of cluster detection and investigation.  </w:t>
      </w:r>
    </w:p>
    <w:p w14:paraId="2E9D84A7" w14:textId="77777777" w:rsidR="001131BC" w:rsidRPr="005017F9" w:rsidRDefault="001131BC" w:rsidP="001131BC">
      <w:pPr>
        <w:spacing w:after="0"/>
        <w:rPr>
          <w:rFonts w:ascii="Arial" w:hAnsi="Arial" w:cs="Arial"/>
          <w:szCs w:val="24"/>
        </w:rPr>
      </w:pPr>
    </w:p>
    <w:p w14:paraId="6BF6D661" w14:textId="77777777" w:rsidR="001131BC" w:rsidRPr="005017F9" w:rsidRDefault="001131BC" w:rsidP="001131BC">
      <w:pPr>
        <w:spacing w:after="0"/>
        <w:rPr>
          <w:rFonts w:ascii="Arial" w:hAnsi="Arial" w:cs="Arial"/>
          <w:szCs w:val="24"/>
        </w:rPr>
      </w:pPr>
      <w:r w:rsidRPr="005017F9">
        <w:rPr>
          <w:rFonts w:ascii="Arial" w:hAnsi="Arial" w:cs="Arial"/>
          <w:szCs w:val="24"/>
        </w:rPr>
        <w:lastRenderedPageBreak/>
        <w:t xml:space="preserve">To assist with the rapid planning and implementation of the complex systems involved in building a high-quality cluster detection response program, health departments need a forum to learn from their peers’ successes and share resources and solutions in real-time. Key cluster detection and response tools requested by CSTE members </w:t>
      </w:r>
      <w:proofErr w:type="gramStart"/>
      <w:r w:rsidRPr="005017F9">
        <w:rPr>
          <w:rFonts w:ascii="Arial" w:hAnsi="Arial" w:cs="Arial"/>
          <w:szCs w:val="24"/>
        </w:rPr>
        <w:t>include:</w:t>
      </w:r>
      <w:proofErr w:type="gramEnd"/>
      <w:r w:rsidRPr="005017F9">
        <w:rPr>
          <w:rFonts w:ascii="Arial" w:hAnsi="Arial" w:cs="Arial"/>
          <w:szCs w:val="24"/>
        </w:rPr>
        <w:t xml:space="preserve"> simplified and/or standardized protocols, prioritization methods, protocols for planning rapid mobilization in the event of a need for surge response, effective community engagement/communication materials and methods, tools and training on cluster response evaluation, and other lessons learned from peer experience. Additional needs for individual-level staff training (e.g., training for data interpretation, DIS re-interview skills, etc.) are outlined in section </w:t>
      </w:r>
      <w:r w:rsidRPr="005017F9">
        <w:rPr>
          <w:rFonts w:ascii="Arial" w:hAnsi="Arial" w:cs="Arial"/>
          <w:szCs w:val="24"/>
          <w:highlight w:val="yellow"/>
        </w:rPr>
        <w:t>##</w:t>
      </w:r>
      <w:r w:rsidRPr="005017F9">
        <w:rPr>
          <w:rFonts w:ascii="Arial" w:hAnsi="Arial" w:cs="Arial"/>
          <w:szCs w:val="24"/>
        </w:rPr>
        <w:t xml:space="preserve">. </w:t>
      </w:r>
    </w:p>
    <w:p w14:paraId="778B2DAA" w14:textId="77777777" w:rsidR="001131BC" w:rsidRPr="005017F9" w:rsidRDefault="001131BC" w:rsidP="001131BC">
      <w:pPr>
        <w:spacing w:after="0"/>
        <w:rPr>
          <w:rFonts w:ascii="Arial" w:hAnsi="Arial" w:cs="Arial"/>
          <w:szCs w:val="24"/>
        </w:rPr>
      </w:pPr>
    </w:p>
    <w:p w14:paraId="3163B849" w14:textId="77777777" w:rsidR="001131BC" w:rsidRPr="005017F9" w:rsidRDefault="001131BC" w:rsidP="001131BC">
      <w:pPr>
        <w:spacing w:after="0"/>
        <w:rPr>
          <w:rFonts w:ascii="Arial" w:hAnsi="Arial" w:cs="Arial"/>
          <w:szCs w:val="24"/>
        </w:rPr>
      </w:pPr>
      <w:r w:rsidRPr="005017F9">
        <w:rPr>
          <w:rFonts w:ascii="Arial" w:hAnsi="Arial" w:cs="Arial"/>
          <w:szCs w:val="24"/>
        </w:rPr>
        <w:t xml:space="preserve">Removing the barrier of remaining state or local HIV criminalization laws would address common ethical concerns around the use of genetic sequence data. This may significantly improve community trust and support of cluster response activities in many jurisdictions, improving health departments’ capacity to fully implement programs. States should work with advocacy groups to eliminate HIV criminalization laws and federal partners should support these efforts at the national level as well. In the interim, health departments should work to educate their legal counsel and ensure narrow interpretation of data release policies. </w:t>
      </w:r>
      <w:r w:rsidRPr="005017F9">
        <w:rPr>
          <w:rFonts w:ascii="Arial" w:hAnsi="Arial" w:cs="Arial"/>
          <w:i/>
          <w:iCs/>
          <w:szCs w:val="24"/>
          <w:highlight w:val="yellow"/>
        </w:rPr>
        <w:t>[Can update this recommendation if needed based on final draft language in the HIV criminalization policy statement…or remove if it’s repetitive to another section like stakeholder engagement.]</w:t>
      </w:r>
    </w:p>
    <w:p w14:paraId="59A1A727" w14:textId="77777777" w:rsidR="001131BC" w:rsidRPr="005017F9" w:rsidRDefault="001131BC" w:rsidP="001131BC">
      <w:pPr>
        <w:spacing w:after="0"/>
        <w:rPr>
          <w:rFonts w:ascii="Arial" w:hAnsi="Arial" w:cs="Arial"/>
          <w:szCs w:val="24"/>
        </w:rPr>
      </w:pPr>
    </w:p>
    <w:p w14:paraId="29966CD2" w14:textId="77777777" w:rsidR="001131BC" w:rsidRPr="005017F9" w:rsidRDefault="001131BC" w:rsidP="001131BC">
      <w:pPr>
        <w:spacing w:after="0"/>
        <w:rPr>
          <w:rFonts w:ascii="Arial" w:hAnsi="Arial" w:cs="Arial"/>
          <w:szCs w:val="24"/>
        </w:rPr>
      </w:pPr>
      <w:r w:rsidRPr="005017F9">
        <w:rPr>
          <w:rFonts w:ascii="Arial" w:hAnsi="Arial" w:cs="Arial"/>
          <w:szCs w:val="24"/>
        </w:rPr>
        <w:t xml:space="preserve">Finally, federal partners should conduct (and/or provide additional financial support for health departments or their partners to conduct) research on the effectiveness of cluster detection and response activities at the state and/or national level to identify best practices and quantify the impact and return on investment for this resource-intensive activity. </w:t>
      </w:r>
    </w:p>
    <w:p w14:paraId="3F0250FC" w14:textId="77777777" w:rsidR="00CE6B29" w:rsidRPr="005017F9" w:rsidRDefault="00CE6B29" w:rsidP="00A85EF7">
      <w:pPr>
        <w:rPr>
          <w:rFonts w:ascii="Arial" w:hAnsi="Arial" w:cs="Arial"/>
          <w:szCs w:val="24"/>
        </w:rPr>
      </w:pPr>
    </w:p>
    <w:sectPr w:rsidR="00CE6B29" w:rsidRPr="005017F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Juliana Grant" w:date="2020-02-21T09:47:00Z" w:initials="JG">
    <w:p w14:paraId="2A88C27C" w14:textId="78104D76" w:rsidR="008A035D" w:rsidRDefault="008A035D">
      <w:pPr>
        <w:pStyle w:val="CommentText"/>
      </w:pPr>
      <w:r>
        <w:rPr>
          <w:rStyle w:val="CommentReference"/>
        </w:rPr>
        <w:annotationRef/>
      </w:r>
      <w:r>
        <w:t>First draft. Erin and Juliana are still working on this, particularly on cutting length. Our goal is to get this down to one page.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A88C27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A88C27C" w16cid:durableId="21FA25C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Webdings">
    <w:panose1 w:val="05030102010509060703"/>
    <w:charset w:val="4D"/>
    <w:family w:val="decorative"/>
    <w:pitch w:val="variable"/>
    <w:sig w:usb0="00000003" w:usb1="00000000" w:usb2="00000000" w:usb3="00000000" w:csb0="80000001" w:csb1="00000000"/>
  </w:font>
  <w:font w:name="Segoe UI">
    <w:altName w:val="Sylfaen"/>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588BE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E76091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4978FFB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A4A31C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8BCB5B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8B8D1E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728C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99805E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E2E21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2666F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9DB25B94"/>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1" w15:restartNumberingAfterBreak="0">
    <w:nsid w:val="0200567F"/>
    <w:multiLevelType w:val="multilevel"/>
    <w:tmpl w:val="A3C08CF6"/>
    <w:numStyleLink w:val="HHSNumbering"/>
  </w:abstractNum>
  <w:abstractNum w:abstractNumId="12" w15:restartNumberingAfterBreak="0">
    <w:nsid w:val="1C9064C8"/>
    <w:multiLevelType w:val="multilevel"/>
    <w:tmpl w:val="A3C08CF6"/>
    <w:numStyleLink w:val="HHSNumbering"/>
  </w:abstractNum>
  <w:abstractNum w:abstractNumId="13" w15:restartNumberingAfterBreak="0">
    <w:nsid w:val="1F2200E0"/>
    <w:multiLevelType w:val="multilevel"/>
    <w:tmpl w:val="A3C08CF6"/>
    <w:styleLink w:val="HHSNumbering"/>
    <w:lvl w:ilvl="0">
      <w:start w:val="1"/>
      <w:numFmt w:val="decimal"/>
      <w:lvlText w:val="%1."/>
      <w:lvlJc w:val="left"/>
      <w:pPr>
        <w:ind w:left="720" w:hanging="360"/>
      </w:pPr>
      <w:rPr>
        <w:rFonts w:asciiTheme="minorHAnsi" w:hAnsiTheme="minorHAnsi" w:hint="default"/>
      </w:rPr>
    </w:lvl>
    <w:lvl w:ilvl="1">
      <w:start w:val="1"/>
      <w:numFmt w:val="lowerLetter"/>
      <w:lvlText w:val="%2."/>
      <w:lvlJc w:val="left"/>
      <w:pPr>
        <w:ind w:left="1080" w:hanging="360"/>
      </w:pPr>
      <w:rPr>
        <w:rFonts w:asciiTheme="minorHAnsi" w:hAnsiTheme="minorHAnsi" w:hint="default"/>
      </w:rPr>
    </w:lvl>
    <w:lvl w:ilvl="2">
      <w:start w:val="1"/>
      <w:numFmt w:val="lowerRoman"/>
      <w:suff w:val="space"/>
      <w:lvlText w:val="%3."/>
      <w:lvlJc w:val="left"/>
      <w:pPr>
        <w:ind w:left="1440" w:hanging="360"/>
      </w:pPr>
      <w:rPr>
        <w:rFonts w:asciiTheme="minorHAnsi" w:hAnsiTheme="minorHAnsi" w:hint="default"/>
      </w:rPr>
    </w:lvl>
    <w:lvl w:ilvl="3">
      <w:start w:val="1"/>
      <w:numFmt w:val="decimal"/>
      <w:suff w:val="space"/>
      <w:lvlText w:val="(%4)"/>
      <w:lvlJc w:val="left"/>
      <w:pPr>
        <w:ind w:left="1800" w:hanging="360"/>
      </w:pPr>
      <w:rPr>
        <w:rFonts w:asciiTheme="minorHAnsi" w:hAnsiTheme="minorHAnsi" w:hint="default"/>
      </w:rPr>
    </w:lvl>
    <w:lvl w:ilvl="4">
      <w:start w:val="1"/>
      <w:numFmt w:val="lowerLetter"/>
      <w:suff w:val="space"/>
      <w:lvlText w:val="(%5)"/>
      <w:lvlJc w:val="left"/>
      <w:pPr>
        <w:ind w:left="2160" w:hanging="360"/>
      </w:pPr>
      <w:rPr>
        <w:rFonts w:asciiTheme="minorHAnsi" w:hAnsiTheme="minorHAnsi" w:hint="default"/>
      </w:rPr>
    </w:lvl>
    <w:lvl w:ilvl="5">
      <w:start w:val="1"/>
      <w:numFmt w:val="lowerRoman"/>
      <w:suff w:val="space"/>
      <w:lvlText w:val="(%6)"/>
      <w:lvlJc w:val="left"/>
      <w:pPr>
        <w:ind w:left="2520" w:hanging="360"/>
      </w:pPr>
      <w:rPr>
        <w:rFonts w:asciiTheme="minorHAnsi" w:hAnsiTheme="minorHAnsi" w:hint="default"/>
      </w:rPr>
    </w:lvl>
    <w:lvl w:ilvl="6">
      <w:start w:val="1"/>
      <w:numFmt w:val="none"/>
      <w:lvlText w:val="%7"/>
      <w:lvlJc w:val="left"/>
      <w:pPr>
        <w:ind w:left="2880" w:hanging="360"/>
      </w:pPr>
      <w:rPr>
        <w:rFonts w:hint="default"/>
      </w:rPr>
    </w:lvl>
    <w:lvl w:ilvl="7">
      <w:start w:val="1"/>
      <w:numFmt w:val="none"/>
      <w:lvlText w:val="%8"/>
      <w:lvlJc w:val="left"/>
      <w:pPr>
        <w:ind w:left="3240" w:hanging="360"/>
      </w:pPr>
      <w:rPr>
        <w:rFonts w:hint="default"/>
      </w:rPr>
    </w:lvl>
    <w:lvl w:ilvl="8">
      <w:start w:val="1"/>
      <w:numFmt w:val="none"/>
      <w:lvlText w:val="%9"/>
      <w:lvlJc w:val="left"/>
      <w:pPr>
        <w:ind w:left="3600" w:hanging="360"/>
      </w:pPr>
      <w:rPr>
        <w:rFonts w:hint="default"/>
      </w:rPr>
    </w:lvl>
  </w:abstractNum>
  <w:abstractNum w:abstractNumId="14" w15:restartNumberingAfterBreak="0">
    <w:nsid w:val="3CDB53B6"/>
    <w:multiLevelType w:val="hybridMultilevel"/>
    <w:tmpl w:val="19F0612A"/>
    <w:lvl w:ilvl="0" w:tplc="9F760BB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A24643"/>
    <w:multiLevelType w:val="hybridMultilevel"/>
    <w:tmpl w:val="6526C1D2"/>
    <w:lvl w:ilvl="0" w:tplc="8D429BB2">
      <w:start w:val="1"/>
      <w:numFmt w:val="decimal"/>
      <w:lvlText w:val="%1."/>
      <w:lvlJc w:val="left"/>
      <w:pPr>
        <w:ind w:left="1440" w:hanging="360"/>
      </w:pPr>
      <w:rPr>
        <w:rFonts w:asciiTheme="minorHAnsi" w:hAnsiTheme="minorHAnsi" w:hint="default"/>
        <w:b w:val="0"/>
        <w:i/>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1872B4D"/>
    <w:multiLevelType w:val="hybridMultilevel"/>
    <w:tmpl w:val="2A3455B8"/>
    <w:lvl w:ilvl="0" w:tplc="50BC90C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40A0D78"/>
    <w:multiLevelType w:val="multilevel"/>
    <w:tmpl w:val="26945B7E"/>
    <w:styleLink w:val="HHSBullets"/>
    <w:lvl w:ilvl="0">
      <w:start w:val="1"/>
      <w:numFmt w:val="bullet"/>
      <w:lvlText w:val="●"/>
      <w:lvlJc w:val="left"/>
      <w:pPr>
        <w:ind w:left="720" w:hanging="360"/>
      </w:pPr>
      <w:rPr>
        <w:rFonts w:ascii="Times New Roman" w:hAnsi="Times New Roman" w:cs="Times New Roman" w:hint="default"/>
        <w:b w:val="0"/>
        <w:i w:val="0"/>
        <w:sz w:val="22"/>
      </w:rPr>
    </w:lvl>
    <w:lvl w:ilvl="1">
      <w:start w:val="1"/>
      <w:numFmt w:val="bullet"/>
      <w:lvlText w:val=""/>
      <w:lvlJc w:val="left"/>
      <w:pPr>
        <w:ind w:left="1080" w:hanging="360"/>
      </w:pPr>
      <w:rPr>
        <w:rFonts w:ascii="Webdings" w:hAnsi="Webdings" w:hint="default"/>
        <w:b w:val="0"/>
        <w:i w:val="0"/>
      </w:rPr>
    </w:lvl>
    <w:lvl w:ilvl="2">
      <w:start w:val="1"/>
      <w:numFmt w:val="bullet"/>
      <w:lvlText w:val="◊"/>
      <w:lvlJc w:val="left"/>
      <w:pPr>
        <w:ind w:left="1440" w:hanging="360"/>
      </w:pPr>
      <w:rPr>
        <w:rFonts w:ascii="Times New Roman" w:hAnsi="Times New Roman" w:cs="Times New Roman" w:hint="default"/>
        <w:b w:val="0"/>
        <w:i w:val="0"/>
      </w:rPr>
    </w:lvl>
    <w:lvl w:ilvl="3">
      <w:start w:val="1"/>
      <w:numFmt w:val="bullet"/>
      <w:lvlText w:val="o"/>
      <w:lvlJc w:val="left"/>
      <w:pPr>
        <w:ind w:left="1800" w:hanging="360"/>
      </w:pPr>
      <w:rPr>
        <w:rFonts w:ascii="Times New Roman" w:hAnsi="Times New Roman" w:cs="Times New Roman" w:hint="default"/>
        <w:b w:val="0"/>
        <w:i w:val="0"/>
        <w:sz w:val="18"/>
      </w:rPr>
    </w:lvl>
    <w:lvl w:ilvl="4">
      <w:start w:val="1"/>
      <w:numFmt w:val="bullet"/>
      <w:lvlText w:val="▪"/>
      <w:lvlJc w:val="left"/>
      <w:pPr>
        <w:ind w:left="2160" w:hanging="360"/>
      </w:pPr>
      <w:rPr>
        <w:rFonts w:ascii="Times New Roman" w:hAnsi="Times New Roman" w:cs="Times New Roman" w:hint="default"/>
        <w:b w:val="0"/>
        <w:i w:val="0"/>
      </w:rPr>
    </w:lvl>
    <w:lvl w:ilvl="5">
      <w:start w:val="1"/>
      <w:numFmt w:val="none"/>
      <w:lvlText w:val=""/>
      <w:lvlJc w:val="left"/>
      <w:pPr>
        <w:ind w:left="2520" w:hanging="360"/>
      </w:pPr>
      <w:rPr>
        <w:rFonts w:hint="default"/>
      </w:rPr>
    </w:lvl>
    <w:lvl w:ilvl="6">
      <w:start w:val="1"/>
      <w:numFmt w:val="none"/>
      <w:lvlText w:val="%7"/>
      <w:lvlJc w:val="left"/>
      <w:pPr>
        <w:ind w:left="2880" w:hanging="360"/>
      </w:pPr>
      <w:rPr>
        <w:rFonts w:hint="default"/>
      </w:rPr>
    </w:lvl>
    <w:lvl w:ilvl="7">
      <w:start w:val="1"/>
      <w:numFmt w:val="none"/>
      <w:lvlText w:val="%8"/>
      <w:lvlJc w:val="left"/>
      <w:pPr>
        <w:ind w:left="3240" w:hanging="360"/>
      </w:pPr>
      <w:rPr>
        <w:rFonts w:hint="default"/>
      </w:rPr>
    </w:lvl>
    <w:lvl w:ilvl="8">
      <w:start w:val="1"/>
      <w:numFmt w:val="none"/>
      <w:lvlText w:val="%9"/>
      <w:lvlJc w:val="left"/>
      <w:pPr>
        <w:ind w:left="3600" w:hanging="360"/>
      </w:pPr>
      <w:rPr>
        <w:rFonts w:hint="default"/>
      </w:rPr>
    </w:lvl>
  </w:abstractNum>
  <w:abstractNum w:abstractNumId="18" w15:restartNumberingAfterBreak="0">
    <w:nsid w:val="761716BB"/>
    <w:multiLevelType w:val="hybridMultilevel"/>
    <w:tmpl w:val="AB7C516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980" w:hanging="36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0"/>
  </w:num>
  <w:num w:numId="2">
    <w:abstractNumId w:val="10"/>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0"/>
  </w:num>
  <w:num w:numId="15">
    <w:abstractNumId w:val="17"/>
  </w:num>
  <w:num w:numId="16">
    <w:abstractNumId w:val="17"/>
  </w:num>
  <w:num w:numId="17">
    <w:abstractNumId w:val="13"/>
  </w:num>
  <w:num w:numId="18">
    <w:abstractNumId w:val="17"/>
  </w:num>
  <w:num w:numId="19">
    <w:abstractNumId w:val="12"/>
  </w:num>
  <w:num w:numId="20">
    <w:abstractNumId w:val="17"/>
  </w:num>
  <w:num w:numId="21">
    <w:abstractNumId w:val="17"/>
  </w:num>
  <w:num w:numId="22">
    <w:abstractNumId w:val="17"/>
  </w:num>
  <w:num w:numId="23">
    <w:abstractNumId w:val="17"/>
  </w:num>
  <w:num w:numId="24">
    <w:abstractNumId w:val="17"/>
  </w:num>
  <w:num w:numId="25">
    <w:abstractNumId w:val="15"/>
  </w:num>
  <w:num w:numId="26">
    <w:abstractNumId w:val="17"/>
  </w:num>
  <w:num w:numId="27">
    <w:abstractNumId w:val="14"/>
  </w:num>
  <w:num w:numId="28">
    <w:abstractNumId w:val="13"/>
  </w:num>
  <w:num w:numId="29">
    <w:abstractNumId w:val="17"/>
  </w:num>
  <w:num w:numId="30">
    <w:abstractNumId w:val="15"/>
  </w:num>
  <w:num w:numId="31">
    <w:abstractNumId w:val="17"/>
  </w:num>
  <w:num w:numId="32">
    <w:abstractNumId w:val="14"/>
  </w:num>
  <w:num w:numId="33">
    <w:abstractNumId w:val="17"/>
  </w:num>
  <w:num w:numId="34">
    <w:abstractNumId w:val="13"/>
  </w:num>
  <w:num w:numId="35">
    <w:abstractNumId w:val="15"/>
  </w:num>
  <w:num w:numId="36">
    <w:abstractNumId w:val="17"/>
  </w:num>
  <w:num w:numId="37">
    <w:abstractNumId w:val="14"/>
  </w:num>
  <w:num w:numId="38">
    <w:abstractNumId w:val="15"/>
  </w:num>
  <w:num w:numId="39">
    <w:abstractNumId w:val="11"/>
  </w:num>
  <w:num w:numId="40">
    <w:abstractNumId w:val="18"/>
  </w:num>
  <w:num w:numId="41">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uliana Grant">
    <w15:presenceInfo w15:providerId="Windows Live" w15:userId="5a9756ef6628ea4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6B29"/>
    <w:rsid w:val="00015723"/>
    <w:rsid w:val="00051D10"/>
    <w:rsid w:val="00086875"/>
    <w:rsid w:val="0009022C"/>
    <w:rsid w:val="001131BC"/>
    <w:rsid w:val="00121D85"/>
    <w:rsid w:val="00143D54"/>
    <w:rsid w:val="00166857"/>
    <w:rsid w:val="0019695A"/>
    <w:rsid w:val="001C6029"/>
    <w:rsid w:val="001E7579"/>
    <w:rsid w:val="00232A1B"/>
    <w:rsid w:val="00266781"/>
    <w:rsid w:val="002C2D64"/>
    <w:rsid w:val="002D56A2"/>
    <w:rsid w:val="0030459F"/>
    <w:rsid w:val="0032052B"/>
    <w:rsid w:val="0034030F"/>
    <w:rsid w:val="00345F8A"/>
    <w:rsid w:val="00354854"/>
    <w:rsid w:val="00393D3E"/>
    <w:rsid w:val="003A2BBD"/>
    <w:rsid w:val="003A2C00"/>
    <w:rsid w:val="003A39D2"/>
    <w:rsid w:val="003F1869"/>
    <w:rsid w:val="0040458F"/>
    <w:rsid w:val="00407BE6"/>
    <w:rsid w:val="00441269"/>
    <w:rsid w:val="004654AE"/>
    <w:rsid w:val="00467816"/>
    <w:rsid w:val="004A1A49"/>
    <w:rsid w:val="004B3E1A"/>
    <w:rsid w:val="004E024A"/>
    <w:rsid w:val="005017F9"/>
    <w:rsid w:val="00526CA1"/>
    <w:rsid w:val="0054627F"/>
    <w:rsid w:val="005B630F"/>
    <w:rsid w:val="005B7347"/>
    <w:rsid w:val="005C4E39"/>
    <w:rsid w:val="005E65AD"/>
    <w:rsid w:val="006909E2"/>
    <w:rsid w:val="006C4520"/>
    <w:rsid w:val="006D71AF"/>
    <w:rsid w:val="006E3EA9"/>
    <w:rsid w:val="006F6C3B"/>
    <w:rsid w:val="007007DD"/>
    <w:rsid w:val="007051A3"/>
    <w:rsid w:val="00706746"/>
    <w:rsid w:val="007247A3"/>
    <w:rsid w:val="00737AB4"/>
    <w:rsid w:val="007800F1"/>
    <w:rsid w:val="007A221C"/>
    <w:rsid w:val="007B3AD0"/>
    <w:rsid w:val="007C4258"/>
    <w:rsid w:val="007E6521"/>
    <w:rsid w:val="0080460A"/>
    <w:rsid w:val="008335FC"/>
    <w:rsid w:val="00845480"/>
    <w:rsid w:val="0089319D"/>
    <w:rsid w:val="008A035D"/>
    <w:rsid w:val="008B0B37"/>
    <w:rsid w:val="008B3310"/>
    <w:rsid w:val="00900005"/>
    <w:rsid w:val="00900A3C"/>
    <w:rsid w:val="009358AC"/>
    <w:rsid w:val="009408CB"/>
    <w:rsid w:val="00941260"/>
    <w:rsid w:val="00943571"/>
    <w:rsid w:val="0096540E"/>
    <w:rsid w:val="00973878"/>
    <w:rsid w:val="00975766"/>
    <w:rsid w:val="00A012C3"/>
    <w:rsid w:val="00A20A88"/>
    <w:rsid w:val="00A23647"/>
    <w:rsid w:val="00A25613"/>
    <w:rsid w:val="00A378CD"/>
    <w:rsid w:val="00A3795E"/>
    <w:rsid w:val="00A529F2"/>
    <w:rsid w:val="00A7390F"/>
    <w:rsid w:val="00A85EF7"/>
    <w:rsid w:val="00AB75D7"/>
    <w:rsid w:val="00AC6B4C"/>
    <w:rsid w:val="00AF1854"/>
    <w:rsid w:val="00B01B26"/>
    <w:rsid w:val="00B63435"/>
    <w:rsid w:val="00B75990"/>
    <w:rsid w:val="00B93BD3"/>
    <w:rsid w:val="00BA6C8F"/>
    <w:rsid w:val="00BA79A2"/>
    <w:rsid w:val="00C3360F"/>
    <w:rsid w:val="00C422C9"/>
    <w:rsid w:val="00C47005"/>
    <w:rsid w:val="00C57FEA"/>
    <w:rsid w:val="00C904C9"/>
    <w:rsid w:val="00CA6447"/>
    <w:rsid w:val="00CE6B29"/>
    <w:rsid w:val="00D32752"/>
    <w:rsid w:val="00D40BBC"/>
    <w:rsid w:val="00D90962"/>
    <w:rsid w:val="00E06C3D"/>
    <w:rsid w:val="00E10883"/>
    <w:rsid w:val="00E24DB5"/>
    <w:rsid w:val="00E303D0"/>
    <w:rsid w:val="00E93DAE"/>
    <w:rsid w:val="00EF6E1E"/>
    <w:rsid w:val="00F06515"/>
    <w:rsid w:val="00F250AC"/>
    <w:rsid w:val="00F42439"/>
    <w:rsid w:val="00F44533"/>
    <w:rsid w:val="00F46A9E"/>
    <w:rsid w:val="00FC04BF"/>
    <w:rsid w:val="00FF4B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AFA9F"/>
  <w15:chartTrackingRefBased/>
  <w15:docId w15:val="{EC802B66-14C1-45CC-8847-CE7676487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D2E"/>
    <w:rPr>
      <w:rFonts w:ascii="Verdana" w:hAnsi="Verdana"/>
      <w:sz w:val="24"/>
    </w:rPr>
  </w:style>
  <w:style w:type="paragraph" w:styleId="Heading1">
    <w:name w:val="heading 1"/>
    <w:basedOn w:val="Normal"/>
    <w:next w:val="Normal"/>
    <w:link w:val="Heading1Char"/>
    <w:uiPriority w:val="9"/>
    <w:qFormat/>
    <w:rsid w:val="00DC7D2E"/>
    <w:pPr>
      <w:keepNext/>
      <w:keepLines/>
      <w:spacing w:before="240" w:after="0"/>
      <w:outlineLvl w:val="0"/>
    </w:pPr>
    <w:rPr>
      <w:rFonts w:eastAsiaTheme="majorEastAsia"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DC7D2E"/>
    <w:pPr>
      <w:keepNext/>
      <w:keepLines/>
      <w:spacing w:before="40" w:after="0"/>
      <w:outlineLvl w:val="1"/>
    </w:pPr>
    <w:rPr>
      <w:rFonts w:eastAsiaTheme="majorEastAsia"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7D2E"/>
    <w:rPr>
      <w:rFonts w:ascii="Verdana" w:eastAsiaTheme="majorEastAsia" w:hAnsi="Verdana"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DC7D2E"/>
    <w:rPr>
      <w:rFonts w:ascii="Verdana" w:eastAsiaTheme="majorEastAsia" w:hAnsi="Verdana" w:cstheme="majorBidi"/>
      <w:color w:val="2F5496" w:themeColor="accent1" w:themeShade="BF"/>
      <w:sz w:val="26"/>
      <w:szCs w:val="26"/>
    </w:rPr>
  </w:style>
  <w:style w:type="paragraph" w:styleId="Title">
    <w:name w:val="Title"/>
    <w:basedOn w:val="Normal"/>
    <w:next w:val="Normal"/>
    <w:link w:val="TitleChar"/>
    <w:uiPriority w:val="10"/>
    <w:qFormat/>
    <w:rsid w:val="00DC7D2E"/>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DC7D2E"/>
    <w:rPr>
      <w:rFonts w:ascii="Verdana" w:eastAsiaTheme="majorEastAsia" w:hAnsi="Verdana" w:cstheme="majorBidi"/>
      <w:spacing w:val="-10"/>
      <w:kern w:val="28"/>
      <w:sz w:val="56"/>
      <w:szCs w:val="56"/>
    </w:rPr>
  </w:style>
  <w:style w:type="paragraph" w:styleId="Subtitle">
    <w:name w:val="Subtitle"/>
    <w:basedOn w:val="Normal"/>
    <w:next w:val="Normal"/>
    <w:link w:val="SubtitleChar"/>
    <w:uiPriority w:val="11"/>
    <w:qFormat/>
    <w:rsid w:val="00DC7D2E"/>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C7D2E"/>
    <w:rPr>
      <w:rFonts w:ascii="Verdana" w:eastAsiaTheme="minorEastAsia" w:hAnsi="Verdana"/>
      <w:color w:val="5A5A5A" w:themeColor="text1" w:themeTint="A5"/>
      <w:spacing w:val="15"/>
      <w:sz w:val="24"/>
    </w:rPr>
  </w:style>
  <w:style w:type="numbering" w:customStyle="1" w:styleId="HHSNumbering">
    <w:name w:val="HHSNumbering"/>
    <w:pPr>
      <w:numPr>
        <w:numId w:val="17"/>
      </w:numPr>
    </w:pPr>
  </w:style>
  <w:style w:type="numbering" w:customStyle="1" w:styleId="HHSBullets">
    <w:name w:val="HHSBullets"/>
    <w:pPr>
      <w:numPr>
        <w:numId w:val="15"/>
      </w:numPr>
    </w:pPr>
  </w:style>
  <w:style w:type="paragraph" w:styleId="ListParagraph">
    <w:name w:val="List Paragraph"/>
    <w:basedOn w:val="Normal"/>
    <w:uiPriority w:val="34"/>
    <w:qFormat/>
    <w:rsid w:val="00CE6B29"/>
    <w:pPr>
      <w:ind w:left="720"/>
      <w:contextualSpacing/>
    </w:pPr>
  </w:style>
  <w:style w:type="character" w:styleId="CommentReference">
    <w:name w:val="annotation reference"/>
    <w:basedOn w:val="DefaultParagraphFont"/>
    <w:uiPriority w:val="99"/>
    <w:semiHidden/>
    <w:unhideWhenUsed/>
    <w:rsid w:val="00CE6B29"/>
    <w:rPr>
      <w:sz w:val="16"/>
      <w:szCs w:val="16"/>
    </w:rPr>
  </w:style>
  <w:style w:type="paragraph" w:styleId="CommentText">
    <w:name w:val="annotation text"/>
    <w:basedOn w:val="Normal"/>
    <w:link w:val="CommentTextChar"/>
    <w:uiPriority w:val="99"/>
    <w:semiHidden/>
    <w:unhideWhenUsed/>
    <w:rsid w:val="00CE6B29"/>
    <w:pPr>
      <w:spacing w:line="240" w:lineRule="auto"/>
    </w:pPr>
    <w:rPr>
      <w:sz w:val="20"/>
      <w:szCs w:val="20"/>
    </w:rPr>
  </w:style>
  <w:style w:type="character" w:customStyle="1" w:styleId="CommentTextChar">
    <w:name w:val="Comment Text Char"/>
    <w:basedOn w:val="DefaultParagraphFont"/>
    <w:link w:val="CommentText"/>
    <w:uiPriority w:val="99"/>
    <w:semiHidden/>
    <w:rsid w:val="00CE6B29"/>
    <w:rPr>
      <w:rFonts w:ascii="Verdana" w:hAnsi="Verdana"/>
      <w:sz w:val="20"/>
      <w:szCs w:val="20"/>
    </w:rPr>
  </w:style>
  <w:style w:type="paragraph" w:styleId="BalloonText">
    <w:name w:val="Balloon Text"/>
    <w:basedOn w:val="Normal"/>
    <w:link w:val="BalloonTextChar"/>
    <w:uiPriority w:val="99"/>
    <w:semiHidden/>
    <w:unhideWhenUsed/>
    <w:rsid w:val="00CE6B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6B29"/>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3360F"/>
    <w:rPr>
      <w:b/>
      <w:bCs/>
    </w:rPr>
  </w:style>
  <w:style w:type="character" w:customStyle="1" w:styleId="CommentSubjectChar">
    <w:name w:val="Comment Subject Char"/>
    <w:basedOn w:val="CommentTextChar"/>
    <w:link w:val="CommentSubject"/>
    <w:uiPriority w:val="99"/>
    <w:semiHidden/>
    <w:rsid w:val="00C3360F"/>
    <w:rPr>
      <w:rFonts w:ascii="Verdana" w:hAnsi="Verdana"/>
      <w:b/>
      <w:bCs/>
      <w:sz w:val="20"/>
      <w:szCs w:val="20"/>
    </w:rPr>
  </w:style>
  <w:style w:type="paragraph" w:styleId="Revision">
    <w:name w:val="Revision"/>
    <w:hidden/>
    <w:uiPriority w:val="99"/>
    <w:semiHidden/>
    <w:rsid w:val="005B7347"/>
    <w:pPr>
      <w:spacing w:after="0" w:line="240" w:lineRule="auto"/>
    </w:pPr>
    <w:rPr>
      <w:rFonts w:ascii="Verdana" w:hAnsi="Verdan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microsoft.com/office/2016/09/relationships/commentsIds" Target="commentsIds.xml"/><Relationship Id="rId4" Type="http://schemas.openxmlformats.org/officeDocument/2006/relationships/numbering" Target="numbering.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HHS">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DE848C5D931F149AD966808D7A5A48A" ma:contentTypeVersion="11" ma:contentTypeDescription="Create a new document." ma:contentTypeScope="" ma:versionID="5c5aac13e253fd94e48af759ee632452">
  <xsd:schema xmlns:xsd="http://www.w3.org/2001/XMLSchema" xmlns:xs="http://www.w3.org/2001/XMLSchema" xmlns:p="http://schemas.microsoft.com/office/2006/metadata/properties" xmlns:ns3="c3838d92-9d81-4aef-8313-2fe6274a1ee0" xmlns:ns4="e728b8f3-69aa-4d30-941a-ed383cfa481c" targetNamespace="http://schemas.microsoft.com/office/2006/metadata/properties" ma:root="true" ma:fieldsID="39440bc01621c7da9c41eaff6d1751f3" ns3:_="" ns4:_="">
    <xsd:import namespace="c3838d92-9d81-4aef-8313-2fe6274a1ee0"/>
    <xsd:import namespace="e728b8f3-69aa-4d30-941a-ed383cfa481c"/>
    <xsd:element name="properties">
      <xsd:complexType>
        <xsd:sequence>
          <xsd:element name="documentManagement">
            <xsd:complexType>
              <xsd:all>
                <xsd:element ref="ns3:SharedWithUsers"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Location"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38d92-9d81-4aef-8313-2fe6274a1ee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728b8f3-69aa-4d30-941a-ed383cfa481c" elementFormDefault="qualified">
    <xsd:import namespace="http://schemas.microsoft.com/office/2006/documentManagement/types"/>
    <xsd:import namespace="http://schemas.microsoft.com/office/infopath/2007/PartnerControls"/>
    <xsd:element name="MediaServiceMetadata" ma:index="9" nillable="true" ma:displayName="MediaServiceMetadata" ma:description="" ma:hidden="true" ma:internalName="MediaServiceMetadata" ma:readOnly="true">
      <xsd:simpleType>
        <xsd:restriction base="dms:Note"/>
      </xsd:simpleType>
    </xsd:element>
    <xsd:element name="MediaServiceFastMetadata" ma:index="10" nillable="true" ma:displayName="MediaServiceFastMetadata" ma:description="" ma:hidden="true" ma:internalName="MediaServiceFastMetadata" ma:readOnly="true">
      <xsd:simpleType>
        <xsd:restriction base="dms:Note"/>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AutoTags" ma:index="12" nillable="true" ma:displayName="MediaServiceAutoTags" ma:description=""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Location" ma:index="14" nillable="true" ma:displayName="MediaServiceLocation" ma:internalName="MediaServiceLocatio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6D4893-6EB1-4C3C-9AF8-A526382CAFC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1795C9C-D874-49C6-BD9E-9EC96EAE8D24}">
  <ds:schemaRefs>
    <ds:schemaRef ds:uri="http://schemas.microsoft.com/sharepoint/v3/contenttype/forms"/>
  </ds:schemaRefs>
</ds:datastoreItem>
</file>

<file path=customXml/itemProps3.xml><?xml version="1.0" encoding="utf-8"?>
<ds:datastoreItem xmlns:ds="http://schemas.openxmlformats.org/officeDocument/2006/customXml" ds:itemID="{D05E18E8-87CB-4AE8-A128-8EC840ADE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838d92-9d81-4aef-8313-2fe6274a1ee0"/>
    <ds:schemaRef ds:uri="e728b8f3-69aa-4d30-941a-ed383cfa48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3</Pages>
  <Words>1167</Words>
  <Characters>6657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Monterosso,Analise (DSHS)</dc:creator>
  <cp:keywords/>
  <dc:description/>
  <cp:lastModifiedBy>Juliana Grant</cp:lastModifiedBy>
  <cp:revision>15</cp:revision>
  <dcterms:created xsi:type="dcterms:W3CDTF">2020-02-21T16:05:00Z</dcterms:created>
  <dcterms:modified xsi:type="dcterms:W3CDTF">2020-02-21T17:48:00Z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0x010100EDE848C5D931F149AD966808D7A5A48A</vt:lpwstr>
  </property>
</Properties>
</file>