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76029" w14:textId="77777777" w:rsidR="00D90962" w:rsidRPr="002509BF" w:rsidRDefault="00CE6B29" w:rsidP="00A85EF7">
      <w:pPr>
        <w:rPr>
          <w:szCs w:val="24"/>
        </w:rPr>
      </w:pPr>
      <w:r w:rsidRPr="002509BF">
        <w:rPr>
          <w:szCs w:val="24"/>
        </w:rPr>
        <w:t>CD&amp;R Policy Brief Section 1</w:t>
      </w:r>
    </w:p>
    <w:p w14:paraId="72D0E7A6" w14:textId="3B4EEFDB" w:rsidR="00CE6B29" w:rsidRPr="002509BF" w:rsidRDefault="00CE6B29" w:rsidP="00A85EF7">
      <w:pPr>
        <w:rPr>
          <w:szCs w:val="24"/>
        </w:rPr>
      </w:pPr>
      <w:r w:rsidRPr="002509BF">
        <w:rPr>
          <w:szCs w:val="24"/>
        </w:rPr>
        <w:t>Section Lead: Colin Flynn</w:t>
      </w:r>
      <w:r w:rsidR="00815BCD" w:rsidRPr="002509BF">
        <w:rPr>
          <w:szCs w:val="24"/>
        </w:rPr>
        <w:t xml:space="preserve"> </w:t>
      </w:r>
      <w:r w:rsidR="00D76FE8">
        <w:rPr>
          <w:szCs w:val="24"/>
        </w:rPr>
        <w:t>and</w:t>
      </w:r>
      <w:r w:rsidR="00815BCD" w:rsidRPr="002509BF">
        <w:rPr>
          <w:szCs w:val="24"/>
        </w:rPr>
        <w:t xml:space="preserve"> Juliana Grant</w:t>
      </w:r>
    </w:p>
    <w:p w14:paraId="5353B494" w14:textId="77777777" w:rsidR="00CE6B29" w:rsidRPr="002509BF" w:rsidRDefault="00CE6B29" w:rsidP="00CE6B29">
      <w:pPr>
        <w:pStyle w:val="ListParagraph"/>
        <w:numPr>
          <w:ilvl w:val="0"/>
          <w:numId w:val="40"/>
        </w:numPr>
        <w:rPr>
          <w:szCs w:val="24"/>
        </w:rPr>
      </w:pPr>
      <w:r w:rsidRPr="002509BF">
        <w:rPr>
          <w:szCs w:val="24"/>
        </w:rPr>
        <w:t>Funding</w:t>
      </w:r>
    </w:p>
    <w:p w14:paraId="1975B2F1" w14:textId="77777777" w:rsidR="007B067D" w:rsidRDefault="00CE6B29" w:rsidP="007B067D">
      <w:pPr>
        <w:pStyle w:val="ListParagraph"/>
        <w:numPr>
          <w:ilvl w:val="1"/>
          <w:numId w:val="40"/>
        </w:numPr>
        <w:rPr>
          <w:szCs w:val="24"/>
        </w:rPr>
      </w:pPr>
      <w:r w:rsidRPr="002509BF">
        <w:rPr>
          <w:szCs w:val="24"/>
        </w:rPr>
        <w:t>Description of the Problem</w:t>
      </w:r>
    </w:p>
    <w:p w14:paraId="4B60055B" w14:textId="5D6F5ABA" w:rsidR="00EB3428" w:rsidRDefault="006F1B3D" w:rsidP="00093BC5">
      <w:pPr>
        <w:pStyle w:val="ListParagraph"/>
        <w:ind w:left="1080"/>
        <w:rPr>
          <w:szCs w:val="24"/>
        </w:rPr>
      </w:pPr>
      <w:r w:rsidRPr="007B067D">
        <w:rPr>
          <w:szCs w:val="24"/>
        </w:rPr>
        <w:t>PS18-1802 introduced multiple new required activities</w:t>
      </w:r>
      <w:r w:rsidR="00093BC5">
        <w:rPr>
          <w:szCs w:val="24"/>
        </w:rPr>
        <w:t>. However,</w:t>
      </w:r>
      <w:r w:rsidRPr="007B067D">
        <w:rPr>
          <w:szCs w:val="24"/>
        </w:rPr>
        <w:t xml:space="preserve"> most jurisdictions received minimal to no </w:t>
      </w:r>
      <w:r w:rsidR="00093BC5">
        <w:rPr>
          <w:szCs w:val="24"/>
        </w:rPr>
        <w:t xml:space="preserve">funding </w:t>
      </w:r>
      <w:r w:rsidRPr="007B067D">
        <w:rPr>
          <w:szCs w:val="24"/>
        </w:rPr>
        <w:t>increase</w:t>
      </w:r>
      <w:r w:rsidR="00093BC5">
        <w:rPr>
          <w:szCs w:val="24"/>
        </w:rPr>
        <w:t xml:space="preserve"> and the vast majority </w:t>
      </w:r>
      <w:r w:rsidR="006268E6" w:rsidRPr="007B067D">
        <w:rPr>
          <w:szCs w:val="24"/>
        </w:rPr>
        <w:t>do not receive funding from state or local sources</w:t>
      </w:r>
      <w:r w:rsidR="00093BC5">
        <w:rPr>
          <w:szCs w:val="24"/>
        </w:rPr>
        <w:t xml:space="preserve">. As a result, there </w:t>
      </w:r>
      <w:r w:rsidR="00EB3428">
        <w:rPr>
          <w:szCs w:val="24"/>
        </w:rPr>
        <w:t>are</w:t>
      </w:r>
      <w:r w:rsidR="00093BC5">
        <w:rPr>
          <w:szCs w:val="24"/>
        </w:rPr>
        <w:t xml:space="preserve"> few resources available to support additional activities or</w:t>
      </w:r>
      <w:r w:rsidR="006268E6" w:rsidRPr="007B067D">
        <w:rPr>
          <w:szCs w:val="24"/>
        </w:rPr>
        <w:t xml:space="preserve"> </w:t>
      </w:r>
      <w:r w:rsidR="00093BC5">
        <w:rPr>
          <w:szCs w:val="24"/>
        </w:rPr>
        <w:t>cover annual</w:t>
      </w:r>
      <w:r w:rsidR="006268E6" w:rsidRPr="007B067D">
        <w:rPr>
          <w:szCs w:val="24"/>
        </w:rPr>
        <w:t xml:space="preserve"> increases in operating expenses</w:t>
      </w:r>
      <w:r w:rsidR="00093BC5">
        <w:rPr>
          <w:szCs w:val="24"/>
        </w:rPr>
        <w:t xml:space="preserve">. Additionally, despite the goal of creating integrated prevention-surveillance activities, </w:t>
      </w:r>
      <w:r w:rsidR="00093BC5">
        <w:rPr>
          <w:szCs w:val="24"/>
        </w:rPr>
        <w:t>the PS18-1802 grant</w:t>
      </w:r>
      <w:r w:rsidR="00093BC5">
        <w:rPr>
          <w:szCs w:val="24"/>
        </w:rPr>
        <w:t xml:space="preserve"> requires that</w:t>
      </w:r>
      <w:r w:rsidR="00093BC5">
        <w:rPr>
          <w:szCs w:val="24"/>
        </w:rPr>
        <w:t xml:space="preserve"> jurisdictions submit separate budgets for surveillance and prevention </w:t>
      </w:r>
      <w:r w:rsidR="00093BC5">
        <w:rPr>
          <w:szCs w:val="24"/>
        </w:rPr>
        <w:t xml:space="preserve">and does not support </w:t>
      </w:r>
      <w:r w:rsidR="00093BC5">
        <w:rPr>
          <w:szCs w:val="24"/>
        </w:rPr>
        <w:t xml:space="preserve">fluid movement of money within </w:t>
      </w:r>
      <w:r w:rsidR="00EB3428">
        <w:rPr>
          <w:szCs w:val="24"/>
        </w:rPr>
        <w:t>and between surveillance and prevention programs</w:t>
      </w:r>
      <w:r w:rsidR="00093BC5">
        <w:rPr>
          <w:szCs w:val="24"/>
        </w:rPr>
        <w:t xml:space="preserve"> as needs are identified</w:t>
      </w:r>
      <w:r w:rsidR="00EB3428">
        <w:rPr>
          <w:szCs w:val="24"/>
        </w:rPr>
        <w:t xml:space="preserve">. </w:t>
      </w:r>
    </w:p>
    <w:p w14:paraId="2E906AA2" w14:textId="77777777" w:rsidR="00EB3428" w:rsidRDefault="00EB3428" w:rsidP="00093BC5">
      <w:pPr>
        <w:pStyle w:val="ListParagraph"/>
        <w:ind w:left="1080"/>
        <w:rPr>
          <w:szCs w:val="24"/>
        </w:rPr>
      </w:pPr>
    </w:p>
    <w:p w14:paraId="0185490F" w14:textId="65E012C9" w:rsidR="007B067D" w:rsidRDefault="00EB3428" w:rsidP="007B067D">
      <w:pPr>
        <w:pStyle w:val="ListParagraph"/>
        <w:ind w:left="1080"/>
        <w:rPr>
          <w:szCs w:val="24"/>
        </w:rPr>
      </w:pPr>
      <w:r>
        <w:rPr>
          <w:szCs w:val="24"/>
        </w:rPr>
        <w:t>E</w:t>
      </w:r>
      <w:r w:rsidR="00C911FE">
        <w:rPr>
          <w:szCs w:val="24"/>
        </w:rPr>
        <w:t>ffective c</w:t>
      </w:r>
      <w:r w:rsidR="00C911FE" w:rsidRPr="00C911FE">
        <w:rPr>
          <w:szCs w:val="24"/>
        </w:rPr>
        <w:t xml:space="preserve">luster response </w:t>
      </w:r>
      <w:r w:rsidR="00C911FE">
        <w:rPr>
          <w:szCs w:val="24"/>
        </w:rPr>
        <w:t xml:space="preserve">requires close collaboration with all HIV care and service providers to identify and </w:t>
      </w:r>
      <w:r>
        <w:rPr>
          <w:szCs w:val="24"/>
        </w:rPr>
        <w:t xml:space="preserve">test </w:t>
      </w:r>
      <w:r w:rsidR="00C911FE" w:rsidRPr="00C911FE">
        <w:rPr>
          <w:szCs w:val="24"/>
        </w:rPr>
        <w:t xml:space="preserve">persons related to the </w:t>
      </w:r>
      <w:r w:rsidR="00C911FE">
        <w:rPr>
          <w:szCs w:val="24"/>
        </w:rPr>
        <w:t xml:space="preserve">network and ensure they </w:t>
      </w:r>
      <w:r w:rsidR="00093BC5">
        <w:rPr>
          <w:szCs w:val="24"/>
        </w:rPr>
        <w:t xml:space="preserve">are </w:t>
      </w:r>
      <w:r w:rsidR="00C911FE">
        <w:rPr>
          <w:szCs w:val="24"/>
        </w:rPr>
        <w:t xml:space="preserve">engaged or re-engaged in care. </w:t>
      </w:r>
      <w:r w:rsidR="00093BC5">
        <w:rPr>
          <w:szCs w:val="24"/>
        </w:rPr>
        <w:t>However, non-CDC funding sources do not require engagement in cluster response activities</w:t>
      </w:r>
      <w:r>
        <w:rPr>
          <w:szCs w:val="24"/>
        </w:rPr>
        <w:t xml:space="preserve"> and no funding sources are available to support </w:t>
      </w:r>
      <w:r w:rsidR="006268E6" w:rsidRPr="007B067D">
        <w:rPr>
          <w:szCs w:val="24"/>
        </w:rPr>
        <w:t>surge capacity at all levels of HIV work</w:t>
      </w:r>
      <w:r>
        <w:rPr>
          <w:szCs w:val="24"/>
        </w:rPr>
        <w:t xml:space="preserve"> in the event of large or complex outbreaks.</w:t>
      </w:r>
    </w:p>
    <w:p w14:paraId="36DC135C" w14:textId="77777777" w:rsidR="007B067D" w:rsidRDefault="007B067D" w:rsidP="007B067D">
      <w:pPr>
        <w:pStyle w:val="ListParagraph"/>
        <w:ind w:left="1080"/>
        <w:rPr>
          <w:szCs w:val="24"/>
        </w:rPr>
      </w:pPr>
    </w:p>
    <w:p w14:paraId="5C519306" w14:textId="68D02004" w:rsidR="006F1B3D" w:rsidRPr="00EB3428" w:rsidRDefault="006F1B3D" w:rsidP="00EB3428">
      <w:pPr>
        <w:pStyle w:val="ListParagraph"/>
        <w:ind w:left="1080"/>
        <w:rPr>
          <w:szCs w:val="24"/>
        </w:rPr>
      </w:pPr>
      <w:r w:rsidRPr="007B067D">
        <w:rPr>
          <w:szCs w:val="24"/>
        </w:rPr>
        <w:t xml:space="preserve">Insufficient funding, </w:t>
      </w:r>
      <w:r w:rsidR="00EB3428">
        <w:rPr>
          <w:szCs w:val="24"/>
        </w:rPr>
        <w:t>along</w:t>
      </w:r>
      <w:r w:rsidRPr="007B067D">
        <w:rPr>
          <w:szCs w:val="24"/>
        </w:rPr>
        <w:t xml:space="preserve"> with </w:t>
      </w:r>
      <w:r w:rsidR="00EB3428">
        <w:rPr>
          <w:szCs w:val="24"/>
        </w:rPr>
        <w:t>barriers</w:t>
      </w:r>
      <w:r w:rsidRPr="007B067D">
        <w:rPr>
          <w:szCs w:val="24"/>
        </w:rPr>
        <w:t xml:space="preserve"> </w:t>
      </w:r>
      <w:r w:rsidR="00EB3428">
        <w:rPr>
          <w:szCs w:val="24"/>
        </w:rPr>
        <w:t>to</w:t>
      </w:r>
      <w:r w:rsidRPr="007B067D">
        <w:rPr>
          <w:szCs w:val="24"/>
        </w:rPr>
        <w:t xml:space="preserve"> creating and filling positions, means there is insufficient capacity to complete </w:t>
      </w:r>
      <w:r w:rsidR="006268E6" w:rsidRPr="007B067D">
        <w:rPr>
          <w:szCs w:val="24"/>
        </w:rPr>
        <w:t xml:space="preserve">routine </w:t>
      </w:r>
      <w:r w:rsidRPr="007B067D">
        <w:rPr>
          <w:szCs w:val="24"/>
        </w:rPr>
        <w:t>required activities</w:t>
      </w:r>
      <w:r w:rsidR="006268E6" w:rsidRPr="007B067D">
        <w:rPr>
          <w:szCs w:val="24"/>
        </w:rPr>
        <w:t xml:space="preserve"> or respond to HIV outbreaks</w:t>
      </w:r>
      <w:r w:rsidRPr="007B067D">
        <w:rPr>
          <w:szCs w:val="24"/>
        </w:rPr>
        <w:t xml:space="preserve">. </w:t>
      </w:r>
      <w:r w:rsidR="00C911FE">
        <w:rPr>
          <w:szCs w:val="24"/>
        </w:rPr>
        <w:t xml:space="preserve">Staff turnover and low retention </w:t>
      </w:r>
      <w:r w:rsidR="00C911FE">
        <w:rPr>
          <w:szCs w:val="24"/>
        </w:rPr>
        <w:t xml:space="preserve">from </w:t>
      </w:r>
      <w:r w:rsidR="00EB3428">
        <w:rPr>
          <w:szCs w:val="24"/>
        </w:rPr>
        <w:t>noncompetitive</w:t>
      </w:r>
      <w:r w:rsidR="00C911FE">
        <w:rPr>
          <w:szCs w:val="24"/>
        </w:rPr>
        <w:t xml:space="preserve"> salaries </w:t>
      </w:r>
      <w:r w:rsidR="00C911FE">
        <w:rPr>
          <w:szCs w:val="24"/>
        </w:rPr>
        <w:t>results in constant re-training and loss of productivity as institutional knowledge is lost</w:t>
      </w:r>
      <w:r w:rsidR="00EB3428">
        <w:rPr>
          <w:szCs w:val="24"/>
        </w:rPr>
        <w:t xml:space="preserve"> and</w:t>
      </w:r>
      <w:r w:rsidR="00C911FE">
        <w:rPr>
          <w:szCs w:val="24"/>
        </w:rPr>
        <w:t xml:space="preserve"> </w:t>
      </w:r>
      <w:r w:rsidR="00EB3428">
        <w:rPr>
          <w:szCs w:val="24"/>
        </w:rPr>
        <w:t>f</w:t>
      </w:r>
      <w:r w:rsidR="00EB3428" w:rsidRPr="007B067D">
        <w:rPr>
          <w:szCs w:val="24"/>
        </w:rPr>
        <w:t xml:space="preserve">unding </w:t>
      </w:r>
      <w:r w:rsidR="00EB3428">
        <w:rPr>
          <w:szCs w:val="24"/>
        </w:rPr>
        <w:t>is not available</w:t>
      </w:r>
      <w:r w:rsidR="00EB3428" w:rsidRPr="007B067D">
        <w:rPr>
          <w:szCs w:val="24"/>
        </w:rPr>
        <w:t xml:space="preserve"> to support training and continuing education</w:t>
      </w:r>
      <w:r w:rsidR="00EB3428">
        <w:rPr>
          <w:szCs w:val="24"/>
        </w:rPr>
        <w:t xml:space="preserve"> for new staff</w:t>
      </w:r>
      <w:r w:rsidRPr="007B067D">
        <w:rPr>
          <w:szCs w:val="24"/>
        </w:rPr>
        <w:t xml:space="preserve">. </w:t>
      </w:r>
    </w:p>
    <w:p w14:paraId="1569B29F" w14:textId="77777777" w:rsidR="00A412EF" w:rsidRPr="002509BF" w:rsidRDefault="00A412EF" w:rsidP="006F1B3D">
      <w:pPr>
        <w:pStyle w:val="ListParagraph"/>
        <w:ind w:left="1440"/>
        <w:rPr>
          <w:szCs w:val="24"/>
        </w:rPr>
      </w:pPr>
    </w:p>
    <w:p w14:paraId="19A5BAA3" w14:textId="77777777" w:rsidR="007B067D" w:rsidRDefault="00CE6B29" w:rsidP="007B067D">
      <w:pPr>
        <w:pStyle w:val="ListParagraph"/>
        <w:numPr>
          <w:ilvl w:val="1"/>
          <w:numId w:val="40"/>
        </w:numPr>
        <w:rPr>
          <w:szCs w:val="24"/>
        </w:rPr>
      </w:pPr>
      <w:r w:rsidRPr="002509BF">
        <w:rPr>
          <w:szCs w:val="24"/>
        </w:rPr>
        <w:t>Proposed solution or request</w:t>
      </w:r>
    </w:p>
    <w:p w14:paraId="0AE4EAAE" w14:textId="20BE633D" w:rsidR="007B067D" w:rsidRDefault="00EB3428" w:rsidP="007B067D">
      <w:pPr>
        <w:pStyle w:val="ListParagraph"/>
        <w:ind w:left="1080"/>
        <w:rPr>
          <w:szCs w:val="24"/>
        </w:rPr>
      </w:pPr>
      <w:r>
        <w:rPr>
          <w:szCs w:val="24"/>
        </w:rPr>
        <w:t>We advocate for i</w:t>
      </w:r>
      <w:r w:rsidR="008820AC" w:rsidRPr="007B067D">
        <w:rPr>
          <w:szCs w:val="24"/>
        </w:rPr>
        <w:t xml:space="preserve">ncreased funding </w:t>
      </w:r>
      <w:r w:rsidR="002D2EE2" w:rsidRPr="007B067D">
        <w:rPr>
          <w:szCs w:val="24"/>
        </w:rPr>
        <w:t>for state, local, tribal, and territorial health departments</w:t>
      </w:r>
      <w:r>
        <w:rPr>
          <w:szCs w:val="24"/>
        </w:rPr>
        <w:t xml:space="preserve"> to meet public health needs</w:t>
      </w:r>
      <w:r w:rsidR="006268E6" w:rsidRPr="007B067D">
        <w:rPr>
          <w:szCs w:val="24"/>
        </w:rPr>
        <w:t xml:space="preserve">. State and local governments should </w:t>
      </w:r>
      <w:r>
        <w:rPr>
          <w:szCs w:val="24"/>
        </w:rPr>
        <w:t>fund</w:t>
      </w:r>
      <w:r w:rsidR="006268E6" w:rsidRPr="007B067D">
        <w:rPr>
          <w:szCs w:val="24"/>
        </w:rPr>
        <w:t xml:space="preserve"> core public health activities including routine disease surveillance and outbreak response. </w:t>
      </w:r>
      <w:r w:rsidR="00D76FE8" w:rsidRPr="007B067D">
        <w:rPr>
          <w:szCs w:val="24"/>
        </w:rPr>
        <w:t xml:space="preserve">Federal funding (e.g., </w:t>
      </w:r>
      <w:r w:rsidR="006268E6" w:rsidRPr="007B067D">
        <w:rPr>
          <w:szCs w:val="24"/>
        </w:rPr>
        <w:t>CDC</w:t>
      </w:r>
      <w:r w:rsidR="00D76FE8" w:rsidRPr="007B067D">
        <w:rPr>
          <w:szCs w:val="24"/>
        </w:rPr>
        <w:t xml:space="preserve"> and HRSA)</w:t>
      </w:r>
      <w:r w:rsidR="006268E6" w:rsidRPr="007B067D">
        <w:rPr>
          <w:szCs w:val="24"/>
        </w:rPr>
        <w:t xml:space="preserve"> should be commensurate with required activities</w:t>
      </w:r>
      <w:r>
        <w:rPr>
          <w:szCs w:val="24"/>
        </w:rPr>
        <w:t>. A</w:t>
      </w:r>
      <w:r w:rsidR="006268E6" w:rsidRPr="007B067D">
        <w:rPr>
          <w:szCs w:val="24"/>
        </w:rPr>
        <w:t xml:space="preserve">ll funding sources should accommodate annual cost increases. However, we recognize that increased </w:t>
      </w:r>
      <w:r w:rsidR="006268E6" w:rsidRPr="007B067D">
        <w:rPr>
          <w:szCs w:val="24"/>
        </w:rPr>
        <w:lastRenderedPageBreak/>
        <w:t>funding for public health HIV activities is unlikely to be a primary solution and we must identify other approaches that can support our efforts to End the Epidemic. These approaches includ</w:t>
      </w:r>
      <w:r w:rsidR="0078686D" w:rsidRPr="007B067D">
        <w:rPr>
          <w:szCs w:val="24"/>
        </w:rPr>
        <w:t>e the following</w:t>
      </w:r>
      <w:r>
        <w:rPr>
          <w:szCs w:val="24"/>
        </w:rPr>
        <w:t>:</w:t>
      </w:r>
    </w:p>
    <w:p w14:paraId="5E7515BA" w14:textId="77777777" w:rsidR="007B067D" w:rsidRDefault="007B067D" w:rsidP="007B067D">
      <w:pPr>
        <w:pStyle w:val="ListParagraph"/>
        <w:ind w:left="1080"/>
        <w:rPr>
          <w:szCs w:val="24"/>
        </w:rPr>
      </w:pPr>
    </w:p>
    <w:p w14:paraId="0F372082" w14:textId="250F729A" w:rsidR="006268E6" w:rsidRPr="00EB3428" w:rsidRDefault="00D76FE8" w:rsidP="00EB3428">
      <w:pPr>
        <w:pStyle w:val="ListParagraph"/>
        <w:ind w:left="1080"/>
        <w:rPr>
          <w:szCs w:val="24"/>
        </w:rPr>
      </w:pPr>
      <w:r w:rsidRPr="007B067D">
        <w:rPr>
          <w:szCs w:val="24"/>
        </w:rPr>
        <w:t>Federal agencies</w:t>
      </w:r>
      <w:r w:rsidR="0078686D" w:rsidRPr="007B067D">
        <w:rPr>
          <w:szCs w:val="24"/>
        </w:rPr>
        <w:t>:</w:t>
      </w:r>
    </w:p>
    <w:p w14:paraId="2F772853" w14:textId="7FCC7FBD" w:rsidR="00A412EF" w:rsidRDefault="00D76FE8" w:rsidP="007B067D">
      <w:pPr>
        <w:pStyle w:val="ListParagraph"/>
        <w:numPr>
          <w:ilvl w:val="2"/>
          <w:numId w:val="41"/>
        </w:numPr>
        <w:ind w:left="1800"/>
        <w:rPr>
          <w:szCs w:val="24"/>
        </w:rPr>
      </w:pPr>
      <w:r>
        <w:rPr>
          <w:szCs w:val="24"/>
        </w:rPr>
        <w:t>CDC s</w:t>
      </w:r>
      <w:r>
        <w:rPr>
          <w:szCs w:val="24"/>
        </w:rPr>
        <w:t xml:space="preserve">hould </w:t>
      </w:r>
      <w:r w:rsidR="00A412EF">
        <w:rPr>
          <w:szCs w:val="24"/>
        </w:rPr>
        <w:t>consistently allow funded health departments i</w:t>
      </w:r>
      <w:r w:rsidR="008820AC">
        <w:rPr>
          <w:szCs w:val="24"/>
        </w:rPr>
        <w:t xml:space="preserve">ncreased flexibility </w:t>
      </w:r>
      <w:r w:rsidR="00A412EF">
        <w:rPr>
          <w:szCs w:val="24"/>
        </w:rPr>
        <w:t>around</w:t>
      </w:r>
      <w:r w:rsidR="008820AC">
        <w:rPr>
          <w:szCs w:val="24"/>
        </w:rPr>
        <w:t xml:space="preserve"> the use of carryover funding </w:t>
      </w:r>
      <w:r w:rsidR="00A412EF">
        <w:rPr>
          <w:szCs w:val="24"/>
        </w:rPr>
        <w:t xml:space="preserve">so that it can be used </w:t>
      </w:r>
      <w:r w:rsidR="008820AC">
        <w:rPr>
          <w:szCs w:val="24"/>
        </w:rPr>
        <w:t>within the 5</w:t>
      </w:r>
      <w:r w:rsidR="00A412EF">
        <w:rPr>
          <w:szCs w:val="24"/>
        </w:rPr>
        <w:t>-</w:t>
      </w:r>
      <w:r w:rsidR="008820AC">
        <w:rPr>
          <w:szCs w:val="24"/>
        </w:rPr>
        <w:t>year time frame of the agreement</w:t>
      </w:r>
      <w:r w:rsidR="00A412EF">
        <w:rPr>
          <w:szCs w:val="24"/>
        </w:rPr>
        <w:t xml:space="preserve"> rather than </w:t>
      </w:r>
      <w:r w:rsidR="00EB3428">
        <w:rPr>
          <w:szCs w:val="24"/>
        </w:rPr>
        <w:t xml:space="preserve">requiring </w:t>
      </w:r>
      <w:r w:rsidR="00A412EF">
        <w:rPr>
          <w:szCs w:val="24"/>
        </w:rPr>
        <w:t>it</w:t>
      </w:r>
      <w:r w:rsidR="00EB3428">
        <w:rPr>
          <w:szCs w:val="24"/>
        </w:rPr>
        <w:t xml:space="preserve"> </w:t>
      </w:r>
      <w:r w:rsidR="00A412EF">
        <w:rPr>
          <w:szCs w:val="24"/>
        </w:rPr>
        <w:t>be spent by the end of the following year.</w:t>
      </w:r>
    </w:p>
    <w:p w14:paraId="62B97CFC" w14:textId="3B2FF751" w:rsidR="007B067D" w:rsidRDefault="007B067D" w:rsidP="007B067D">
      <w:pPr>
        <w:pStyle w:val="ListParagraph"/>
        <w:numPr>
          <w:ilvl w:val="2"/>
          <w:numId w:val="41"/>
        </w:numPr>
        <w:ind w:left="1800"/>
        <w:rPr>
          <w:szCs w:val="24"/>
        </w:rPr>
      </w:pPr>
      <w:r>
        <w:rPr>
          <w:szCs w:val="24"/>
        </w:rPr>
        <w:t>CDC should allow budgets to be fluid between surveillance and prevention programs in integrated grants</w:t>
      </w:r>
      <w:r w:rsidR="00093BC5">
        <w:rPr>
          <w:szCs w:val="24"/>
        </w:rPr>
        <w:t xml:space="preserve"> to support cross-cutting activities, including </w:t>
      </w:r>
      <w:r w:rsidR="00EB3428">
        <w:rPr>
          <w:szCs w:val="24"/>
        </w:rPr>
        <w:t xml:space="preserve">creating </w:t>
      </w:r>
      <w:r w:rsidR="00093BC5">
        <w:rPr>
          <w:szCs w:val="24"/>
        </w:rPr>
        <w:t>Direct Assistance</w:t>
      </w:r>
      <w:r w:rsidR="00EB3428">
        <w:rPr>
          <w:szCs w:val="24"/>
        </w:rPr>
        <w:t xml:space="preserve"> positions</w:t>
      </w:r>
      <w:r>
        <w:rPr>
          <w:szCs w:val="24"/>
        </w:rPr>
        <w:t>.</w:t>
      </w:r>
    </w:p>
    <w:p w14:paraId="3A2FBFC2" w14:textId="0C498DFE" w:rsidR="00EB3428" w:rsidRPr="007B067D" w:rsidRDefault="00EB3428" w:rsidP="007B067D">
      <w:pPr>
        <w:pStyle w:val="ListParagraph"/>
        <w:numPr>
          <w:ilvl w:val="2"/>
          <w:numId w:val="41"/>
        </w:numPr>
        <w:ind w:left="1800"/>
        <w:rPr>
          <w:szCs w:val="24"/>
        </w:rPr>
      </w:pPr>
      <w:r>
        <w:rPr>
          <w:szCs w:val="24"/>
        </w:rPr>
        <w:t xml:space="preserve">HRSA should consider developing a Direct Assistance program to support building capacity </w:t>
      </w:r>
      <w:r w:rsidR="0034711A">
        <w:rPr>
          <w:szCs w:val="24"/>
        </w:rPr>
        <w:t>at the state and local levels.</w:t>
      </w:r>
    </w:p>
    <w:p w14:paraId="17D612EB" w14:textId="0FD52604" w:rsidR="008820AC" w:rsidRDefault="00D76FE8" w:rsidP="007B067D">
      <w:pPr>
        <w:pStyle w:val="ListParagraph"/>
        <w:numPr>
          <w:ilvl w:val="2"/>
          <w:numId w:val="41"/>
        </w:numPr>
        <w:ind w:left="1800"/>
        <w:rPr>
          <w:szCs w:val="24"/>
        </w:rPr>
      </w:pPr>
      <w:r>
        <w:rPr>
          <w:szCs w:val="24"/>
        </w:rPr>
        <w:t>CDC s</w:t>
      </w:r>
      <w:r>
        <w:rPr>
          <w:szCs w:val="24"/>
        </w:rPr>
        <w:t xml:space="preserve">hould </w:t>
      </w:r>
      <w:r w:rsidR="00A412EF">
        <w:rPr>
          <w:szCs w:val="24"/>
        </w:rPr>
        <w:t xml:space="preserve">develop formal prioritization of surveillance and prevention activities to support health departments in deciding how to allocate time and resources. This is particularly important for low morbidity jurisdictions which consistently struggle with insufficient staff and maintaining topic-specific expertise among staff who are responsible for a wide-range of </w:t>
      </w:r>
      <w:r w:rsidR="006268E6">
        <w:rPr>
          <w:szCs w:val="24"/>
        </w:rPr>
        <w:t xml:space="preserve">non-HIV </w:t>
      </w:r>
      <w:r w:rsidR="00A412EF">
        <w:rPr>
          <w:szCs w:val="24"/>
        </w:rPr>
        <w:t>activities.</w:t>
      </w:r>
    </w:p>
    <w:p w14:paraId="76F3D7C4" w14:textId="74E26218" w:rsidR="00A412EF" w:rsidRDefault="00D76FE8" w:rsidP="007B067D">
      <w:pPr>
        <w:pStyle w:val="ListParagraph"/>
        <w:numPr>
          <w:ilvl w:val="2"/>
          <w:numId w:val="41"/>
        </w:numPr>
        <w:ind w:left="1800"/>
        <w:rPr>
          <w:szCs w:val="24"/>
        </w:rPr>
      </w:pPr>
      <w:r>
        <w:rPr>
          <w:szCs w:val="24"/>
        </w:rPr>
        <w:t>CDC s</w:t>
      </w:r>
      <w:r>
        <w:rPr>
          <w:szCs w:val="24"/>
        </w:rPr>
        <w:t xml:space="preserve">hould </w:t>
      </w:r>
      <w:r w:rsidR="00A412EF">
        <w:rPr>
          <w:szCs w:val="24"/>
        </w:rPr>
        <w:t>consider whether certain activities could be retired or whether surveillance data collection could be streamline</w:t>
      </w:r>
      <w:r w:rsidR="002D2EE2">
        <w:rPr>
          <w:szCs w:val="24"/>
        </w:rPr>
        <w:t>d</w:t>
      </w:r>
      <w:r w:rsidR="00A412EF">
        <w:rPr>
          <w:szCs w:val="24"/>
        </w:rPr>
        <w:t xml:space="preserve"> or even decreased to free up time for other priority activities.</w:t>
      </w:r>
      <w:r w:rsidR="002D2EE2">
        <w:rPr>
          <w:szCs w:val="24"/>
        </w:rPr>
        <w:t xml:space="preserve"> Alternatively, </w:t>
      </w:r>
      <w:r w:rsidR="0078686D">
        <w:rPr>
          <w:szCs w:val="24"/>
        </w:rPr>
        <w:t xml:space="preserve">CDC should endeavor to </w:t>
      </w:r>
      <w:r w:rsidR="0034711A">
        <w:rPr>
          <w:szCs w:val="24"/>
        </w:rPr>
        <w:t xml:space="preserve">take on more </w:t>
      </w:r>
      <w:r w:rsidR="0078686D">
        <w:rPr>
          <w:szCs w:val="24"/>
        </w:rPr>
        <w:t xml:space="preserve">surveillance activities be conducted centrally </w:t>
      </w:r>
      <w:r w:rsidR="002D2EE2">
        <w:rPr>
          <w:szCs w:val="24"/>
        </w:rPr>
        <w:t>rather than at the health department level.</w:t>
      </w:r>
    </w:p>
    <w:p w14:paraId="3AFD8BB9" w14:textId="59F8E117" w:rsidR="0078686D" w:rsidRDefault="0078686D" w:rsidP="007B067D">
      <w:pPr>
        <w:pStyle w:val="ListParagraph"/>
        <w:numPr>
          <w:ilvl w:val="2"/>
          <w:numId w:val="41"/>
        </w:numPr>
        <w:ind w:left="1800"/>
        <w:rPr>
          <w:szCs w:val="24"/>
        </w:rPr>
      </w:pPr>
      <w:r>
        <w:rPr>
          <w:szCs w:val="24"/>
        </w:rPr>
        <w:t xml:space="preserve">In the event that large and complex cluster responses occur in a jurisdiction, CDC </w:t>
      </w:r>
      <w:r w:rsidR="00D76FE8">
        <w:rPr>
          <w:szCs w:val="24"/>
        </w:rPr>
        <w:t xml:space="preserve">and HRSA </w:t>
      </w:r>
      <w:r>
        <w:rPr>
          <w:szCs w:val="24"/>
        </w:rPr>
        <w:t>should consider the impact of those efforts on the program’s ability to meet other requirements during a funding cycle.</w:t>
      </w:r>
    </w:p>
    <w:p w14:paraId="491BC99F" w14:textId="7723631C" w:rsidR="0078686D" w:rsidRDefault="00D76FE8" w:rsidP="007B067D">
      <w:pPr>
        <w:pStyle w:val="ListParagraph"/>
        <w:numPr>
          <w:ilvl w:val="2"/>
          <w:numId w:val="41"/>
        </w:numPr>
        <w:ind w:left="1800"/>
        <w:rPr>
          <w:szCs w:val="24"/>
        </w:rPr>
      </w:pPr>
      <w:r>
        <w:rPr>
          <w:szCs w:val="24"/>
        </w:rPr>
        <w:t>CDC and HRSA s</w:t>
      </w:r>
      <w:r w:rsidR="0078686D">
        <w:rPr>
          <w:szCs w:val="24"/>
        </w:rPr>
        <w:t xml:space="preserve">hould create a mechanism for </w:t>
      </w:r>
      <w:r w:rsidR="0034711A">
        <w:rPr>
          <w:szCs w:val="24"/>
        </w:rPr>
        <w:t xml:space="preserve">rapid </w:t>
      </w:r>
      <w:r w:rsidR="0078686D">
        <w:rPr>
          <w:szCs w:val="24"/>
        </w:rPr>
        <w:t>emergency funding for programs responding HIV outbreaks.</w:t>
      </w:r>
    </w:p>
    <w:p w14:paraId="0E4B1BE1" w14:textId="47E78E8E" w:rsidR="00A412EF" w:rsidRDefault="00D76FE8" w:rsidP="007B067D">
      <w:pPr>
        <w:pStyle w:val="ListParagraph"/>
        <w:numPr>
          <w:ilvl w:val="2"/>
          <w:numId w:val="41"/>
        </w:numPr>
        <w:ind w:left="1800"/>
        <w:rPr>
          <w:szCs w:val="24"/>
        </w:rPr>
      </w:pPr>
      <w:r>
        <w:rPr>
          <w:szCs w:val="24"/>
        </w:rPr>
        <w:t>CDC s</w:t>
      </w:r>
      <w:r w:rsidR="0078686D">
        <w:rPr>
          <w:szCs w:val="24"/>
        </w:rPr>
        <w:t>hould acknowledge the impact of state/local funding on surveillance and prevention activities. W</w:t>
      </w:r>
      <w:r w:rsidR="0078686D" w:rsidRPr="002D2EE2">
        <w:rPr>
          <w:szCs w:val="24"/>
        </w:rPr>
        <w:t xml:space="preserve">e </w:t>
      </w:r>
      <w:r w:rsidR="0078686D">
        <w:rPr>
          <w:szCs w:val="24"/>
        </w:rPr>
        <w:t>recognize</w:t>
      </w:r>
      <w:r w:rsidR="0078686D" w:rsidRPr="002D2EE2">
        <w:rPr>
          <w:szCs w:val="24"/>
        </w:rPr>
        <w:t xml:space="preserve"> that CDC can’t formally consider the amount of state/local funding jurisdictions receive for</w:t>
      </w:r>
      <w:r w:rsidR="0078686D">
        <w:rPr>
          <w:szCs w:val="24"/>
        </w:rPr>
        <w:t xml:space="preserve"> HIV </w:t>
      </w:r>
      <w:r w:rsidR="0078686D" w:rsidRPr="002D2EE2">
        <w:rPr>
          <w:szCs w:val="24"/>
        </w:rPr>
        <w:t xml:space="preserve">activities, but </w:t>
      </w:r>
      <w:r w:rsidR="0078686D">
        <w:rPr>
          <w:szCs w:val="24"/>
        </w:rPr>
        <w:t>these</w:t>
      </w:r>
      <w:r w:rsidR="0078686D" w:rsidRPr="002D2EE2">
        <w:rPr>
          <w:szCs w:val="24"/>
        </w:rPr>
        <w:t xml:space="preserve"> funding </w:t>
      </w:r>
      <w:r w:rsidR="0078686D">
        <w:rPr>
          <w:szCs w:val="24"/>
        </w:rPr>
        <w:t>sources lead</w:t>
      </w:r>
      <w:r w:rsidR="0078686D" w:rsidRPr="002D2EE2">
        <w:rPr>
          <w:szCs w:val="24"/>
        </w:rPr>
        <w:t xml:space="preserve"> to substantial disparities between health </w:t>
      </w:r>
      <w:r w:rsidR="0078686D" w:rsidRPr="002D2EE2">
        <w:rPr>
          <w:szCs w:val="24"/>
        </w:rPr>
        <w:lastRenderedPageBreak/>
        <w:t xml:space="preserve">departments. We feel it’s critical that any CDC assessment of health department activities </w:t>
      </w:r>
      <w:r w:rsidR="0078686D">
        <w:rPr>
          <w:szCs w:val="24"/>
        </w:rPr>
        <w:t>take this funding into account</w:t>
      </w:r>
      <w:r w:rsidR="0078686D" w:rsidRPr="002D2EE2">
        <w:rPr>
          <w:szCs w:val="24"/>
        </w:rPr>
        <w:t xml:space="preserve">. </w:t>
      </w:r>
    </w:p>
    <w:p w14:paraId="65DBF31F" w14:textId="239E313E" w:rsidR="00D76FE8" w:rsidRDefault="00D76FE8" w:rsidP="007B067D">
      <w:pPr>
        <w:pStyle w:val="ListParagraph"/>
        <w:numPr>
          <w:ilvl w:val="2"/>
          <w:numId w:val="41"/>
        </w:numPr>
        <w:ind w:left="1800"/>
        <w:rPr>
          <w:szCs w:val="24"/>
        </w:rPr>
      </w:pPr>
      <w:r>
        <w:rPr>
          <w:szCs w:val="24"/>
        </w:rPr>
        <w:t>CDC, HRSA, and NIH s</w:t>
      </w:r>
      <w:r>
        <w:rPr>
          <w:szCs w:val="24"/>
        </w:rPr>
        <w:t xml:space="preserve">hould prioritize </w:t>
      </w:r>
      <w:r>
        <w:rPr>
          <w:szCs w:val="24"/>
        </w:rPr>
        <w:t xml:space="preserve">implementation science and </w:t>
      </w:r>
      <w:r>
        <w:rPr>
          <w:szCs w:val="24"/>
        </w:rPr>
        <w:t>cost-effectiveness studies of MHS and other HIV activities to guide prioritization</w:t>
      </w:r>
      <w:r w:rsidR="0034711A">
        <w:rPr>
          <w:szCs w:val="24"/>
        </w:rPr>
        <w:t>.</w:t>
      </w:r>
    </w:p>
    <w:p w14:paraId="7D110398" w14:textId="79F8FCF9" w:rsidR="00C911FE" w:rsidRDefault="00D76FE8" w:rsidP="00C911FE">
      <w:pPr>
        <w:pStyle w:val="ListParagraph"/>
        <w:numPr>
          <w:ilvl w:val="2"/>
          <w:numId w:val="41"/>
        </w:numPr>
        <w:ind w:left="1800"/>
        <w:rPr>
          <w:szCs w:val="24"/>
        </w:rPr>
      </w:pPr>
      <w:r>
        <w:rPr>
          <w:szCs w:val="24"/>
        </w:rPr>
        <w:t>CDC, HRSA, and/or NIH s</w:t>
      </w:r>
      <w:r>
        <w:rPr>
          <w:szCs w:val="24"/>
        </w:rPr>
        <w:t>hould sponsor</w:t>
      </w:r>
      <w:r>
        <w:rPr>
          <w:szCs w:val="24"/>
        </w:rPr>
        <w:t xml:space="preserve"> work-time</w:t>
      </w:r>
      <w:r>
        <w:rPr>
          <w:szCs w:val="24"/>
        </w:rPr>
        <w:t xml:space="preserve"> </w:t>
      </w:r>
      <w:r>
        <w:rPr>
          <w:szCs w:val="24"/>
        </w:rPr>
        <w:t>studies o</w:t>
      </w:r>
      <w:r>
        <w:rPr>
          <w:szCs w:val="24"/>
        </w:rPr>
        <w:t>f prevention</w:t>
      </w:r>
      <w:r w:rsidR="00036B11">
        <w:rPr>
          <w:szCs w:val="24"/>
        </w:rPr>
        <w:t>,</w:t>
      </w:r>
      <w:r>
        <w:rPr>
          <w:szCs w:val="24"/>
        </w:rPr>
        <w:t xml:space="preserve"> surveillance</w:t>
      </w:r>
      <w:r w:rsidR="00036B11">
        <w:rPr>
          <w:szCs w:val="24"/>
        </w:rPr>
        <w:t>, and care</w:t>
      </w:r>
      <w:r>
        <w:rPr>
          <w:szCs w:val="24"/>
        </w:rPr>
        <w:t xml:space="preserve"> activities in health departments to support development of guidance on resource allocation and prioritization</w:t>
      </w:r>
      <w:r w:rsidR="00036B11">
        <w:rPr>
          <w:szCs w:val="24"/>
        </w:rPr>
        <w:t>.</w:t>
      </w:r>
    </w:p>
    <w:p w14:paraId="16588E4E" w14:textId="77777777" w:rsidR="00C911FE" w:rsidRDefault="00C911FE" w:rsidP="00C911FE">
      <w:pPr>
        <w:pStyle w:val="ListParagraph"/>
        <w:numPr>
          <w:ilvl w:val="2"/>
          <w:numId w:val="41"/>
        </w:numPr>
        <w:ind w:left="1800"/>
        <w:rPr>
          <w:szCs w:val="24"/>
        </w:rPr>
      </w:pPr>
      <w:r w:rsidRPr="00C911FE">
        <w:rPr>
          <w:szCs w:val="24"/>
        </w:rPr>
        <w:t>CDC and HRSA should further improve collaboration to streamline program and reporting requirements between HIV surv</w:t>
      </w:r>
      <w:r w:rsidRPr="00093BC5">
        <w:rPr>
          <w:szCs w:val="24"/>
        </w:rPr>
        <w:t>eillance and prevention, DSTP and DHAP, and CDC and HRSA</w:t>
      </w:r>
    </w:p>
    <w:p w14:paraId="1357C528" w14:textId="0CA1279B" w:rsidR="00C911FE" w:rsidRPr="00093BC5" w:rsidRDefault="00C911FE" w:rsidP="00093BC5">
      <w:pPr>
        <w:pStyle w:val="ListParagraph"/>
        <w:numPr>
          <w:ilvl w:val="2"/>
          <w:numId w:val="41"/>
        </w:numPr>
        <w:ind w:left="1800"/>
        <w:rPr>
          <w:szCs w:val="24"/>
        </w:rPr>
      </w:pPr>
      <w:r w:rsidRPr="00C911FE">
        <w:rPr>
          <w:szCs w:val="24"/>
        </w:rPr>
        <w:t xml:space="preserve">HRSA </w:t>
      </w:r>
      <w:r w:rsidR="00093BC5">
        <w:rPr>
          <w:szCs w:val="24"/>
        </w:rPr>
        <w:t xml:space="preserve">should explicitly include support for cluster response activities for all Ryan White grantees. </w:t>
      </w:r>
    </w:p>
    <w:p w14:paraId="3668E26B" w14:textId="77777777" w:rsidR="007B067D" w:rsidRDefault="007B067D" w:rsidP="00093BC5">
      <w:pPr>
        <w:pStyle w:val="ListParagraph"/>
        <w:ind w:left="1800"/>
        <w:rPr>
          <w:szCs w:val="24"/>
        </w:rPr>
      </w:pPr>
    </w:p>
    <w:p w14:paraId="7150DE2C" w14:textId="75BFD914" w:rsidR="00232B18" w:rsidRDefault="00232B18" w:rsidP="007B067D">
      <w:pPr>
        <w:ind w:left="180" w:firstLine="720"/>
        <w:rPr>
          <w:szCs w:val="24"/>
        </w:rPr>
      </w:pPr>
      <w:r>
        <w:rPr>
          <w:szCs w:val="24"/>
        </w:rPr>
        <w:t>State/local government:</w:t>
      </w:r>
    </w:p>
    <w:p w14:paraId="76B0D6F9" w14:textId="600DCEF2" w:rsidR="005A1AD1" w:rsidRDefault="005A1AD1" w:rsidP="007B067D">
      <w:pPr>
        <w:pStyle w:val="ListParagraph"/>
        <w:numPr>
          <w:ilvl w:val="2"/>
          <w:numId w:val="41"/>
        </w:numPr>
        <w:ind w:left="1800"/>
        <w:rPr>
          <w:szCs w:val="24"/>
        </w:rPr>
      </w:pPr>
      <w:bookmarkStart w:id="0" w:name="_GoBack"/>
      <w:bookmarkEnd w:id="0"/>
      <w:r>
        <w:rPr>
          <w:szCs w:val="24"/>
        </w:rPr>
        <w:t xml:space="preserve">FTEs should be made available or re-allocated from other programs </w:t>
      </w:r>
      <w:r w:rsidR="007B067D">
        <w:rPr>
          <w:szCs w:val="24"/>
        </w:rPr>
        <w:t xml:space="preserve">in a timely fashion </w:t>
      </w:r>
      <w:r>
        <w:rPr>
          <w:szCs w:val="24"/>
        </w:rPr>
        <w:t>to accomplish local and state public health needs</w:t>
      </w:r>
      <w:r w:rsidR="007B067D">
        <w:rPr>
          <w:szCs w:val="24"/>
        </w:rPr>
        <w:t xml:space="preserve"> and meet federally-required activities</w:t>
      </w:r>
      <w:r w:rsidR="00093BC5">
        <w:rPr>
          <w:szCs w:val="24"/>
        </w:rPr>
        <w:t>.</w:t>
      </w:r>
    </w:p>
    <w:p w14:paraId="50C9C3DC" w14:textId="7434A295" w:rsidR="00232B18" w:rsidRPr="00093BC5" w:rsidRDefault="005A1AD1" w:rsidP="00093BC5">
      <w:pPr>
        <w:pStyle w:val="ListParagraph"/>
        <w:numPr>
          <w:ilvl w:val="2"/>
          <w:numId w:val="41"/>
        </w:numPr>
        <w:ind w:left="1800"/>
        <w:rPr>
          <w:szCs w:val="24"/>
        </w:rPr>
      </w:pPr>
      <w:r>
        <w:rPr>
          <w:szCs w:val="24"/>
        </w:rPr>
        <w:t xml:space="preserve">Funding should be </w:t>
      </w:r>
      <w:r w:rsidR="00CE7A92">
        <w:rPr>
          <w:szCs w:val="24"/>
        </w:rPr>
        <w:t xml:space="preserve">increased or made available to </w:t>
      </w:r>
      <w:r w:rsidR="00C911FE">
        <w:rPr>
          <w:szCs w:val="24"/>
        </w:rPr>
        <w:t xml:space="preserve">support higher salaries and </w:t>
      </w:r>
      <w:r w:rsidR="00CE7A92">
        <w:rPr>
          <w:szCs w:val="24"/>
        </w:rPr>
        <w:t xml:space="preserve">allow for retention of staff with knowledge and experience in the HIV surveillance, prevention, care services and cluster response programs. </w:t>
      </w:r>
      <w:r>
        <w:rPr>
          <w:szCs w:val="24"/>
        </w:rPr>
        <w:t xml:space="preserve"> </w:t>
      </w:r>
    </w:p>
    <w:sectPr w:rsidR="00232B18" w:rsidRPr="00093B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ebdings">
    <w:panose1 w:val="05030102010509060703"/>
    <w:charset w:val="4D"/>
    <w:family w:val="decorative"/>
    <w:pitch w:val="variable"/>
    <w:sig w:usb0="00000003" w:usb1="00000000" w:usb2="00000000" w:usb3="00000000" w:csb0="80000001" w:csb1="00000000"/>
  </w:font>
  <w:font w:name="Segoe UI">
    <w:altName w:val="Sylfaen"/>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588B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E760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978FF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A4A31C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8BCB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8B8D1E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728C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99805E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E2E21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2666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9DB25B94"/>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1" w15:restartNumberingAfterBreak="0">
    <w:nsid w:val="0200567F"/>
    <w:multiLevelType w:val="multilevel"/>
    <w:tmpl w:val="A3C08CF6"/>
    <w:numStyleLink w:val="HHSNumbering"/>
  </w:abstractNum>
  <w:abstractNum w:abstractNumId="12" w15:restartNumberingAfterBreak="0">
    <w:nsid w:val="1C9064C8"/>
    <w:multiLevelType w:val="multilevel"/>
    <w:tmpl w:val="A3C08CF6"/>
    <w:numStyleLink w:val="HHSNumbering"/>
  </w:abstractNum>
  <w:abstractNum w:abstractNumId="13" w15:restartNumberingAfterBreak="0">
    <w:nsid w:val="1F2200E0"/>
    <w:multiLevelType w:val="multilevel"/>
    <w:tmpl w:val="A3C08CF6"/>
    <w:styleLink w:val="HHSNumbering"/>
    <w:lvl w:ilvl="0">
      <w:start w:val="1"/>
      <w:numFmt w:val="decimal"/>
      <w:lvlText w:val="%1."/>
      <w:lvlJc w:val="left"/>
      <w:pPr>
        <w:ind w:left="720" w:hanging="360"/>
      </w:pPr>
      <w:rPr>
        <w:rFonts w:asciiTheme="minorHAnsi" w:hAnsiTheme="minorHAnsi" w:hint="default"/>
      </w:rPr>
    </w:lvl>
    <w:lvl w:ilvl="1">
      <w:start w:val="1"/>
      <w:numFmt w:val="lowerLetter"/>
      <w:lvlText w:val="%2."/>
      <w:lvlJc w:val="left"/>
      <w:pPr>
        <w:ind w:left="1080" w:hanging="360"/>
      </w:pPr>
      <w:rPr>
        <w:rFonts w:asciiTheme="minorHAnsi" w:hAnsiTheme="minorHAnsi" w:hint="default"/>
      </w:rPr>
    </w:lvl>
    <w:lvl w:ilvl="2">
      <w:start w:val="1"/>
      <w:numFmt w:val="lowerRoman"/>
      <w:suff w:val="space"/>
      <w:lvlText w:val="%3."/>
      <w:lvlJc w:val="left"/>
      <w:pPr>
        <w:ind w:left="1440" w:hanging="360"/>
      </w:pPr>
      <w:rPr>
        <w:rFonts w:asciiTheme="minorHAnsi" w:hAnsiTheme="minorHAnsi" w:hint="default"/>
      </w:rPr>
    </w:lvl>
    <w:lvl w:ilvl="3">
      <w:start w:val="1"/>
      <w:numFmt w:val="decimal"/>
      <w:suff w:val="space"/>
      <w:lvlText w:val="(%4)"/>
      <w:lvlJc w:val="left"/>
      <w:pPr>
        <w:ind w:left="1800" w:hanging="360"/>
      </w:pPr>
      <w:rPr>
        <w:rFonts w:asciiTheme="minorHAnsi" w:hAnsiTheme="minorHAnsi" w:hint="default"/>
      </w:rPr>
    </w:lvl>
    <w:lvl w:ilvl="4">
      <w:start w:val="1"/>
      <w:numFmt w:val="lowerLetter"/>
      <w:suff w:val="space"/>
      <w:lvlText w:val="(%5)"/>
      <w:lvlJc w:val="left"/>
      <w:pPr>
        <w:ind w:left="2160" w:hanging="360"/>
      </w:pPr>
      <w:rPr>
        <w:rFonts w:asciiTheme="minorHAnsi" w:hAnsiTheme="minorHAnsi" w:hint="default"/>
      </w:rPr>
    </w:lvl>
    <w:lvl w:ilvl="5">
      <w:start w:val="1"/>
      <w:numFmt w:val="lowerRoman"/>
      <w:suff w:val="space"/>
      <w:lvlText w:val="(%6)"/>
      <w:lvlJc w:val="left"/>
      <w:pPr>
        <w:ind w:left="2520" w:hanging="360"/>
      </w:pPr>
      <w:rPr>
        <w:rFonts w:asciiTheme="minorHAnsi" w:hAnsiTheme="minorHAnsi"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14" w15:restartNumberingAfterBreak="0">
    <w:nsid w:val="3CDB53B6"/>
    <w:multiLevelType w:val="hybridMultilevel"/>
    <w:tmpl w:val="19F0612A"/>
    <w:lvl w:ilvl="0" w:tplc="9F760BB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A24643"/>
    <w:multiLevelType w:val="hybridMultilevel"/>
    <w:tmpl w:val="6526C1D2"/>
    <w:lvl w:ilvl="0" w:tplc="8D429BB2">
      <w:start w:val="1"/>
      <w:numFmt w:val="decimal"/>
      <w:lvlText w:val="%1."/>
      <w:lvlJc w:val="left"/>
      <w:pPr>
        <w:ind w:left="1440" w:hanging="360"/>
      </w:pPr>
      <w:rPr>
        <w:rFonts w:asciiTheme="minorHAnsi" w:hAnsiTheme="minorHAnsi" w:hint="default"/>
        <w:b w:val="0"/>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FC309EB"/>
    <w:multiLevelType w:val="hybridMultilevel"/>
    <w:tmpl w:val="751C4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0A0D78"/>
    <w:multiLevelType w:val="multilevel"/>
    <w:tmpl w:val="26945B7E"/>
    <w:styleLink w:val="HHSBullets"/>
    <w:lvl w:ilvl="0">
      <w:start w:val="1"/>
      <w:numFmt w:val="bullet"/>
      <w:lvlText w:val="●"/>
      <w:lvlJc w:val="left"/>
      <w:pPr>
        <w:ind w:left="720" w:hanging="360"/>
      </w:pPr>
      <w:rPr>
        <w:rFonts w:ascii="Times New Roman" w:hAnsi="Times New Roman" w:cs="Times New Roman" w:hint="default"/>
        <w:b w:val="0"/>
        <w:i w:val="0"/>
        <w:sz w:val="22"/>
      </w:rPr>
    </w:lvl>
    <w:lvl w:ilvl="1">
      <w:start w:val="1"/>
      <w:numFmt w:val="bullet"/>
      <w:lvlText w:val=""/>
      <w:lvlJc w:val="left"/>
      <w:pPr>
        <w:ind w:left="1080" w:hanging="360"/>
      </w:pPr>
      <w:rPr>
        <w:rFonts w:ascii="Webdings" w:hAnsi="Webdings" w:hint="default"/>
        <w:b w:val="0"/>
        <w:i w:val="0"/>
      </w:rPr>
    </w:lvl>
    <w:lvl w:ilvl="2">
      <w:start w:val="1"/>
      <w:numFmt w:val="bullet"/>
      <w:lvlText w:val="◊"/>
      <w:lvlJc w:val="left"/>
      <w:pPr>
        <w:ind w:left="1440" w:hanging="360"/>
      </w:pPr>
      <w:rPr>
        <w:rFonts w:ascii="Times New Roman" w:hAnsi="Times New Roman" w:cs="Times New Roman" w:hint="default"/>
        <w:b w:val="0"/>
        <w:i w:val="0"/>
      </w:rPr>
    </w:lvl>
    <w:lvl w:ilvl="3">
      <w:start w:val="1"/>
      <w:numFmt w:val="bullet"/>
      <w:lvlText w:val="o"/>
      <w:lvlJc w:val="left"/>
      <w:pPr>
        <w:ind w:left="1800" w:hanging="360"/>
      </w:pPr>
      <w:rPr>
        <w:rFonts w:ascii="Times New Roman" w:hAnsi="Times New Roman" w:cs="Times New Roman" w:hint="default"/>
        <w:b w:val="0"/>
        <w:i w:val="0"/>
        <w:sz w:val="18"/>
      </w:rPr>
    </w:lvl>
    <w:lvl w:ilvl="4">
      <w:start w:val="1"/>
      <w:numFmt w:val="bullet"/>
      <w:lvlText w:val="▪"/>
      <w:lvlJc w:val="left"/>
      <w:pPr>
        <w:ind w:left="2160" w:hanging="360"/>
      </w:pPr>
      <w:rPr>
        <w:rFonts w:ascii="Times New Roman" w:hAnsi="Times New Roman" w:cs="Times New Roman" w:hint="default"/>
        <w:b w:val="0"/>
        <w:i w:val="0"/>
      </w:rPr>
    </w:lvl>
    <w:lvl w:ilvl="5">
      <w:start w:val="1"/>
      <w:numFmt w:val="none"/>
      <w:lvlText w:val=""/>
      <w:lvlJc w:val="left"/>
      <w:pPr>
        <w:ind w:left="2520" w:hanging="360"/>
      </w:pPr>
      <w:rPr>
        <w:rFonts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18" w15:restartNumberingAfterBreak="0">
    <w:nsid w:val="761716BB"/>
    <w:multiLevelType w:val="hybridMultilevel"/>
    <w:tmpl w:val="AEB8517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01">
      <w:start w:val="1"/>
      <w:numFmt w:val="bullet"/>
      <w:lvlText w:val=""/>
      <w:lvlJc w:val="left"/>
      <w:pPr>
        <w:ind w:left="1980" w:hanging="360"/>
      </w:pPr>
      <w:rPr>
        <w:rFonts w:ascii="Symbol" w:hAnsi="Symbol"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10"/>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 w:numId="15">
    <w:abstractNumId w:val="17"/>
  </w:num>
  <w:num w:numId="16">
    <w:abstractNumId w:val="17"/>
  </w:num>
  <w:num w:numId="17">
    <w:abstractNumId w:val="13"/>
  </w:num>
  <w:num w:numId="18">
    <w:abstractNumId w:val="17"/>
  </w:num>
  <w:num w:numId="19">
    <w:abstractNumId w:val="12"/>
  </w:num>
  <w:num w:numId="20">
    <w:abstractNumId w:val="17"/>
  </w:num>
  <w:num w:numId="21">
    <w:abstractNumId w:val="17"/>
  </w:num>
  <w:num w:numId="22">
    <w:abstractNumId w:val="17"/>
  </w:num>
  <w:num w:numId="23">
    <w:abstractNumId w:val="17"/>
  </w:num>
  <w:num w:numId="24">
    <w:abstractNumId w:val="17"/>
  </w:num>
  <w:num w:numId="25">
    <w:abstractNumId w:val="15"/>
  </w:num>
  <w:num w:numId="26">
    <w:abstractNumId w:val="17"/>
  </w:num>
  <w:num w:numId="27">
    <w:abstractNumId w:val="14"/>
  </w:num>
  <w:num w:numId="28">
    <w:abstractNumId w:val="13"/>
  </w:num>
  <w:num w:numId="29">
    <w:abstractNumId w:val="17"/>
  </w:num>
  <w:num w:numId="30">
    <w:abstractNumId w:val="15"/>
  </w:num>
  <w:num w:numId="31">
    <w:abstractNumId w:val="17"/>
  </w:num>
  <w:num w:numId="32">
    <w:abstractNumId w:val="14"/>
  </w:num>
  <w:num w:numId="33">
    <w:abstractNumId w:val="17"/>
  </w:num>
  <w:num w:numId="34">
    <w:abstractNumId w:val="13"/>
  </w:num>
  <w:num w:numId="35">
    <w:abstractNumId w:val="15"/>
  </w:num>
  <w:num w:numId="36">
    <w:abstractNumId w:val="17"/>
  </w:num>
  <w:num w:numId="37">
    <w:abstractNumId w:val="14"/>
  </w:num>
  <w:num w:numId="38">
    <w:abstractNumId w:val="15"/>
  </w:num>
  <w:num w:numId="39">
    <w:abstractNumId w:val="11"/>
  </w:num>
  <w:num w:numId="40">
    <w:abstractNumId w:val="18"/>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B29"/>
    <w:rsid w:val="00015723"/>
    <w:rsid w:val="00036B11"/>
    <w:rsid w:val="00051D10"/>
    <w:rsid w:val="00086875"/>
    <w:rsid w:val="00093BC5"/>
    <w:rsid w:val="00121D85"/>
    <w:rsid w:val="00143D54"/>
    <w:rsid w:val="00166857"/>
    <w:rsid w:val="0019695A"/>
    <w:rsid w:val="001C6029"/>
    <w:rsid w:val="001E7579"/>
    <w:rsid w:val="00210AC6"/>
    <w:rsid w:val="00215E95"/>
    <w:rsid w:val="00232B18"/>
    <w:rsid w:val="002509BF"/>
    <w:rsid w:val="00266781"/>
    <w:rsid w:val="00294210"/>
    <w:rsid w:val="002C2D64"/>
    <w:rsid w:val="002D2EE2"/>
    <w:rsid w:val="002D56A2"/>
    <w:rsid w:val="0032052B"/>
    <w:rsid w:val="0034030F"/>
    <w:rsid w:val="00345F8A"/>
    <w:rsid w:val="0034711A"/>
    <w:rsid w:val="00393D3E"/>
    <w:rsid w:val="003A2C00"/>
    <w:rsid w:val="003F1869"/>
    <w:rsid w:val="00407BE6"/>
    <w:rsid w:val="00441269"/>
    <w:rsid w:val="00460BE8"/>
    <w:rsid w:val="004654AE"/>
    <w:rsid w:val="00467816"/>
    <w:rsid w:val="004A1A49"/>
    <w:rsid w:val="004B3E1A"/>
    <w:rsid w:val="004E024A"/>
    <w:rsid w:val="00526CA1"/>
    <w:rsid w:val="005A1AD1"/>
    <w:rsid w:val="005B630F"/>
    <w:rsid w:val="005C4E39"/>
    <w:rsid w:val="005E65AD"/>
    <w:rsid w:val="006268E6"/>
    <w:rsid w:val="0064090B"/>
    <w:rsid w:val="006909E2"/>
    <w:rsid w:val="006D71AF"/>
    <w:rsid w:val="006F1B3D"/>
    <w:rsid w:val="006F6C3B"/>
    <w:rsid w:val="007007DD"/>
    <w:rsid w:val="007051A3"/>
    <w:rsid w:val="00706746"/>
    <w:rsid w:val="007247A3"/>
    <w:rsid w:val="00737AB4"/>
    <w:rsid w:val="0078686D"/>
    <w:rsid w:val="007A221C"/>
    <w:rsid w:val="007B067D"/>
    <w:rsid w:val="007B3AD0"/>
    <w:rsid w:val="007C4258"/>
    <w:rsid w:val="007E6521"/>
    <w:rsid w:val="00815BCD"/>
    <w:rsid w:val="008335FC"/>
    <w:rsid w:val="00845480"/>
    <w:rsid w:val="008820AC"/>
    <w:rsid w:val="0089319D"/>
    <w:rsid w:val="008B0B37"/>
    <w:rsid w:val="008B3310"/>
    <w:rsid w:val="00900A3C"/>
    <w:rsid w:val="009408CB"/>
    <w:rsid w:val="00941260"/>
    <w:rsid w:val="00943571"/>
    <w:rsid w:val="0096540E"/>
    <w:rsid w:val="00973878"/>
    <w:rsid w:val="00A25613"/>
    <w:rsid w:val="00A3795E"/>
    <w:rsid w:val="00A412EF"/>
    <w:rsid w:val="00A7390F"/>
    <w:rsid w:val="00A85EF7"/>
    <w:rsid w:val="00AA0574"/>
    <w:rsid w:val="00AC447B"/>
    <w:rsid w:val="00B01B26"/>
    <w:rsid w:val="00B63435"/>
    <w:rsid w:val="00B75990"/>
    <w:rsid w:val="00BA6C8F"/>
    <w:rsid w:val="00BF754B"/>
    <w:rsid w:val="00C57FEA"/>
    <w:rsid w:val="00C64943"/>
    <w:rsid w:val="00C904C9"/>
    <w:rsid w:val="00C911FE"/>
    <w:rsid w:val="00CA6447"/>
    <w:rsid w:val="00CE6B29"/>
    <w:rsid w:val="00CE7A92"/>
    <w:rsid w:val="00D32752"/>
    <w:rsid w:val="00D40BBC"/>
    <w:rsid w:val="00D76FE8"/>
    <w:rsid w:val="00D90962"/>
    <w:rsid w:val="00DF0830"/>
    <w:rsid w:val="00E06C3D"/>
    <w:rsid w:val="00E24DB5"/>
    <w:rsid w:val="00E303D0"/>
    <w:rsid w:val="00E93DAE"/>
    <w:rsid w:val="00EB3428"/>
    <w:rsid w:val="00EF6E1E"/>
    <w:rsid w:val="00F06515"/>
    <w:rsid w:val="00F250AC"/>
    <w:rsid w:val="00F42439"/>
    <w:rsid w:val="00F44533"/>
    <w:rsid w:val="00F87D46"/>
    <w:rsid w:val="00FC04BF"/>
    <w:rsid w:val="00FF4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AFA9F"/>
  <w15:chartTrackingRefBased/>
  <w15:docId w15:val="{EC802B66-14C1-45CC-8847-CE7676487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D2E"/>
    <w:rPr>
      <w:rFonts w:ascii="Verdana" w:hAnsi="Verdana"/>
      <w:sz w:val="24"/>
    </w:rPr>
  </w:style>
  <w:style w:type="paragraph" w:styleId="Heading1">
    <w:name w:val="heading 1"/>
    <w:basedOn w:val="Normal"/>
    <w:next w:val="Normal"/>
    <w:link w:val="Heading1Char"/>
    <w:uiPriority w:val="9"/>
    <w:qFormat/>
    <w:rsid w:val="00DC7D2E"/>
    <w:pPr>
      <w:keepNext/>
      <w:keepLines/>
      <w:spacing w:before="240" w:after="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C7D2E"/>
    <w:pPr>
      <w:keepNext/>
      <w:keepLines/>
      <w:spacing w:before="40" w:after="0"/>
      <w:outlineLvl w:val="1"/>
    </w:pPr>
    <w:rPr>
      <w:rFonts w:eastAsiaTheme="majorEastAsia"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D2E"/>
    <w:rPr>
      <w:rFonts w:ascii="Verdana" w:eastAsiaTheme="majorEastAsia" w:hAnsi="Verdana"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C7D2E"/>
    <w:rPr>
      <w:rFonts w:ascii="Verdana" w:eastAsiaTheme="majorEastAsia" w:hAnsi="Verdana" w:cstheme="majorBidi"/>
      <w:color w:val="2F5496" w:themeColor="accent1" w:themeShade="BF"/>
      <w:sz w:val="26"/>
      <w:szCs w:val="26"/>
    </w:rPr>
  </w:style>
  <w:style w:type="paragraph" w:styleId="Title">
    <w:name w:val="Title"/>
    <w:basedOn w:val="Normal"/>
    <w:next w:val="Normal"/>
    <w:link w:val="TitleChar"/>
    <w:uiPriority w:val="10"/>
    <w:qFormat/>
    <w:rsid w:val="00DC7D2E"/>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DC7D2E"/>
    <w:rPr>
      <w:rFonts w:ascii="Verdana" w:eastAsiaTheme="majorEastAsia" w:hAnsi="Verdana" w:cstheme="majorBidi"/>
      <w:spacing w:val="-10"/>
      <w:kern w:val="28"/>
      <w:sz w:val="56"/>
      <w:szCs w:val="56"/>
    </w:rPr>
  </w:style>
  <w:style w:type="paragraph" w:styleId="Subtitle">
    <w:name w:val="Subtitle"/>
    <w:basedOn w:val="Normal"/>
    <w:next w:val="Normal"/>
    <w:link w:val="SubtitleChar"/>
    <w:uiPriority w:val="11"/>
    <w:qFormat/>
    <w:rsid w:val="00DC7D2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C7D2E"/>
    <w:rPr>
      <w:rFonts w:ascii="Verdana" w:eastAsiaTheme="minorEastAsia" w:hAnsi="Verdana"/>
      <w:color w:val="5A5A5A" w:themeColor="text1" w:themeTint="A5"/>
      <w:spacing w:val="15"/>
      <w:sz w:val="24"/>
    </w:rPr>
  </w:style>
  <w:style w:type="numbering" w:customStyle="1" w:styleId="HHSNumbering">
    <w:name w:val="HHSNumbering"/>
    <w:pPr>
      <w:numPr>
        <w:numId w:val="17"/>
      </w:numPr>
    </w:pPr>
  </w:style>
  <w:style w:type="numbering" w:customStyle="1" w:styleId="HHSBullets">
    <w:name w:val="HHSBullets"/>
    <w:pPr>
      <w:numPr>
        <w:numId w:val="15"/>
      </w:numPr>
    </w:pPr>
  </w:style>
  <w:style w:type="paragraph" w:styleId="ListParagraph">
    <w:name w:val="List Paragraph"/>
    <w:basedOn w:val="Normal"/>
    <w:uiPriority w:val="34"/>
    <w:qFormat/>
    <w:rsid w:val="00CE6B29"/>
    <w:pPr>
      <w:ind w:left="720"/>
      <w:contextualSpacing/>
    </w:pPr>
  </w:style>
  <w:style w:type="character" w:styleId="CommentReference">
    <w:name w:val="annotation reference"/>
    <w:basedOn w:val="DefaultParagraphFont"/>
    <w:uiPriority w:val="99"/>
    <w:semiHidden/>
    <w:unhideWhenUsed/>
    <w:rsid w:val="00CE6B29"/>
    <w:rPr>
      <w:sz w:val="16"/>
      <w:szCs w:val="16"/>
    </w:rPr>
  </w:style>
  <w:style w:type="paragraph" w:styleId="CommentText">
    <w:name w:val="annotation text"/>
    <w:basedOn w:val="Normal"/>
    <w:link w:val="CommentTextChar"/>
    <w:uiPriority w:val="99"/>
    <w:semiHidden/>
    <w:unhideWhenUsed/>
    <w:rsid w:val="00CE6B29"/>
    <w:pPr>
      <w:spacing w:line="240" w:lineRule="auto"/>
    </w:pPr>
    <w:rPr>
      <w:sz w:val="20"/>
      <w:szCs w:val="20"/>
    </w:rPr>
  </w:style>
  <w:style w:type="character" w:customStyle="1" w:styleId="CommentTextChar">
    <w:name w:val="Comment Text Char"/>
    <w:basedOn w:val="DefaultParagraphFont"/>
    <w:link w:val="CommentText"/>
    <w:uiPriority w:val="99"/>
    <w:semiHidden/>
    <w:rsid w:val="00CE6B29"/>
    <w:rPr>
      <w:rFonts w:ascii="Verdana" w:hAnsi="Verdana"/>
      <w:sz w:val="20"/>
      <w:szCs w:val="20"/>
    </w:rPr>
  </w:style>
  <w:style w:type="paragraph" w:styleId="BalloonText">
    <w:name w:val="Balloon Text"/>
    <w:basedOn w:val="Normal"/>
    <w:link w:val="BalloonTextChar"/>
    <w:uiPriority w:val="99"/>
    <w:semiHidden/>
    <w:unhideWhenUsed/>
    <w:rsid w:val="00CE6B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B2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4090B"/>
    <w:rPr>
      <w:b/>
      <w:bCs/>
    </w:rPr>
  </w:style>
  <w:style w:type="character" w:customStyle="1" w:styleId="CommentSubjectChar">
    <w:name w:val="Comment Subject Char"/>
    <w:basedOn w:val="CommentTextChar"/>
    <w:link w:val="CommentSubject"/>
    <w:uiPriority w:val="99"/>
    <w:semiHidden/>
    <w:rsid w:val="0064090B"/>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HH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Monterosso,Analise (DSHS)</dc:creator>
  <cp:keywords/>
  <dc:description/>
  <cp:lastModifiedBy>Juliana Grant</cp:lastModifiedBy>
  <cp:revision>5</cp:revision>
  <dcterms:created xsi:type="dcterms:W3CDTF">2020-03-09T18:10:00Z</dcterms:created>
  <dcterms:modified xsi:type="dcterms:W3CDTF">2020-03-09T18:54:00Z</dcterms:modified>
</cp:coreProperties>
</file>