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025E" w:rsidRPr="003C025E" w:rsidRDefault="003C025E" w:rsidP="003C025E">
      <w:pPr>
        <w:pStyle w:val="Heading1"/>
        <w:rPr>
          <w:b/>
          <w:sz w:val="28"/>
          <w:lang w:val="en"/>
        </w:rPr>
      </w:pPr>
      <w:r w:rsidRPr="003C025E">
        <w:rPr>
          <w:b/>
          <w:sz w:val="28"/>
          <w:lang w:val="en"/>
        </w:rPr>
        <w:t xml:space="preserve">Informed consent </w:t>
      </w:r>
      <w:r>
        <w:rPr>
          <w:b/>
          <w:sz w:val="28"/>
          <w:lang w:val="en"/>
        </w:rPr>
        <w:t>in the context of</w:t>
      </w:r>
      <w:r w:rsidRPr="003C025E">
        <w:rPr>
          <w:b/>
          <w:sz w:val="28"/>
          <w:lang w:val="en"/>
        </w:rPr>
        <w:t xml:space="preserve"> public health surveillance activities</w:t>
      </w:r>
    </w:p>
    <w:p w:rsidR="003C025E" w:rsidRPr="009B45D9" w:rsidRDefault="003C025E" w:rsidP="003C025E">
      <w:pPr>
        <w:pStyle w:val="Heading2"/>
        <w:rPr>
          <w:lang w:val="en"/>
        </w:rPr>
      </w:pPr>
      <w:r w:rsidRPr="009B45D9">
        <w:rPr>
          <w:lang w:val="en"/>
        </w:rPr>
        <w:t>Description of the problem</w:t>
      </w:r>
    </w:p>
    <w:p w:rsidR="003C025E" w:rsidRDefault="003C025E" w:rsidP="003C025E">
      <w:pPr>
        <w:ind w:left="360"/>
        <w:rPr>
          <w:rFonts w:cstheme="minorHAnsi"/>
          <w:sz w:val="24"/>
          <w:szCs w:val="24"/>
          <w:lang w:val="en"/>
        </w:rPr>
      </w:pPr>
      <w:r>
        <w:rPr>
          <w:rFonts w:cstheme="minorHAnsi"/>
          <w:sz w:val="24"/>
          <w:szCs w:val="24"/>
          <w:lang w:val="en"/>
        </w:rPr>
        <w:t>The main goals of HIV molecular surveillance are to provide timely analysis and interpretation of HIV sequence data to facilitate cluster detection and control, and to ensure a robust understanding of disease distribution and spread which is integral to</w:t>
      </w:r>
      <w:r w:rsidRPr="009D4868">
        <w:rPr>
          <w:rFonts w:cstheme="minorHAnsi"/>
          <w:sz w:val="24"/>
          <w:szCs w:val="24"/>
          <w:lang w:val="en"/>
        </w:rPr>
        <w:t xml:space="preserve"> improving and allocating services for people living with </w:t>
      </w:r>
      <w:r>
        <w:rPr>
          <w:rFonts w:cstheme="minorHAnsi"/>
          <w:sz w:val="24"/>
          <w:szCs w:val="24"/>
          <w:lang w:val="en"/>
        </w:rPr>
        <w:t>or</w:t>
      </w:r>
      <w:r w:rsidRPr="009D4868">
        <w:rPr>
          <w:rFonts w:cstheme="minorHAnsi"/>
          <w:sz w:val="24"/>
          <w:szCs w:val="24"/>
          <w:lang w:val="en"/>
        </w:rPr>
        <w:t xml:space="preserve"> at</w:t>
      </w:r>
      <w:r>
        <w:rPr>
          <w:rFonts w:cstheme="minorHAnsi"/>
          <w:sz w:val="24"/>
          <w:szCs w:val="24"/>
          <w:lang w:val="en"/>
        </w:rPr>
        <w:t xml:space="preserve"> </w:t>
      </w:r>
      <w:r w:rsidRPr="009D4868">
        <w:rPr>
          <w:rFonts w:cstheme="minorHAnsi"/>
          <w:sz w:val="24"/>
          <w:szCs w:val="24"/>
          <w:lang w:val="en"/>
        </w:rPr>
        <w:t xml:space="preserve">risk </w:t>
      </w:r>
      <w:r>
        <w:rPr>
          <w:rFonts w:cstheme="minorHAnsi"/>
          <w:sz w:val="24"/>
          <w:szCs w:val="24"/>
          <w:lang w:val="en"/>
        </w:rPr>
        <w:t>for</w:t>
      </w:r>
      <w:r w:rsidRPr="009D4868">
        <w:rPr>
          <w:rFonts w:cstheme="minorHAnsi"/>
          <w:sz w:val="24"/>
          <w:szCs w:val="24"/>
          <w:lang w:val="en"/>
        </w:rPr>
        <w:t xml:space="preserve"> HIV</w:t>
      </w:r>
      <w:r>
        <w:rPr>
          <w:rFonts w:cstheme="minorHAnsi"/>
          <w:sz w:val="24"/>
          <w:szCs w:val="24"/>
          <w:lang w:val="en"/>
        </w:rPr>
        <w:t xml:space="preserve"> (1). Using HIV molecular epidemiology in a public health framework to intervene directly in disease control is done without consent and subject to legislatively prescribed safeguards. Although</w:t>
      </w:r>
      <w:r w:rsidRPr="003925AE">
        <w:rPr>
          <w:rFonts w:cstheme="minorHAnsi"/>
          <w:sz w:val="24"/>
          <w:szCs w:val="24"/>
          <w:lang w:val="en"/>
        </w:rPr>
        <w:t xml:space="preserve"> ethical </w:t>
      </w:r>
      <w:r>
        <w:rPr>
          <w:rFonts w:cstheme="minorHAnsi"/>
          <w:sz w:val="24"/>
          <w:szCs w:val="24"/>
          <w:lang w:val="en"/>
        </w:rPr>
        <w:t>issues</w:t>
      </w:r>
      <w:r w:rsidRPr="003925AE">
        <w:rPr>
          <w:rFonts w:cstheme="minorHAnsi"/>
          <w:sz w:val="24"/>
          <w:szCs w:val="24"/>
          <w:lang w:val="en"/>
        </w:rPr>
        <w:t xml:space="preserve"> posed by HIV surveillance predate the </w:t>
      </w:r>
      <w:r>
        <w:rPr>
          <w:rFonts w:cstheme="minorHAnsi"/>
          <w:sz w:val="24"/>
          <w:szCs w:val="24"/>
          <w:lang w:val="en"/>
        </w:rPr>
        <w:t xml:space="preserve">adoption of molecular tools for HIV cluster detection and response, partly due to </w:t>
      </w:r>
      <w:r w:rsidRPr="003925AE">
        <w:rPr>
          <w:rFonts w:cstheme="minorHAnsi"/>
          <w:sz w:val="24"/>
          <w:szCs w:val="24"/>
          <w:lang w:val="en"/>
        </w:rPr>
        <w:t>inappropriate or overly-broad application of</w:t>
      </w:r>
      <w:r>
        <w:rPr>
          <w:rFonts w:cstheme="minorHAnsi"/>
          <w:sz w:val="24"/>
          <w:szCs w:val="24"/>
          <w:lang w:val="en"/>
        </w:rPr>
        <w:t xml:space="preserve"> criminal law to HIV transmission, the heightened risk arising from public health use of HIV sequence data has spurred discussions on appropriate consent for such use. </w:t>
      </w:r>
    </w:p>
    <w:p w:rsidR="003C025E" w:rsidRPr="003925AE" w:rsidRDefault="003C025E" w:rsidP="003C025E">
      <w:pPr>
        <w:ind w:left="360"/>
        <w:rPr>
          <w:rFonts w:cstheme="minorHAnsi"/>
          <w:sz w:val="24"/>
          <w:szCs w:val="24"/>
          <w:lang w:val="en"/>
        </w:rPr>
      </w:pPr>
      <w:r>
        <w:rPr>
          <w:rFonts w:cstheme="minorHAnsi"/>
          <w:sz w:val="24"/>
          <w:szCs w:val="24"/>
          <w:lang w:val="en"/>
        </w:rPr>
        <w:t xml:space="preserve">While informed consent is generally the norm in research setting, the purpose and function of data collection in public health surveillance have warranted permissible disclosures under the HIPAA privacy rule (2). </w:t>
      </w:r>
      <w:r w:rsidR="00542C5F">
        <w:rPr>
          <w:rFonts w:cstheme="minorHAnsi"/>
          <w:sz w:val="24"/>
          <w:szCs w:val="24"/>
          <w:lang w:val="en"/>
        </w:rPr>
        <w:t>Further</w:t>
      </w:r>
      <w:r>
        <w:rPr>
          <w:rFonts w:cstheme="minorHAnsi"/>
          <w:sz w:val="24"/>
          <w:szCs w:val="24"/>
          <w:lang w:val="en"/>
        </w:rPr>
        <w:t>, “because activities that constitute public health surveillance activities under 45 CFR 46. 102(</w:t>
      </w:r>
      <w:proofErr w:type="gramStart"/>
      <w:r>
        <w:rPr>
          <w:rFonts w:cstheme="minorHAnsi"/>
          <w:sz w:val="24"/>
          <w:szCs w:val="24"/>
          <w:lang w:val="en"/>
        </w:rPr>
        <w:t>/)(</w:t>
      </w:r>
      <w:proofErr w:type="gramEnd"/>
      <w:r>
        <w:rPr>
          <w:rFonts w:cstheme="minorHAnsi"/>
          <w:sz w:val="24"/>
          <w:szCs w:val="24"/>
          <w:lang w:val="en"/>
        </w:rPr>
        <w:t>2) are deemed not to be research, it is not necessary to consider whether they are systematic investigations designed to develop or contribute to generalizable knowledge</w:t>
      </w:r>
      <w:r w:rsidR="00542C5F">
        <w:rPr>
          <w:rFonts w:cstheme="minorHAnsi"/>
          <w:sz w:val="24"/>
          <w:szCs w:val="24"/>
          <w:lang w:val="en"/>
        </w:rPr>
        <w:t xml:space="preserve"> (3)</w:t>
      </w:r>
      <w:r w:rsidR="00CD2919">
        <w:rPr>
          <w:rFonts w:cstheme="minorHAnsi"/>
          <w:sz w:val="24"/>
          <w:szCs w:val="24"/>
          <w:lang w:val="en"/>
        </w:rPr>
        <w:t>.</w:t>
      </w:r>
      <w:r>
        <w:rPr>
          <w:rFonts w:cstheme="minorHAnsi"/>
          <w:sz w:val="24"/>
          <w:szCs w:val="24"/>
          <w:lang w:val="en"/>
        </w:rPr>
        <w:t>”</w:t>
      </w:r>
    </w:p>
    <w:p w:rsidR="003C025E" w:rsidRPr="009B45D9" w:rsidRDefault="003C025E" w:rsidP="003C025E">
      <w:pPr>
        <w:pStyle w:val="Heading2"/>
      </w:pPr>
      <w:r w:rsidRPr="009B45D9">
        <w:t>Proposed solutions</w:t>
      </w:r>
    </w:p>
    <w:p w:rsidR="00CD2919" w:rsidRDefault="003C025E" w:rsidP="003C025E">
      <w:pPr>
        <w:ind w:left="360"/>
        <w:rPr>
          <w:rFonts w:cstheme="minorHAnsi"/>
          <w:sz w:val="24"/>
          <w:szCs w:val="24"/>
          <w:lang w:val="en"/>
        </w:rPr>
      </w:pPr>
      <w:r>
        <w:rPr>
          <w:rFonts w:cstheme="minorHAnsi"/>
          <w:sz w:val="24"/>
          <w:szCs w:val="24"/>
          <w:lang w:val="en"/>
        </w:rPr>
        <w:t>Renewed efforts are needed to engage with and educate HIV community stakeholders about how the confidential public health surveillance system operates, including how health departments collect and use information, and incorporate accountability and data security safeguards in surveillance and data use activities</w:t>
      </w:r>
      <w:r w:rsidR="00CD2919">
        <w:rPr>
          <w:rFonts w:cstheme="minorHAnsi"/>
          <w:sz w:val="24"/>
          <w:szCs w:val="24"/>
          <w:lang w:val="en"/>
        </w:rPr>
        <w:t>.</w:t>
      </w:r>
    </w:p>
    <w:p w:rsidR="003C025E" w:rsidRDefault="003C025E" w:rsidP="003C025E">
      <w:pPr>
        <w:ind w:left="360"/>
        <w:rPr>
          <w:rFonts w:cstheme="minorHAnsi"/>
          <w:sz w:val="24"/>
          <w:szCs w:val="24"/>
          <w:lang w:val="en"/>
        </w:rPr>
      </w:pPr>
      <w:r>
        <w:rPr>
          <w:rFonts w:cstheme="minorHAnsi"/>
          <w:sz w:val="24"/>
          <w:szCs w:val="24"/>
          <w:lang w:val="en"/>
        </w:rPr>
        <w:t xml:space="preserve">Consistent with federal and state laws, HIV </w:t>
      </w:r>
      <w:r w:rsidRPr="004E678A">
        <w:rPr>
          <w:rFonts w:cstheme="minorHAnsi"/>
          <w:sz w:val="24"/>
          <w:szCs w:val="24"/>
          <w:lang w:val="en"/>
        </w:rPr>
        <w:t>laboratory and clinical testing data</w:t>
      </w:r>
      <w:r>
        <w:rPr>
          <w:rFonts w:cstheme="minorHAnsi"/>
          <w:sz w:val="24"/>
          <w:szCs w:val="24"/>
          <w:lang w:val="en"/>
        </w:rPr>
        <w:t xml:space="preserve"> are routinely reported without individual consent to public health agencies to enable epidemiological investigation, timely identification of transmission clusters, and better targeted programs for prevention and treatment. </w:t>
      </w:r>
      <w:r>
        <w:rPr>
          <w:sz w:val="24"/>
        </w:rPr>
        <w:t xml:space="preserve">Molecular surveillance using cluster sequencing enhances detection and control of transmission networks, improves the percentage of people living with HIV who know their </w:t>
      </w:r>
      <w:proofErr w:type="spellStart"/>
      <w:r>
        <w:rPr>
          <w:sz w:val="24"/>
        </w:rPr>
        <w:t>sero</w:t>
      </w:r>
      <w:proofErr w:type="spellEnd"/>
      <w:r>
        <w:rPr>
          <w:sz w:val="24"/>
        </w:rPr>
        <w:t>-status, and helps justify rapid deployment of prevention resources for underserved populations (</w:t>
      </w:r>
      <w:r w:rsidR="00CD2919">
        <w:rPr>
          <w:sz w:val="24"/>
        </w:rPr>
        <w:t>4</w:t>
      </w:r>
      <w:r>
        <w:rPr>
          <w:sz w:val="24"/>
        </w:rPr>
        <w:t>). When conducted in an ethical, culturally sensitive, and non-coercive way,</w:t>
      </w:r>
      <w:r w:rsidRPr="00AE37C4">
        <w:rPr>
          <w:sz w:val="24"/>
        </w:rPr>
        <w:t xml:space="preserve"> </w:t>
      </w:r>
      <w:r>
        <w:rPr>
          <w:sz w:val="24"/>
        </w:rPr>
        <w:t xml:space="preserve">individual- and community-level outreach activities following molecular cluster detection and investigation are an important </w:t>
      </w:r>
      <w:r w:rsidRPr="00415090">
        <w:rPr>
          <w:rFonts w:cstheme="minorHAnsi"/>
          <w:sz w:val="24"/>
          <w:szCs w:val="24"/>
          <w:lang w:val="en"/>
        </w:rPr>
        <w:t>part of comprehensive care and prevention services for persons living with or at risk for HIV.</w:t>
      </w:r>
    </w:p>
    <w:p w:rsidR="003C025E" w:rsidRDefault="003C025E" w:rsidP="003C025E">
      <w:pPr>
        <w:ind w:left="360"/>
        <w:rPr>
          <w:sz w:val="24"/>
        </w:rPr>
      </w:pPr>
      <w:r>
        <w:rPr>
          <w:rFonts w:cstheme="minorHAnsi"/>
          <w:sz w:val="24"/>
          <w:szCs w:val="24"/>
          <w:lang w:val="en"/>
        </w:rPr>
        <w:t>S</w:t>
      </w:r>
      <w:r w:rsidRPr="00EE5B1B">
        <w:rPr>
          <w:rFonts w:cstheme="minorHAnsi"/>
          <w:sz w:val="24"/>
          <w:szCs w:val="24"/>
          <w:lang w:val="en"/>
        </w:rPr>
        <w:t xml:space="preserve">tate and local health departments have long-established procedures and policies </w:t>
      </w:r>
      <w:r w:rsidRPr="00C75731">
        <w:rPr>
          <w:sz w:val="24"/>
        </w:rPr>
        <w:t>to</w:t>
      </w:r>
      <w:r>
        <w:rPr>
          <w:sz w:val="24"/>
        </w:rPr>
        <w:t xml:space="preserve"> protect the confidentiality of surveillance data.</w:t>
      </w:r>
      <w:r w:rsidRPr="00C75731">
        <w:rPr>
          <w:sz w:val="24"/>
        </w:rPr>
        <w:t xml:space="preserve"> </w:t>
      </w:r>
      <w:r>
        <w:rPr>
          <w:sz w:val="24"/>
        </w:rPr>
        <w:t xml:space="preserve">These </w:t>
      </w:r>
      <w:r w:rsidRPr="00804644">
        <w:rPr>
          <w:sz w:val="24"/>
        </w:rPr>
        <w:t xml:space="preserve">protections are in conformity with </w:t>
      </w:r>
      <w:r>
        <w:rPr>
          <w:sz w:val="24"/>
        </w:rPr>
        <w:lastRenderedPageBreak/>
        <w:t xml:space="preserve">both </w:t>
      </w:r>
      <w:r w:rsidRPr="00804644">
        <w:rPr>
          <w:sz w:val="24"/>
        </w:rPr>
        <w:t>statutory confidentiality provisions and CDC guidelines</w:t>
      </w:r>
      <w:r>
        <w:rPr>
          <w:sz w:val="24"/>
        </w:rPr>
        <w:t xml:space="preserve"> (</w:t>
      </w:r>
      <w:r w:rsidR="00CD2919">
        <w:rPr>
          <w:sz w:val="24"/>
        </w:rPr>
        <w:t>5</w:t>
      </w:r>
      <w:r>
        <w:rPr>
          <w:sz w:val="24"/>
        </w:rPr>
        <w:t xml:space="preserve">). They include, but are not limited to, data security policies and procedures (e.g., </w:t>
      </w:r>
      <w:r w:rsidRPr="008D02A8">
        <w:rPr>
          <w:sz w:val="24"/>
        </w:rPr>
        <w:t>technical, physical</w:t>
      </w:r>
      <w:r>
        <w:rPr>
          <w:sz w:val="24"/>
        </w:rPr>
        <w:t xml:space="preserve">, </w:t>
      </w:r>
      <w:r w:rsidRPr="008D02A8">
        <w:rPr>
          <w:sz w:val="24"/>
        </w:rPr>
        <w:t xml:space="preserve">and administrative controls </w:t>
      </w:r>
      <w:r>
        <w:rPr>
          <w:sz w:val="24"/>
        </w:rPr>
        <w:t>to prevent unauthorized access, records retention/destruction, secure communication protocols, mandatory information security training of authorized staff), institutional data sharing and use agreements facilitated by compliance and privacy officers, confidentiality compliance oversight and monitoring (e.g., ongoing compliance review, security breach protocols), and security standards in aggregate data release for reporting and programmatic purposes. Importantly, all health departments take a limited and protective approach to public health disclosures to law enforcement, and extensive work is taking place to disentangle public health and the criminal law, thus removing from health departments the responsibility to resist disclosures in furtherance of law enforcement (6</w:t>
      </w:r>
      <w:r w:rsidR="00CD2919">
        <w:rPr>
          <w:sz w:val="24"/>
        </w:rPr>
        <w:t>,7</w:t>
      </w:r>
      <w:r>
        <w:rPr>
          <w:sz w:val="24"/>
        </w:rPr>
        <w:t>).</w:t>
      </w:r>
    </w:p>
    <w:p w:rsidR="00787D97" w:rsidRDefault="003C025E" w:rsidP="003C025E">
      <w:pPr>
        <w:ind w:left="360"/>
        <w:rPr>
          <w:sz w:val="24"/>
        </w:rPr>
      </w:pPr>
      <w:r w:rsidRPr="00787D97">
        <w:rPr>
          <w:sz w:val="24"/>
        </w:rPr>
        <w:t xml:space="preserve">Wide adoption of molecular detection activities is predicated on balancing patient privacy and confidentiality with the goals of improving public health practice and ultimately health outcomes for people living with HIV. While it is imperative for health departments to assess data protections statutes wherever possible to ensure ethical implementation of HIV cluster detection and response, the ethical duty to assess and mitigate HIV morbidity and mortality as well as associated population disparities warrants the </w:t>
      </w:r>
      <w:r w:rsidR="00787D97">
        <w:rPr>
          <w:sz w:val="24"/>
        </w:rPr>
        <w:t xml:space="preserve">continual </w:t>
      </w:r>
      <w:r w:rsidRPr="00787D97">
        <w:rPr>
          <w:sz w:val="24"/>
        </w:rPr>
        <w:t>application of molecular epidemiology in public health.</w:t>
      </w:r>
    </w:p>
    <w:p w:rsidR="00787D97" w:rsidRDefault="00787D97" w:rsidP="00787D97">
      <w:r>
        <w:br w:type="page"/>
      </w:r>
    </w:p>
    <w:p w:rsidR="00787D97" w:rsidRPr="00787D97" w:rsidRDefault="00787D97" w:rsidP="00787D97">
      <w:pPr>
        <w:rPr>
          <w:sz w:val="24"/>
        </w:rPr>
      </w:pPr>
      <w:bookmarkStart w:id="0" w:name="_GoBack"/>
      <w:bookmarkEnd w:id="0"/>
      <w:r>
        <w:rPr>
          <w:sz w:val="24"/>
        </w:rPr>
        <w:lastRenderedPageBreak/>
        <w:t>References:</w:t>
      </w:r>
    </w:p>
    <w:p w:rsidR="003C025E" w:rsidRPr="009430B6" w:rsidRDefault="003C025E" w:rsidP="003C025E">
      <w:pPr>
        <w:pStyle w:val="bulletedlist"/>
        <w:numPr>
          <w:ilvl w:val="0"/>
          <w:numId w:val="0"/>
        </w:numPr>
        <w:ind w:left="90"/>
        <w:rPr>
          <w:rFonts w:asciiTheme="minorHAnsi" w:hAnsiTheme="minorHAnsi" w:cstheme="minorHAnsi"/>
          <w:sz w:val="24"/>
          <w:szCs w:val="24"/>
        </w:rPr>
      </w:pPr>
      <w:r w:rsidRPr="009430B6">
        <w:rPr>
          <w:rFonts w:asciiTheme="minorHAnsi" w:hAnsiTheme="minorHAnsi" w:cstheme="minorHAnsi"/>
          <w:sz w:val="24"/>
          <w:szCs w:val="24"/>
        </w:rPr>
        <w:t xml:space="preserve">1. </w:t>
      </w:r>
      <w:r w:rsidR="00542C5F" w:rsidRPr="000F6C8F">
        <w:rPr>
          <w:rFonts w:asciiTheme="minorHAnsi" w:hAnsiTheme="minorHAnsi" w:cstheme="minorHAnsi"/>
          <w:sz w:val="24"/>
          <w:szCs w:val="24"/>
        </w:rPr>
        <w:t>Centers for Disease Control and Prevention</w:t>
      </w:r>
      <w:r w:rsidR="00542C5F">
        <w:rPr>
          <w:rFonts w:asciiTheme="minorHAnsi" w:hAnsiTheme="minorHAnsi" w:cstheme="minorHAnsi"/>
          <w:sz w:val="24"/>
          <w:szCs w:val="24"/>
        </w:rPr>
        <w:t xml:space="preserve">. Responsible Use of HIV Cluster Data for Public Health Action. Accessed March 9, 2020 from </w:t>
      </w:r>
      <w:hyperlink r:id="rId5" w:history="1">
        <w:r w:rsidR="00542C5F" w:rsidRPr="00F959E6">
          <w:rPr>
            <w:rStyle w:val="Hyperlink"/>
            <w:rFonts w:asciiTheme="minorHAnsi" w:hAnsiTheme="minorHAnsi" w:cstheme="minorHAnsi"/>
            <w:sz w:val="24"/>
            <w:szCs w:val="24"/>
            <w:shd w:val="clear" w:color="auto" w:fill="FFFFFF"/>
          </w:rPr>
          <w:t>https://www.cdc.gov/hiv/programresources/guidance/cluster-outbreak/responsible-use.html</w:t>
        </w:r>
      </w:hyperlink>
    </w:p>
    <w:p w:rsidR="003C025E" w:rsidRDefault="003C025E" w:rsidP="003C025E">
      <w:pPr>
        <w:pStyle w:val="bulletedlist"/>
        <w:numPr>
          <w:ilvl w:val="0"/>
          <w:numId w:val="0"/>
        </w:numPr>
        <w:ind w:left="90"/>
        <w:rPr>
          <w:rStyle w:val="Hyperlink"/>
          <w:rFonts w:asciiTheme="minorHAnsi" w:hAnsiTheme="minorHAnsi" w:cstheme="minorHAnsi"/>
          <w:sz w:val="24"/>
          <w:szCs w:val="24"/>
        </w:rPr>
      </w:pPr>
      <w:r>
        <w:rPr>
          <w:rFonts w:asciiTheme="minorHAnsi" w:hAnsiTheme="minorHAnsi" w:cstheme="minorHAnsi"/>
          <w:sz w:val="24"/>
          <w:szCs w:val="24"/>
        </w:rPr>
        <w:t xml:space="preserve">2. </w:t>
      </w:r>
      <w:r w:rsidRPr="00EE5B1B">
        <w:rPr>
          <w:rFonts w:asciiTheme="minorHAnsi" w:hAnsiTheme="minorHAnsi" w:cstheme="minorHAnsi"/>
          <w:sz w:val="24"/>
          <w:szCs w:val="24"/>
        </w:rPr>
        <w:t xml:space="preserve">Department of Health and Human Services (US). Office of Civil Rights. </w:t>
      </w:r>
      <w:r w:rsidRPr="006B34BE">
        <w:rPr>
          <w:rFonts w:asciiTheme="minorHAnsi" w:hAnsiTheme="minorHAnsi" w:cstheme="minorHAnsi"/>
          <w:sz w:val="24"/>
          <w:szCs w:val="24"/>
        </w:rPr>
        <w:t>Understanding Some of HIPAA’s Permitted Uses and Disclosures</w:t>
      </w:r>
      <w:r>
        <w:rPr>
          <w:rFonts w:asciiTheme="minorHAnsi" w:hAnsiTheme="minorHAnsi" w:cstheme="minorHAnsi"/>
          <w:sz w:val="24"/>
          <w:szCs w:val="24"/>
        </w:rPr>
        <w:t xml:space="preserve">. Accessed March 10, 2020 </w:t>
      </w:r>
      <w:r w:rsidRPr="00EE5B1B">
        <w:rPr>
          <w:rFonts w:asciiTheme="minorHAnsi" w:hAnsiTheme="minorHAnsi" w:cstheme="minorHAnsi"/>
          <w:sz w:val="24"/>
          <w:szCs w:val="24"/>
        </w:rPr>
        <w:t>from</w:t>
      </w:r>
      <w:r w:rsidRPr="006B34BE">
        <w:t xml:space="preserve"> </w:t>
      </w:r>
      <w:hyperlink r:id="rId6" w:history="1">
        <w:r w:rsidRPr="00863960">
          <w:rPr>
            <w:rStyle w:val="Hyperlink"/>
            <w:rFonts w:asciiTheme="minorHAnsi" w:hAnsiTheme="minorHAnsi" w:cstheme="minorHAnsi"/>
            <w:sz w:val="24"/>
            <w:szCs w:val="24"/>
          </w:rPr>
          <w:t>https://www.hhs.gov/hipaa/for-professionals/privacy/guidance/permitted-uses/index.html</w:t>
        </w:r>
      </w:hyperlink>
    </w:p>
    <w:p w:rsidR="00542C5F" w:rsidRDefault="00542C5F" w:rsidP="00542C5F">
      <w:pPr>
        <w:pStyle w:val="bulletedlist"/>
        <w:numPr>
          <w:ilvl w:val="0"/>
          <w:numId w:val="0"/>
        </w:numPr>
        <w:ind w:left="90"/>
        <w:rPr>
          <w:rFonts w:asciiTheme="minorHAnsi" w:hAnsiTheme="minorHAnsi" w:cstheme="minorHAnsi"/>
          <w:sz w:val="24"/>
          <w:szCs w:val="24"/>
        </w:rPr>
      </w:pPr>
      <w:r>
        <w:rPr>
          <w:rFonts w:asciiTheme="minorHAnsi" w:hAnsiTheme="minorHAnsi" w:cstheme="minorHAnsi"/>
          <w:sz w:val="24"/>
          <w:szCs w:val="24"/>
        </w:rPr>
        <w:t>3.</w:t>
      </w:r>
      <w:r w:rsidRPr="001D68E2">
        <w:t xml:space="preserve"> </w:t>
      </w:r>
      <w:r w:rsidRPr="00EE5B1B">
        <w:rPr>
          <w:rFonts w:asciiTheme="minorHAnsi" w:hAnsiTheme="minorHAnsi" w:cstheme="minorHAnsi"/>
          <w:sz w:val="24"/>
          <w:szCs w:val="24"/>
        </w:rPr>
        <w:t xml:space="preserve">Department of Health and Human Services (US). </w:t>
      </w:r>
      <w:r>
        <w:rPr>
          <w:rFonts w:asciiTheme="minorHAnsi" w:hAnsiTheme="minorHAnsi" w:cstheme="minorHAnsi"/>
          <w:sz w:val="24"/>
          <w:szCs w:val="24"/>
        </w:rPr>
        <w:t xml:space="preserve">Office for Human Research Protections. </w:t>
      </w:r>
      <w:r w:rsidRPr="00542C5F">
        <w:rPr>
          <w:rFonts w:asciiTheme="minorHAnsi" w:hAnsiTheme="minorHAnsi" w:cstheme="minorHAnsi"/>
          <w:sz w:val="24"/>
          <w:szCs w:val="24"/>
        </w:rPr>
        <w:t>Activities Deemed Not to Be Research: Public Health Surveillance 2018 Requirements</w:t>
      </w:r>
      <w:r>
        <w:rPr>
          <w:rFonts w:asciiTheme="minorHAnsi" w:hAnsiTheme="minorHAnsi" w:cstheme="minorHAnsi"/>
          <w:sz w:val="24"/>
          <w:szCs w:val="24"/>
        </w:rPr>
        <w:t xml:space="preserve">. Accessed March 9, 2020 from </w:t>
      </w:r>
      <w:hyperlink r:id="rId7" w:history="1">
        <w:r w:rsidRPr="00F959E6">
          <w:rPr>
            <w:rStyle w:val="Hyperlink"/>
            <w:rFonts w:asciiTheme="minorHAnsi" w:hAnsiTheme="minorHAnsi" w:cstheme="minorHAnsi"/>
            <w:sz w:val="24"/>
            <w:szCs w:val="24"/>
          </w:rPr>
          <w:t>https://www.hhs.gov/ohrp/regulations-and-policy/requests-for-comments/draft-guidance</w:t>
        </w:r>
        <w:r w:rsidRPr="00F959E6">
          <w:rPr>
            <w:rStyle w:val="Hyperlink"/>
            <w:rFonts w:asciiTheme="minorHAnsi" w:hAnsiTheme="minorHAnsi" w:cstheme="minorHAnsi"/>
            <w:sz w:val="24"/>
            <w:szCs w:val="24"/>
          </w:rPr>
          <w:t>-</w:t>
        </w:r>
        <w:r w:rsidRPr="00F959E6">
          <w:rPr>
            <w:rStyle w:val="Hyperlink"/>
            <w:rFonts w:asciiTheme="minorHAnsi" w:hAnsiTheme="minorHAnsi" w:cstheme="minorHAnsi"/>
            <w:sz w:val="24"/>
            <w:szCs w:val="24"/>
          </w:rPr>
          <w:t>activities-deemed-not-be-research-public-health-surveillance/index.html</w:t>
        </w:r>
      </w:hyperlink>
    </w:p>
    <w:p w:rsidR="003C025E" w:rsidRDefault="00542C5F" w:rsidP="003C025E">
      <w:pPr>
        <w:pStyle w:val="bulletedlist"/>
        <w:numPr>
          <w:ilvl w:val="0"/>
          <w:numId w:val="0"/>
        </w:numPr>
        <w:ind w:left="90"/>
        <w:rPr>
          <w:rFonts w:asciiTheme="minorHAnsi" w:hAnsiTheme="minorHAnsi" w:cstheme="minorHAnsi"/>
          <w:sz w:val="24"/>
          <w:szCs w:val="24"/>
        </w:rPr>
      </w:pPr>
      <w:r>
        <w:rPr>
          <w:rFonts w:asciiTheme="minorHAnsi" w:hAnsiTheme="minorHAnsi" w:cstheme="minorHAnsi"/>
          <w:sz w:val="24"/>
          <w:szCs w:val="24"/>
        </w:rPr>
        <w:t>4</w:t>
      </w:r>
      <w:r w:rsidR="003C025E">
        <w:rPr>
          <w:rFonts w:asciiTheme="minorHAnsi" w:hAnsiTheme="minorHAnsi" w:cstheme="minorHAnsi"/>
          <w:sz w:val="24"/>
          <w:szCs w:val="24"/>
        </w:rPr>
        <w:t xml:space="preserve">. O’Neill Institute for National &amp; Global Health Law. Using Cluster Detection to End the HIV Epidemic. Accessed September 20, 2019 from </w:t>
      </w:r>
      <w:hyperlink r:id="rId8" w:history="1">
        <w:r w:rsidR="003C025E" w:rsidRPr="00863960">
          <w:rPr>
            <w:rStyle w:val="Hyperlink"/>
            <w:rFonts w:asciiTheme="minorHAnsi" w:hAnsiTheme="minorHAnsi" w:cstheme="minorHAnsi"/>
            <w:sz w:val="24"/>
            <w:szCs w:val="24"/>
          </w:rPr>
          <w:t>https://oneill.law.georgetown.edu/wp-content/uploads/Quick-Take_HIV-Cluster-Detection_August-2019.pdf</w:t>
        </w:r>
      </w:hyperlink>
    </w:p>
    <w:p w:rsidR="003C025E" w:rsidRDefault="00542C5F" w:rsidP="003C025E">
      <w:pPr>
        <w:pStyle w:val="bulletedlist"/>
        <w:numPr>
          <w:ilvl w:val="0"/>
          <w:numId w:val="0"/>
        </w:numPr>
        <w:ind w:left="90"/>
        <w:rPr>
          <w:rFonts w:asciiTheme="minorHAnsi" w:hAnsiTheme="minorHAnsi" w:cstheme="minorHAnsi"/>
          <w:sz w:val="24"/>
          <w:szCs w:val="24"/>
        </w:rPr>
      </w:pPr>
      <w:r>
        <w:rPr>
          <w:rFonts w:asciiTheme="minorHAnsi" w:hAnsiTheme="minorHAnsi" w:cstheme="minorHAnsi"/>
          <w:sz w:val="24"/>
          <w:szCs w:val="24"/>
        </w:rPr>
        <w:t>5</w:t>
      </w:r>
      <w:r w:rsidR="003C025E">
        <w:rPr>
          <w:rFonts w:asciiTheme="minorHAnsi" w:hAnsiTheme="minorHAnsi" w:cstheme="minorHAnsi"/>
          <w:sz w:val="24"/>
          <w:szCs w:val="24"/>
        </w:rPr>
        <w:t>.</w:t>
      </w:r>
      <w:r w:rsidR="003C025E" w:rsidRPr="000F6C8F">
        <w:rPr>
          <w:rFonts w:ascii="TimesNewRomanPSMT" w:hAnsi="TimesNewRomanPSMT" w:cs="TimesNewRomanPSMT"/>
          <w:sz w:val="20"/>
          <w:szCs w:val="20"/>
        </w:rPr>
        <w:t xml:space="preserve"> </w:t>
      </w:r>
      <w:r w:rsidR="003C025E" w:rsidRPr="000F6C8F">
        <w:rPr>
          <w:rFonts w:asciiTheme="minorHAnsi" w:hAnsiTheme="minorHAnsi" w:cstheme="minorHAnsi"/>
          <w:sz w:val="24"/>
          <w:szCs w:val="24"/>
        </w:rPr>
        <w:t>Centers for Disease Control and Prevention. Data Security and Confidentiality Guidelines for HIV, Viral Hepatitis,</w:t>
      </w:r>
      <w:r w:rsidR="003C025E">
        <w:rPr>
          <w:rFonts w:asciiTheme="minorHAnsi" w:hAnsiTheme="minorHAnsi" w:cstheme="minorHAnsi"/>
          <w:sz w:val="24"/>
          <w:szCs w:val="24"/>
        </w:rPr>
        <w:t xml:space="preserve"> </w:t>
      </w:r>
      <w:r w:rsidR="003C025E" w:rsidRPr="000F6C8F">
        <w:rPr>
          <w:rFonts w:asciiTheme="minorHAnsi" w:hAnsiTheme="minorHAnsi" w:cstheme="minorHAnsi"/>
          <w:sz w:val="24"/>
          <w:szCs w:val="24"/>
        </w:rPr>
        <w:t>Sexually Transmitted Disease, and Tuberculosis Programs: Standards to Facilitate Sharing and Use of Surveillance</w:t>
      </w:r>
      <w:r w:rsidR="003C025E">
        <w:rPr>
          <w:rFonts w:asciiTheme="minorHAnsi" w:hAnsiTheme="minorHAnsi" w:cstheme="minorHAnsi"/>
          <w:sz w:val="24"/>
          <w:szCs w:val="24"/>
        </w:rPr>
        <w:t xml:space="preserve"> </w:t>
      </w:r>
      <w:r w:rsidR="003C025E" w:rsidRPr="000F6C8F">
        <w:rPr>
          <w:rFonts w:asciiTheme="minorHAnsi" w:hAnsiTheme="minorHAnsi" w:cstheme="minorHAnsi"/>
          <w:sz w:val="24"/>
          <w:szCs w:val="24"/>
        </w:rPr>
        <w:t>Data for Public Health Action. Atlanta (GA) U.S. Department of Health and Human Services, Centers for Disease</w:t>
      </w:r>
      <w:r w:rsidR="003C025E">
        <w:rPr>
          <w:rFonts w:asciiTheme="minorHAnsi" w:hAnsiTheme="minorHAnsi" w:cstheme="minorHAnsi"/>
          <w:sz w:val="24"/>
          <w:szCs w:val="24"/>
        </w:rPr>
        <w:t xml:space="preserve"> </w:t>
      </w:r>
      <w:r w:rsidR="003C025E" w:rsidRPr="000F6C8F">
        <w:rPr>
          <w:rFonts w:asciiTheme="minorHAnsi" w:hAnsiTheme="minorHAnsi" w:cstheme="minorHAnsi"/>
          <w:sz w:val="24"/>
          <w:szCs w:val="24"/>
        </w:rPr>
        <w:t>Control and Prevention; 2011.</w:t>
      </w:r>
    </w:p>
    <w:p w:rsidR="003C025E" w:rsidRDefault="00542C5F" w:rsidP="003C025E">
      <w:pPr>
        <w:pStyle w:val="bulletedlist"/>
        <w:numPr>
          <w:ilvl w:val="0"/>
          <w:numId w:val="0"/>
        </w:numPr>
        <w:ind w:left="90"/>
        <w:rPr>
          <w:rFonts w:asciiTheme="minorHAnsi" w:hAnsiTheme="minorHAnsi" w:cstheme="minorHAnsi"/>
          <w:sz w:val="24"/>
          <w:szCs w:val="24"/>
        </w:rPr>
      </w:pPr>
      <w:r>
        <w:rPr>
          <w:rFonts w:asciiTheme="minorHAnsi" w:hAnsiTheme="minorHAnsi" w:cstheme="minorHAnsi"/>
          <w:sz w:val="24"/>
          <w:szCs w:val="24"/>
        </w:rPr>
        <w:t>6</w:t>
      </w:r>
      <w:r w:rsidR="003C025E">
        <w:rPr>
          <w:rFonts w:asciiTheme="minorHAnsi" w:hAnsiTheme="minorHAnsi" w:cstheme="minorHAnsi"/>
          <w:sz w:val="24"/>
          <w:szCs w:val="24"/>
        </w:rPr>
        <w:t xml:space="preserve">. </w:t>
      </w:r>
      <w:proofErr w:type="spellStart"/>
      <w:r w:rsidR="003C025E" w:rsidRPr="005558A6">
        <w:rPr>
          <w:rFonts w:asciiTheme="minorHAnsi" w:hAnsiTheme="minorHAnsi" w:cstheme="minorHAnsi"/>
          <w:sz w:val="24"/>
          <w:szCs w:val="24"/>
        </w:rPr>
        <w:t>Lazzarini</w:t>
      </w:r>
      <w:proofErr w:type="spellEnd"/>
      <w:r w:rsidR="003C025E" w:rsidRPr="005558A6">
        <w:rPr>
          <w:rFonts w:asciiTheme="minorHAnsi" w:hAnsiTheme="minorHAnsi" w:cstheme="minorHAnsi"/>
          <w:sz w:val="24"/>
          <w:szCs w:val="24"/>
        </w:rPr>
        <w:t xml:space="preserve"> Z, </w:t>
      </w:r>
      <w:proofErr w:type="spellStart"/>
      <w:r w:rsidR="003C025E" w:rsidRPr="005558A6">
        <w:rPr>
          <w:rFonts w:asciiTheme="minorHAnsi" w:hAnsiTheme="minorHAnsi" w:cstheme="minorHAnsi"/>
          <w:sz w:val="24"/>
          <w:szCs w:val="24"/>
        </w:rPr>
        <w:t>Galletly</w:t>
      </w:r>
      <w:proofErr w:type="spellEnd"/>
      <w:r w:rsidR="003C025E" w:rsidRPr="005558A6">
        <w:rPr>
          <w:rFonts w:asciiTheme="minorHAnsi" w:hAnsiTheme="minorHAnsi" w:cstheme="minorHAnsi"/>
          <w:sz w:val="24"/>
          <w:szCs w:val="24"/>
        </w:rPr>
        <w:t xml:space="preserve"> CL, </w:t>
      </w:r>
      <w:proofErr w:type="spellStart"/>
      <w:r w:rsidR="003C025E" w:rsidRPr="005558A6">
        <w:rPr>
          <w:rFonts w:asciiTheme="minorHAnsi" w:hAnsiTheme="minorHAnsi" w:cstheme="minorHAnsi"/>
          <w:sz w:val="24"/>
          <w:szCs w:val="24"/>
        </w:rPr>
        <w:t>Mykhalovskiy</w:t>
      </w:r>
      <w:proofErr w:type="spellEnd"/>
      <w:r w:rsidR="003C025E" w:rsidRPr="005558A6">
        <w:rPr>
          <w:rFonts w:asciiTheme="minorHAnsi" w:hAnsiTheme="minorHAnsi" w:cstheme="minorHAnsi"/>
          <w:sz w:val="24"/>
          <w:szCs w:val="24"/>
        </w:rPr>
        <w:t xml:space="preserve"> E, et al. Criminalization of HIV </w:t>
      </w:r>
      <w:r w:rsidR="003C025E">
        <w:rPr>
          <w:rFonts w:asciiTheme="minorHAnsi" w:hAnsiTheme="minorHAnsi" w:cstheme="minorHAnsi"/>
          <w:sz w:val="24"/>
          <w:szCs w:val="24"/>
        </w:rPr>
        <w:t>T</w:t>
      </w:r>
      <w:r w:rsidR="003C025E" w:rsidRPr="005558A6">
        <w:rPr>
          <w:rFonts w:asciiTheme="minorHAnsi" w:hAnsiTheme="minorHAnsi" w:cstheme="minorHAnsi"/>
          <w:sz w:val="24"/>
          <w:szCs w:val="24"/>
        </w:rPr>
        <w:t xml:space="preserve">ransmission and </w:t>
      </w:r>
      <w:r w:rsidR="003C025E">
        <w:rPr>
          <w:rFonts w:asciiTheme="minorHAnsi" w:hAnsiTheme="minorHAnsi" w:cstheme="minorHAnsi"/>
          <w:sz w:val="24"/>
          <w:szCs w:val="24"/>
        </w:rPr>
        <w:t>E</w:t>
      </w:r>
      <w:r w:rsidR="003C025E" w:rsidRPr="005558A6">
        <w:rPr>
          <w:rFonts w:asciiTheme="minorHAnsi" w:hAnsiTheme="minorHAnsi" w:cstheme="minorHAnsi"/>
          <w:sz w:val="24"/>
          <w:szCs w:val="24"/>
        </w:rPr>
        <w:t xml:space="preserve">xposure: </w:t>
      </w:r>
      <w:r w:rsidR="003C025E">
        <w:rPr>
          <w:rFonts w:asciiTheme="minorHAnsi" w:hAnsiTheme="minorHAnsi" w:cstheme="minorHAnsi"/>
          <w:sz w:val="24"/>
          <w:szCs w:val="24"/>
        </w:rPr>
        <w:t>R</w:t>
      </w:r>
      <w:r w:rsidR="003C025E" w:rsidRPr="005558A6">
        <w:rPr>
          <w:rFonts w:asciiTheme="minorHAnsi" w:hAnsiTheme="minorHAnsi" w:cstheme="minorHAnsi"/>
          <w:sz w:val="24"/>
          <w:szCs w:val="24"/>
        </w:rPr>
        <w:t xml:space="preserve">esearch and </w:t>
      </w:r>
      <w:r w:rsidR="003C025E">
        <w:rPr>
          <w:rFonts w:asciiTheme="minorHAnsi" w:hAnsiTheme="minorHAnsi" w:cstheme="minorHAnsi"/>
          <w:sz w:val="24"/>
          <w:szCs w:val="24"/>
        </w:rPr>
        <w:t>P</w:t>
      </w:r>
      <w:r w:rsidR="003C025E" w:rsidRPr="005558A6">
        <w:rPr>
          <w:rFonts w:asciiTheme="minorHAnsi" w:hAnsiTheme="minorHAnsi" w:cstheme="minorHAnsi"/>
          <w:sz w:val="24"/>
          <w:szCs w:val="24"/>
        </w:rPr>
        <w:t xml:space="preserve">olicy </w:t>
      </w:r>
      <w:r w:rsidR="003C025E">
        <w:rPr>
          <w:rFonts w:asciiTheme="minorHAnsi" w:hAnsiTheme="minorHAnsi" w:cstheme="minorHAnsi"/>
          <w:sz w:val="24"/>
          <w:szCs w:val="24"/>
        </w:rPr>
        <w:t>A</w:t>
      </w:r>
      <w:r w:rsidR="003C025E" w:rsidRPr="005558A6">
        <w:rPr>
          <w:rFonts w:asciiTheme="minorHAnsi" w:hAnsiTheme="minorHAnsi" w:cstheme="minorHAnsi"/>
          <w:sz w:val="24"/>
          <w:szCs w:val="24"/>
        </w:rPr>
        <w:t xml:space="preserve">genda. Am J Public Health. 2013;103(8):1350–1353. </w:t>
      </w:r>
    </w:p>
    <w:p w:rsidR="003C025E" w:rsidRDefault="00542C5F" w:rsidP="003C025E">
      <w:pPr>
        <w:pStyle w:val="bulletedlist"/>
        <w:numPr>
          <w:ilvl w:val="0"/>
          <w:numId w:val="0"/>
        </w:numPr>
        <w:ind w:left="90"/>
        <w:rPr>
          <w:rFonts w:asciiTheme="minorHAnsi" w:hAnsiTheme="minorHAnsi" w:cstheme="minorHAnsi"/>
          <w:sz w:val="24"/>
          <w:szCs w:val="24"/>
        </w:rPr>
      </w:pPr>
      <w:r>
        <w:rPr>
          <w:rFonts w:asciiTheme="minorHAnsi" w:hAnsiTheme="minorHAnsi" w:cstheme="minorHAnsi"/>
          <w:sz w:val="24"/>
          <w:szCs w:val="24"/>
        </w:rPr>
        <w:t>7</w:t>
      </w:r>
      <w:r w:rsidR="003C025E">
        <w:rPr>
          <w:rFonts w:asciiTheme="minorHAnsi" w:hAnsiTheme="minorHAnsi" w:cstheme="minorHAnsi"/>
          <w:sz w:val="24"/>
          <w:szCs w:val="24"/>
        </w:rPr>
        <w:t xml:space="preserve">. National Alliance of State &amp; Territorial AIDS Directors. Guidelines to End HIV Criminalization in Public Health Practice. Accessed March 6, 2020 from </w:t>
      </w:r>
      <w:hyperlink r:id="rId9" w:history="1">
        <w:r w:rsidR="003C025E" w:rsidRPr="00863960">
          <w:rPr>
            <w:rStyle w:val="Hyperlink"/>
            <w:rFonts w:asciiTheme="minorHAnsi" w:hAnsiTheme="minorHAnsi" w:cstheme="minorHAnsi"/>
            <w:sz w:val="24"/>
            <w:szCs w:val="24"/>
          </w:rPr>
          <w:t>https://www.nastad.org/sites/default/files/resources/docs/decriminalization_guidelines.pdf</w:t>
        </w:r>
      </w:hyperlink>
    </w:p>
    <w:p w:rsidR="003C025E" w:rsidRDefault="003C025E" w:rsidP="003C025E">
      <w:pPr>
        <w:pStyle w:val="bulletedlist"/>
        <w:numPr>
          <w:ilvl w:val="0"/>
          <w:numId w:val="0"/>
        </w:numPr>
        <w:ind w:left="90"/>
        <w:rPr>
          <w:rFonts w:asciiTheme="minorHAnsi" w:hAnsiTheme="minorHAnsi" w:cstheme="minorHAnsi"/>
          <w:sz w:val="24"/>
          <w:szCs w:val="24"/>
        </w:rPr>
      </w:pPr>
    </w:p>
    <w:p w:rsidR="00CC18FD" w:rsidRDefault="00CC18FD"/>
    <w:sectPr w:rsidR="00CC18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4D44C4"/>
    <w:multiLevelType w:val="hybridMultilevel"/>
    <w:tmpl w:val="CEF4E49A"/>
    <w:lvl w:ilvl="0" w:tplc="52A29CFE">
      <w:start w:val="1"/>
      <w:numFmt w:val="bullet"/>
      <w:pStyle w:val="bulletedlist"/>
      <w:lvlText w:val=""/>
      <w:lvlJc w:val="left"/>
      <w:pPr>
        <w:tabs>
          <w:tab w:val="num" w:pos="288"/>
        </w:tabs>
        <w:ind w:left="288" w:hanging="288"/>
      </w:pPr>
      <w:rPr>
        <w:rFonts w:ascii="Symbol" w:hAnsi="Symbol" w:hint="default"/>
        <w:b w:val="0"/>
        <w:i w:val="0"/>
        <w:color w:val="808080"/>
        <w:sz w:val="12"/>
        <w:szCs w:val="1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5E"/>
    <w:rsid w:val="003C025E"/>
    <w:rsid w:val="00542C5F"/>
    <w:rsid w:val="00787D97"/>
    <w:rsid w:val="009C4DF1"/>
    <w:rsid w:val="00CC18FD"/>
    <w:rsid w:val="00CD2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95C4B"/>
  <w15:chartTrackingRefBased/>
  <w15:docId w15:val="{A35860B9-9F87-4123-8F39-857531519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025E"/>
    <w:pPr>
      <w:spacing w:after="200" w:line="276" w:lineRule="auto"/>
    </w:pPr>
    <w:rPr>
      <w:rFonts w:eastAsiaTheme="minorEastAsia"/>
      <w:lang w:eastAsia="zh-CN"/>
    </w:rPr>
  </w:style>
  <w:style w:type="paragraph" w:styleId="Heading1">
    <w:name w:val="heading 1"/>
    <w:basedOn w:val="Normal"/>
    <w:next w:val="Normal"/>
    <w:link w:val="Heading1Char"/>
    <w:uiPriority w:val="9"/>
    <w:qFormat/>
    <w:rsid w:val="003C02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02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025E"/>
    <w:rPr>
      <w:color w:val="0563C1" w:themeColor="hyperlink"/>
      <w:u w:val="single"/>
    </w:rPr>
  </w:style>
  <w:style w:type="paragraph" w:customStyle="1" w:styleId="bulletedlist">
    <w:name w:val="bulleted list"/>
    <w:basedOn w:val="Normal"/>
    <w:rsid w:val="003C025E"/>
    <w:pPr>
      <w:numPr>
        <w:numId w:val="1"/>
      </w:numPr>
      <w:spacing w:before="40" w:after="80" w:line="220" w:lineRule="exact"/>
    </w:pPr>
    <w:rPr>
      <w:rFonts w:ascii="Tahoma" w:eastAsia="Times New Roman" w:hAnsi="Tahoma" w:cs="Arial"/>
      <w:spacing w:val="10"/>
      <w:sz w:val="16"/>
      <w:szCs w:val="16"/>
      <w:lang w:eastAsia="en-US"/>
    </w:rPr>
  </w:style>
  <w:style w:type="character" w:customStyle="1" w:styleId="Heading1Char">
    <w:name w:val="Heading 1 Char"/>
    <w:basedOn w:val="DefaultParagraphFont"/>
    <w:link w:val="Heading1"/>
    <w:uiPriority w:val="9"/>
    <w:rsid w:val="003C025E"/>
    <w:rPr>
      <w:rFonts w:asciiTheme="majorHAnsi" w:eastAsiaTheme="majorEastAsia" w:hAnsiTheme="majorHAnsi" w:cstheme="majorBidi"/>
      <w:color w:val="2F5496" w:themeColor="accent1" w:themeShade="BF"/>
      <w:sz w:val="32"/>
      <w:szCs w:val="32"/>
      <w:lang w:eastAsia="zh-CN"/>
    </w:rPr>
  </w:style>
  <w:style w:type="character" w:customStyle="1" w:styleId="Heading2Char">
    <w:name w:val="Heading 2 Char"/>
    <w:basedOn w:val="DefaultParagraphFont"/>
    <w:link w:val="Heading2"/>
    <w:uiPriority w:val="9"/>
    <w:rsid w:val="003C025E"/>
    <w:rPr>
      <w:rFonts w:asciiTheme="majorHAnsi" w:eastAsiaTheme="majorEastAsia" w:hAnsiTheme="majorHAnsi" w:cstheme="majorBidi"/>
      <w:color w:val="2F5496" w:themeColor="accent1" w:themeShade="BF"/>
      <w:sz w:val="26"/>
      <w:szCs w:val="26"/>
      <w:lang w:eastAsia="zh-CN"/>
    </w:rPr>
  </w:style>
  <w:style w:type="character" w:styleId="FollowedHyperlink">
    <w:name w:val="FollowedHyperlink"/>
    <w:basedOn w:val="DefaultParagraphFont"/>
    <w:uiPriority w:val="99"/>
    <w:semiHidden/>
    <w:unhideWhenUsed/>
    <w:rsid w:val="00542C5F"/>
    <w:rPr>
      <w:color w:val="954F72" w:themeColor="followedHyperlink"/>
      <w:u w:val="single"/>
    </w:rPr>
  </w:style>
  <w:style w:type="character" w:styleId="UnresolvedMention">
    <w:name w:val="Unresolved Mention"/>
    <w:basedOn w:val="DefaultParagraphFont"/>
    <w:uiPriority w:val="99"/>
    <w:semiHidden/>
    <w:unhideWhenUsed/>
    <w:rsid w:val="00542C5F"/>
    <w:rPr>
      <w:color w:val="605E5C"/>
      <w:shd w:val="clear" w:color="auto" w:fill="E1DFDD"/>
    </w:rPr>
  </w:style>
  <w:style w:type="paragraph" w:styleId="NoSpacing">
    <w:name w:val="No Spacing"/>
    <w:uiPriority w:val="1"/>
    <w:qFormat/>
    <w:rsid w:val="00542C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81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ill.law.georgetown.edu/wp-content/uploads/Quick-Take_HIV-Cluster-Detection_August-2019.pdf" TargetMode="External"/><Relationship Id="rId3" Type="http://schemas.openxmlformats.org/officeDocument/2006/relationships/settings" Target="settings.xml"/><Relationship Id="rId7" Type="http://schemas.openxmlformats.org/officeDocument/2006/relationships/hyperlink" Target="https://www.hhs.gov/ohrp/regulations-and-policy/requests-for-comments/draft-guidance-activities-deemed-not-be-research-public-health-surveillance/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hs.gov/hipaa/for-professionals/privacy/guidance/permitted-uses/index.html" TargetMode="External"/><Relationship Id="rId11" Type="http://schemas.openxmlformats.org/officeDocument/2006/relationships/theme" Target="theme/theme1.xml"/><Relationship Id="rId5" Type="http://schemas.openxmlformats.org/officeDocument/2006/relationships/hyperlink" Target="https://www.cdc.gov/hiv/programresources/guidance/cluster-outbreak/responsible-use.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astad.org/sites/default/files/resources/docs/decriminalization_guidelin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1029</Words>
  <Characters>5871</Characters>
  <Application>Microsoft Office Word</Application>
  <DocSecurity>0</DocSecurity>
  <Lines>48</Lines>
  <Paragraphs>13</Paragraphs>
  <ScaleCrop>false</ScaleCrop>
  <Company>California Department of Public Health</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 Jing@CDPH</dc:creator>
  <cp:keywords/>
  <dc:description/>
  <cp:lastModifiedBy>Feng, Jing@CDPH</cp:lastModifiedBy>
  <cp:revision>5</cp:revision>
  <dcterms:created xsi:type="dcterms:W3CDTF">2020-03-11T17:13:00Z</dcterms:created>
  <dcterms:modified xsi:type="dcterms:W3CDTF">2020-03-11T17:27:00Z</dcterms:modified>
</cp:coreProperties>
</file>