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E01B9" w14:textId="77777777" w:rsidR="00994C30" w:rsidRDefault="00994C30">
      <w:r>
        <w:rPr>
          <w:noProof/>
        </w:rPr>
        <w:drawing>
          <wp:inline distT="0" distB="0" distL="0" distR="0" wp14:anchorId="568FC1C2" wp14:editId="64091FA4">
            <wp:extent cx="1943371" cy="571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OH Logo_RGB_Horz-sm.png"/>
                    <pic:cNvPicPr/>
                  </pic:nvPicPr>
                  <pic:blipFill>
                    <a:blip r:embed="rId7">
                      <a:extLst>
                        <a:ext uri="{28A0092B-C50C-407E-A947-70E740481C1C}">
                          <a14:useLocalDpi xmlns:a14="http://schemas.microsoft.com/office/drawing/2010/main" val="0"/>
                        </a:ext>
                      </a:extLst>
                    </a:blip>
                    <a:stretch>
                      <a:fillRect/>
                    </a:stretch>
                  </pic:blipFill>
                  <pic:spPr>
                    <a:xfrm>
                      <a:off x="0" y="0"/>
                      <a:ext cx="1943371" cy="571580"/>
                    </a:xfrm>
                    <a:prstGeom prst="rect">
                      <a:avLst/>
                    </a:prstGeom>
                  </pic:spPr>
                </pic:pic>
              </a:graphicData>
            </a:graphic>
          </wp:inline>
        </w:drawing>
      </w:r>
    </w:p>
    <w:p w14:paraId="7AF4F477" w14:textId="749DDC9E" w:rsidR="00331020" w:rsidRDefault="00A66BE1" w:rsidP="00994C30">
      <w:pPr>
        <w:pStyle w:val="Heading1"/>
        <w:spacing w:after="240"/>
        <w:jc w:val="center"/>
      </w:pPr>
      <w:r>
        <w:t xml:space="preserve">Waiver of </w:t>
      </w:r>
      <w:r w:rsidR="00DE1E72">
        <w:t xml:space="preserve">Informed Consent </w:t>
      </w:r>
      <w:r w:rsidR="00994C30">
        <w:t>Checklist</w:t>
      </w:r>
    </w:p>
    <w:p w14:paraId="22536667" w14:textId="77777777" w:rsidR="00994C30" w:rsidRDefault="00994C30" w:rsidP="00994C30">
      <w:pPr>
        <w:spacing w:after="0"/>
      </w:pPr>
      <w:r>
        <w:t xml:space="preserve">UDOH IRB Number:    </w:t>
      </w:r>
      <w:sdt>
        <w:sdtPr>
          <w:id w:val="-619534486"/>
          <w:placeholder>
            <w:docPart w:val="DefaultPlaceholder_1082065158"/>
          </w:placeholder>
          <w:showingPlcHdr/>
        </w:sdtPr>
        <w:sdtEndPr/>
        <w:sdtContent>
          <w:r w:rsidRPr="00AA6403">
            <w:rPr>
              <w:rStyle w:val="PlaceholderText"/>
            </w:rPr>
            <w:t>Click here to enter text.</w:t>
          </w:r>
        </w:sdtContent>
      </w:sdt>
    </w:p>
    <w:p w14:paraId="748C49EB" w14:textId="77777777" w:rsidR="00994C30" w:rsidRDefault="00994C30" w:rsidP="00994C30">
      <w:pPr>
        <w:spacing w:after="0"/>
      </w:pPr>
      <w:r>
        <w:t xml:space="preserve">Research Title:  </w:t>
      </w:r>
      <w:sdt>
        <w:sdtPr>
          <w:id w:val="-588777909"/>
          <w:placeholder>
            <w:docPart w:val="DefaultPlaceholder_1082065158"/>
          </w:placeholder>
          <w:showingPlcHdr/>
        </w:sdtPr>
        <w:sdtEndPr/>
        <w:sdtContent>
          <w:r w:rsidRPr="00AA6403">
            <w:rPr>
              <w:rStyle w:val="PlaceholderText"/>
            </w:rPr>
            <w:t>Click here to enter text.</w:t>
          </w:r>
        </w:sdtContent>
      </w:sdt>
    </w:p>
    <w:p w14:paraId="44FCA7AB" w14:textId="77777777" w:rsidR="00994C30" w:rsidRDefault="00994C30" w:rsidP="00994C30">
      <w:pPr>
        <w:spacing w:after="0"/>
      </w:pPr>
      <w:r>
        <w:t xml:space="preserve">PI Name:  </w:t>
      </w:r>
      <w:sdt>
        <w:sdtPr>
          <w:id w:val="159592119"/>
          <w:placeholder>
            <w:docPart w:val="DefaultPlaceholder_1082065158"/>
          </w:placeholder>
          <w:showingPlcHdr/>
        </w:sdtPr>
        <w:sdtEndPr/>
        <w:sdtContent>
          <w:r w:rsidRPr="00AA6403">
            <w:rPr>
              <w:rStyle w:val="PlaceholderText"/>
            </w:rPr>
            <w:t>Click here to enter text.</w:t>
          </w:r>
        </w:sdtContent>
      </w:sdt>
    </w:p>
    <w:p w14:paraId="2BB92928" w14:textId="77777777" w:rsidR="00994C30" w:rsidRDefault="00994C30" w:rsidP="00994C30">
      <w:pPr>
        <w:spacing w:after="0"/>
      </w:pPr>
      <w:r>
        <w:t xml:space="preserve">Name of IRB Member completing form: </w:t>
      </w:r>
      <w:sdt>
        <w:sdtPr>
          <w:id w:val="2019576288"/>
          <w:placeholder>
            <w:docPart w:val="DefaultPlaceholder_1082065158"/>
          </w:placeholder>
          <w:showingPlcHdr/>
        </w:sdtPr>
        <w:sdtEndPr/>
        <w:sdtContent>
          <w:r w:rsidRPr="00AA6403">
            <w:rPr>
              <w:rStyle w:val="PlaceholderText"/>
            </w:rPr>
            <w:t>Click here to enter text.</w:t>
          </w:r>
        </w:sdtContent>
      </w:sdt>
    </w:p>
    <w:p w14:paraId="796CBBCB" w14:textId="77777777" w:rsidR="00994C30" w:rsidRDefault="000A3B23" w:rsidP="00994C30">
      <w:pPr>
        <w:spacing w:after="0"/>
      </w:pPr>
      <w:r>
        <w:t xml:space="preserve">Date of review: </w:t>
      </w:r>
      <w:sdt>
        <w:sdtPr>
          <w:id w:val="208305196"/>
          <w:placeholder>
            <w:docPart w:val="DefaultPlaceholder_1082065160"/>
          </w:placeholder>
          <w:showingPlcHdr/>
          <w:date>
            <w:dateFormat w:val="M/d/yyyy"/>
            <w:lid w:val="en-US"/>
            <w:storeMappedDataAs w:val="dateTime"/>
            <w:calendar w:val="gregorian"/>
          </w:date>
        </w:sdtPr>
        <w:sdtEndPr/>
        <w:sdtContent>
          <w:r w:rsidRPr="00BD09FC">
            <w:rPr>
              <w:rStyle w:val="PlaceholderText"/>
            </w:rPr>
            <w:t>Click here to enter a date.</w:t>
          </w:r>
        </w:sdtContent>
      </w:sdt>
    </w:p>
    <w:p w14:paraId="5B6D59E6" w14:textId="77777777" w:rsidR="000A3B23" w:rsidRDefault="000A3B23" w:rsidP="00994C30">
      <w:pPr>
        <w:spacing w:after="0"/>
      </w:pPr>
    </w:p>
    <w:p w14:paraId="0D1EAFD7" w14:textId="77777777" w:rsidR="00994C30" w:rsidRDefault="00592004" w:rsidP="00994C30">
      <w:pPr>
        <w:spacing w:after="0"/>
      </w:pPr>
      <w:r>
        <w:t xml:space="preserve">The purpose of this form is to determine if </w:t>
      </w:r>
      <w:r w:rsidR="00DE1E72">
        <w:t>general requirements for informed consent have been met</w:t>
      </w:r>
      <w:r w:rsidR="00CE6D73">
        <w:t xml:space="preserve"> 45 CFR 46.11</w:t>
      </w:r>
      <w:r w:rsidR="00DE1E72">
        <w:t>6</w:t>
      </w:r>
      <w:r w:rsidR="00CE6D73">
        <w:t>.</w:t>
      </w:r>
    </w:p>
    <w:p w14:paraId="6D4C7211" w14:textId="77777777" w:rsidR="00994C30" w:rsidRDefault="00994C30" w:rsidP="00994C30">
      <w:pPr>
        <w:spacing w:after="0"/>
      </w:pPr>
    </w:p>
    <w:p w14:paraId="456EA2A4" w14:textId="04D09FA2" w:rsidR="00AA656E" w:rsidRPr="00994C30" w:rsidRDefault="00DE1E72" w:rsidP="004E6063">
      <w:r>
        <w:t>All research must meet informed consent requirements or waiver of informed consent requirements</w:t>
      </w:r>
      <w:r w:rsidR="00994C30" w:rsidRPr="00994C30">
        <w:t>:</w:t>
      </w:r>
    </w:p>
    <w:tbl>
      <w:tblPr>
        <w:tblStyle w:val="TableGrid"/>
        <w:tblW w:w="0" w:type="auto"/>
        <w:tblLook w:val="04A0" w:firstRow="1" w:lastRow="0" w:firstColumn="1" w:lastColumn="0" w:noHBand="0" w:noVBand="1"/>
      </w:tblPr>
      <w:tblGrid>
        <w:gridCol w:w="8838"/>
        <w:gridCol w:w="542"/>
        <w:gridCol w:w="540"/>
        <w:gridCol w:w="602"/>
      </w:tblGrid>
      <w:tr w:rsidR="00B31574" w:rsidRPr="00AB727D" w14:paraId="32555D2D" w14:textId="77777777" w:rsidTr="007C41D2">
        <w:tc>
          <w:tcPr>
            <w:tcW w:w="8838" w:type="dxa"/>
            <w:shd w:val="clear" w:color="auto" w:fill="000000" w:themeFill="text1"/>
          </w:tcPr>
          <w:p w14:paraId="50161C02" w14:textId="7A931F89" w:rsidR="00B31574" w:rsidRPr="00AB727D" w:rsidRDefault="00B31574" w:rsidP="007C41D2">
            <w:pPr>
              <w:rPr>
                <w:b/>
                <w:color w:val="FFFFFF" w:themeColor="background1"/>
              </w:rPr>
            </w:pPr>
            <w:r>
              <w:rPr>
                <w:b/>
                <w:color w:val="FFFFFF" w:themeColor="background1"/>
              </w:rPr>
              <w:t xml:space="preserve">(e) </w:t>
            </w:r>
            <w:r w:rsidRPr="00B31574">
              <w:rPr>
                <w:b/>
                <w:color w:val="FFFFFF" w:themeColor="background1"/>
              </w:rPr>
              <w:t>WAIVER OR ALTERATION OF CONSENT IN RESEARCH INVOLVING PUBLIC BENEFIT AND SERVICE PROGRAMS CONDUCTED BY OR SUBJECT TO THE APPROVAL OF STATE OR LOCAL OFFICIALS</w:t>
            </w:r>
            <w:r>
              <w:rPr>
                <w:b/>
                <w:color w:val="FFFFFF" w:themeColor="background1"/>
              </w:rPr>
              <w:t xml:space="preserve">– </w:t>
            </w:r>
          </w:p>
        </w:tc>
        <w:tc>
          <w:tcPr>
            <w:tcW w:w="542" w:type="dxa"/>
            <w:shd w:val="clear" w:color="auto" w:fill="000000" w:themeFill="text1"/>
          </w:tcPr>
          <w:p w14:paraId="7B3D6209" w14:textId="77777777" w:rsidR="00B31574" w:rsidRPr="00AB727D" w:rsidRDefault="00B31574" w:rsidP="007C41D2">
            <w:pPr>
              <w:rPr>
                <w:b/>
                <w:color w:val="FFFFFF" w:themeColor="background1"/>
              </w:rPr>
            </w:pPr>
            <w:r w:rsidRPr="00AB727D">
              <w:rPr>
                <w:b/>
                <w:color w:val="FFFFFF" w:themeColor="background1"/>
              </w:rPr>
              <w:t>YES</w:t>
            </w:r>
          </w:p>
        </w:tc>
        <w:tc>
          <w:tcPr>
            <w:tcW w:w="540" w:type="dxa"/>
            <w:shd w:val="clear" w:color="auto" w:fill="000000" w:themeFill="text1"/>
          </w:tcPr>
          <w:p w14:paraId="7CE6EB9A" w14:textId="77777777" w:rsidR="00B31574" w:rsidRPr="00AB727D" w:rsidRDefault="00B31574" w:rsidP="007C41D2">
            <w:pPr>
              <w:rPr>
                <w:b/>
                <w:color w:val="FFFFFF" w:themeColor="background1"/>
              </w:rPr>
            </w:pPr>
            <w:r w:rsidRPr="00AB727D">
              <w:rPr>
                <w:b/>
                <w:color w:val="FFFFFF" w:themeColor="background1"/>
              </w:rPr>
              <w:t>NO</w:t>
            </w:r>
          </w:p>
        </w:tc>
        <w:tc>
          <w:tcPr>
            <w:tcW w:w="602" w:type="dxa"/>
            <w:shd w:val="clear" w:color="auto" w:fill="000000" w:themeFill="text1"/>
          </w:tcPr>
          <w:p w14:paraId="41E9685C" w14:textId="77777777" w:rsidR="00B31574" w:rsidRPr="00AB727D" w:rsidRDefault="00B31574" w:rsidP="007C41D2">
            <w:pPr>
              <w:rPr>
                <w:b/>
                <w:color w:val="FFFFFF" w:themeColor="background1"/>
              </w:rPr>
            </w:pPr>
            <w:r w:rsidRPr="00AB727D">
              <w:rPr>
                <w:b/>
                <w:color w:val="FFFFFF" w:themeColor="background1"/>
              </w:rPr>
              <w:t>N/A</w:t>
            </w:r>
          </w:p>
        </w:tc>
      </w:tr>
      <w:tr w:rsidR="00B31574" w:rsidRPr="00AB727D" w14:paraId="70A6539E" w14:textId="77777777" w:rsidTr="007C41D2">
        <w:tc>
          <w:tcPr>
            <w:tcW w:w="8838" w:type="dxa"/>
          </w:tcPr>
          <w:p w14:paraId="0FE45354" w14:textId="49BC01B7" w:rsidR="00B31574" w:rsidRPr="00B31574" w:rsidRDefault="00B31574" w:rsidP="007C41D2">
            <w:pPr>
              <w:rPr>
                <w:rFonts w:cstheme="minorHAnsi"/>
              </w:rPr>
            </w:pPr>
            <w:r w:rsidRPr="00B31574">
              <w:rPr>
                <w:rFonts w:cstheme="minorHAnsi"/>
              </w:rPr>
              <w:t>(1) Waiver. An IRB may waive the requirement to obtain informed consent for research under paragraphs (a) through (c) of this section, provided the IRB satisfies the requirements of paragraph (e)(3) of this section.</w:t>
            </w:r>
          </w:p>
        </w:tc>
        <w:tc>
          <w:tcPr>
            <w:tcW w:w="542" w:type="dxa"/>
          </w:tcPr>
          <w:p w14:paraId="455D7809" w14:textId="77777777" w:rsidR="00B31574" w:rsidRPr="00AB727D" w:rsidRDefault="00B31574" w:rsidP="007C41D2"/>
        </w:tc>
        <w:tc>
          <w:tcPr>
            <w:tcW w:w="540" w:type="dxa"/>
          </w:tcPr>
          <w:p w14:paraId="2DD2C5CA" w14:textId="77777777" w:rsidR="00B31574" w:rsidRPr="00AB727D" w:rsidRDefault="00B31574" w:rsidP="007C41D2"/>
        </w:tc>
        <w:tc>
          <w:tcPr>
            <w:tcW w:w="602" w:type="dxa"/>
          </w:tcPr>
          <w:p w14:paraId="09FAAC08" w14:textId="77777777" w:rsidR="00B31574" w:rsidRPr="00AB727D" w:rsidRDefault="00B31574" w:rsidP="007C41D2"/>
        </w:tc>
      </w:tr>
      <w:tr w:rsidR="00B31574" w:rsidRPr="00AB727D" w14:paraId="64DBD55D" w14:textId="77777777" w:rsidTr="007C41D2">
        <w:tc>
          <w:tcPr>
            <w:tcW w:w="8838" w:type="dxa"/>
          </w:tcPr>
          <w:p w14:paraId="37E2D4C0" w14:textId="0D544159" w:rsidR="00B31574" w:rsidRPr="00B31574" w:rsidRDefault="00B31574" w:rsidP="007C41D2">
            <w:pPr>
              <w:rPr>
                <w:rFonts w:cstheme="minorHAnsi"/>
              </w:rPr>
            </w:pPr>
            <w:r w:rsidRPr="00B31574">
              <w:rPr>
                <w:rFonts w:cstheme="minorHAnsi"/>
              </w:rPr>
              <w:t>If an individual was asked to provide broad consent for the storage, maintenance, and secondary research use of identifiable private information or identifiable biospecimens in accordance with the requirements at paragraph (d) of this section, and refused to consent, an IRB cannot waive consent for the storage, maintenance, or secondary research use of the identifiable private information or identifiable biospecimens.</w:t>
            </w:r>
          </w:p>
        </w:tc>
        <w:tc>
          <w:tcPr>
            <w:tcW w:w="542" w:type="dxa"/>
          </w:tcPr>
          <w:p w14:paraId="1408A970" w14:textId="77777777" w:rsidR="00B31574" w:rsidRPr="00AB727D" w:rsidRDefault="00B31574" w:rsidP="007C41D2"/>
        </w:tc>
        <w:tc>
          <w:tcPr>
            <w:tcW w:w="540" w:type="dxa"/>
          </w:tcPr>
          <w:p w14:paraId="2B58DF71" w14:textId="77777777" w:rsidR="00B31574" w:rsidRPr="00AB727D" w:rsidRDefault="00B31574" w:rsidP="007C41D2"/>
        </w:tc>
        <w:tc>
          <w:tcPr>
            <w:tcW w:w="602" w:type="dxa"/>
          </w:tcPr>
          <w:p w14:paraId="0B80BCE8" w14:textId="77777777" w:rsidR="00B31574" w:rsidRPr="00AB727D" w:rsidRDefault="00B31574" w:rsidP="007C41D2"/>
        </w:tc>
      </w:tr>
      <w:tr w:rsidR="00B31574" w:rsidRPr="00AB727D" w14:paraId="664E12C5" w14:textId="77777777" w:rsidTr="007C41D2">
        <w:tc>
          <w:tcPr>
            <w:tcW w:w="8838" w:type="dxa"/>
          </w:tcPr>
          <w:p w14:paraId="60953CC1" w14:textId="475F48B9" w:rsidR="00B31574" w:rsidRPr="00B31574" w:rsidRDefault="00B31574" w:rsidP="007C41D2">
            <w:pPr>
              <w:rPr>
                <w:rFonts w:cstheme="minorHAnsi"/>
              </w:rPr>
            </w:pPr>
            <w:r w:rsidRPr="00B31574">
              <w:rPr>
                <w:rFonts w:cstheme="minorHAnsi"/>
              </w:rPr>
              <w:t>(2) Alteration. An IRB may approve a consent procedure that omits some, or alters some or all, of the elements of informed consent set forth in paragraphs (b) and (c) of this section provided the IRB satisfies the requirements of paragraph (e)(3) of this section. An IRB may not omit or alter any of the requirements described in paragraph (a) of this section. If a broad consent procedure is used, an IRB may not omit or alter any of the elements required under paragraph (d) of this section.</w:t>
            </w:r>
          </w:p>
        </w:tc>
        <w:tc>
          <w:tcPr>
            <w:tcW w:w="542" w:type="dxa"/>
          </w:tcPr>
          <w:p w14:paraId="5848AE80" w14:textId="77777777" w:rsidR="00B31574" w:rsidRPr="00AB727D" w:rsidRDefault="00B31574" w:rsidP="007C41D2"/>
        </w:tc>
        <w:tc>
          <w:tcPr>
            <w:tcW w:w="540" w:type="dxa"/>
          </w:tcPr>
          <w:p w14:paraId="775B3E09" w14:textId="77777777" w:rsidR="00B31574" w:rsidRPr="00AB727D" w:rsidRDefault="00B31574" w:rsidP="007C41D2"/>
        </w:tc>
        <w:tc>
          <w:tcPr>
            <w:tcW w:w="602" w:type="dxa"/>
          </w:tcPr>
          <w:p w14:paraId="0267E1CC" w14:textId="77777777" w:rsidR="00B31574" w:rsidRPr="00AB727D" w:rsidRDefault="00B31574" w:rsidP="007C41D2"/>
        </w:tc>
      </w:tr>
      <w:tr w:rsidR="00B31574" w:rsidRPr="00AB727D" w14:paraId="403B23EA" w14:textId="77777777" w:rsidTr="00B31574">
        <w:tc>
          <w:tcPr>
            <w:tcW w:w="8838" w:type="dxa"/>
          </w:tcPr>
          <w:p w14:paraId="5C32EA3B" w14:textId="0039CF39" w:rsidR="00B31574" w:rsidRPr="00B31574" w:rsidRDefault="00B31574" w:rsidP="007C41D2">
            <w:pPr>
              <w:rPr>
                <w:rFonts w:cstheme="minorHAnsi"/>
              </w:rPr>
            </w:pPr>
            <w:r w:rsidRPr="00B31574">
              <w:rPr>
                <w:rFonts w:cstheme="minorHAnsi"/>
              </w:rPr>
              <w:t xml:space="preserve">(3) Requirements for waiver and alteration. </w:t>
            </w:r>
            <w:proofErr w:type="gramStart"/>
            <w:r w:rsidRPr="00B31574">
              <w:rPr>
                <w:rFonts w:cstheme="minorHAnsi"/>
              </w:rPr>
              <w:t>In order for</w:t>
            </w:r>
            <w:proofErr w:type="gramEnd"/>
            <w:r w:rsidRPr="00B31574">
              <w:rPr>
                <w:rFonts w:cstheme="minorHAnsi"/>
              </w:rPr>
              <w:t xml:space="preserve"> an IRB to waive or alter consent as described in this subsection, the IRB must find and document that:</w:t>
            </w:r>
          </w:p>
        </w:tc>
        <w:tc>
          <w:tcPr>
            <w:tcW w:w="542" w:type="dxa"/>
            <w:shd w:val="clear" w:color="auto" w:fill="000000" w:themeFill="text1"/>
          </w:tcPr>
          <w:p w14:paraId="2850C209" w14:textId="77777777" w:rsidR="00B31574" w:rsidRPr="00AB727D" w:rsidRDefault="00B31574" w:rsidP="007C41D2"/>
        </w:tc>
        <w:tc>
          <w:tcPr>
            <w:tcW w:w="540" w:type="dxa"/>
            <w:shd w:val="clear" w:color="auto" w:fill="000000" w:themeFill="text1"/>
          </w:tcPr>
          <w:p w14:paraId="3D309CA0" w14:textId="77777777" w:rsidR="00B31574" w:rsidRPr="00AB727D" w:rsidRDefault="00B31574" w:rsidP="007C41D2"/>
        </w:tc>
        <w:tc>
          <w:tcPr>
            <w:tcW w:w="602" w:type="dxa"/>
            <w:shd w:val="clear" w:color="auto" w:fill="000000" w:themeFill="text1"/>
          </w:tcPr>
          <w:p w14:paraId="0CF5794D" w14:textId="77777777" w:rsidR="00B31574" w:rsidRPr="00AB727D" w:rsidRDefault="00B31574" w:rsidP="007C41D2"/>
        </w:tc>
      </w:tr>
      <w:tr w:rsidR="00B31574" w:rsidRPr="00AB727D" w14:paraId="6CE1699E" w14:textId="77777777" w:rsidTr="007C41D2">
        <w:tc>
          <w:tcPr>
            <w:tcW w:w="8838" w:type="dxa"/>
          </w:tcPr>
          <w:p w14:paraId="08879AAB" w14:textId="77777777" w:rsidR="00B31574" w:rsidRPr="00B31574" w:rsidRDefault="00B31574" w:rsidP="00B31574">
            <w:pPr>
              <w:rPr>
                <w:rFonts w:cstheme="minorHAnsi"/>
              </w:rPr>
            </w:pPr>
            <w:r w:rsidRPr="00B31574">
              <w:rPr>
                <w:rFonts w:cstheme="minorHAnsi"/>
              </w:rPr>
              <w:t>(</w:t>
            </w:r>
            <w:proofErr w:type="spellStart"/>
            <w:r w:rsidRPr="00B31574">
              <w:rPr>
                <w:rFonts w:cstheme="minorHAnsi"/>
              </w:rPr>
              <w:t>i</w:t>
            </w:r>
            <w:proofErr w:type="spellEnd"/>
            <w:r w:rsidRPr="00B31574">
              <w:rPr>
                <w:rFonts w:cstheme="minorHAnsi"/>
              </w:rPr>
              <w:t>) The research or demonstration project is to be conducted by or subject to the approval of state or local government officials and is designed to study, evaluate, or otherwise examine:</w:t>
            </w:r>
          </w:p>
          <w:p w14:paraId="5545399B" w14:textId="77777777" w:rsidR="00B31574" w:rsidRPr="00B31574" w:rsidRDefault="00B31574" w:rsidP="00B31574">
            <w:pPr>
              <w:rPr>
                <w:rFonts w:cstheme="minorHAnsi"/>
              </w:rPr>
            </w:pPr>
          </w:p>
          <w:p w14:paraId="5BBFE4F2" w14:textId="77777777" w:rsidR="00B31574" w:rsidRPr="00B31574" w:rsidRDefault="00B31574" w:rsidP="00B31574">
            <w:pPr>
              <w:rPr>
                <w:rFonts w:cstheme="minorHAnsi"/>
              </w:rPr>
            </w:pPr>
            <w:r w:rsidRPr="00B31574">
              <w:rPr>
                <w:rFonts w:cstheme="minorHAnsi"/>
              </w:rPr>
              <w:t>(A) Public benefit or service programs;</w:t>
            </w:r>
          </w:p>
          <w:p w14:paraId="6BBEF87F" w14:textId="77777777" w:rsidR="00B31574" w:rsidRPr="00B31574" w:rsidRDefault="00B31574" w:rsidP="00B31574">
            <w:pPr>
              <w:rPr>
                <w:rFonts w:cstheme="minorHAnsi"/>
              </w:rPr>
            </w:pPr>
          </w:p>
          <w:p w14:paraId="184FFF26" w14:textId="77777777" w:rsidR="00B31574" w:rsidRPr="00B31574" w:rsidRDefault="00B31574" w:rsidP="00B31574">
            <w:pPr>
              <w:rPr>
                <w:rFonts w:cstheme="minorHAnsi"/>
              </w:rPr>
            </w:pPr>
            <w:r w:rsidRPr="00B31574">
              <w:rPr>
                <w:rFonts w:cstheme="minorHAnsi"/>
              </w:rPr>
              <w:t>(B) Procedures for obtaining benefits or services under those programs;</w:t>
            </w:r>
          </w:p>
          <w:p w14:paraId="4FFC1491" w14:textId="77777777" w:rsidR="00B31574" w:rsidRPr="00B31574" w:rsidRDefault="00B31574" w:rsidP="00B31574">
            <w:pPr>
              <w:rPr>
                <w:rFonts w:cstheme="minorHAnsi"/>
              </w:rPr>
            </w:pPr>
          </w:p>
          <w:p w14:paraId="14ADEE9F" w14:textId="77777777" w:rsidR="00B31574" w:rsidRPr="00B31574" w:rsidRDefault="00B31574" w:rsidP="00B31574">
            <w:pPr>
              <w:rPr>
                <w:rFonts w:cstheme="minorHAnsi"/>
              </w:rPr>
            </w:pPr>
            <w:r w:rsidRPr="00B31574">
              <w:rPr>
                <w:rFonts w:cstheme="minorHAnsi"/>
              </w:rPr>
              <w:t>(C) Possible changes in or alternatives to those programs or procedures; or</w:t>
            </w:r>
          </w:p>
          <w:p w14:paraId="6FA80B79" w14:textId="77777777" w:rsidR="00B31574" w:rsidRPr="00B31574" w:rsidRDefault="00B31574" w:rsidP="00B31574">
            <w:pPr>
              <w:rPr>
                <w:rFonts w:cstheme="minorHAnsi"/>
              </w:rPr>
            </w:pPr>
          </w:p>
          <w:p w14:paraId="37DD908A" w14:textId="1CCD0643" w:rsidR="00B31574" w:rsidRPr="00B31574" w:rsidRDefault="00B31574" w:rsidP="00B31574">
            <w:pPr>
              <w:rPr>
                <w:rFonts w:cstheme="minorHAnsi"/>
              </w:rPr>
            </w:pPr>
            <w:r w:rsidRPr="00B31574">
              <w:rPr>
                <w:rFonts w:cstheme="minorHAnsi"/>
              </w:rPr>
              <w:t>(D) Possible changes in methods or levels of payment for benefits or services under those programs; and</w:t>
            </w:r>
          </w:p>
        </w:tc>
        <w:tc>
          <w:tcPr>
            <w:tcW w:w="542" w:type="dxa"/>
          </w:tcPr>
          <w:p w14:paraId="49FED161" w14:textId="77777777" w:rsidR="00B31574" w:rsidRPr="00AB727D" w:rsidRDefault="00B31574" w:rsidP="007C41D2"/>
        </w:tc>
        <w:tc>
          <w:tcPr>
            <w:tcW w:w="540" w:type="dxa"/>
          </w:tcPr>
          <w:p w14:paraId="4FB34882" w14:textId="77777777" w:rsidR="00B31574" w:rsidRPr="00AB727D" w:rsidRDefault="00B31574" w:rsidP="007C41D2"/>
        </w:tc>
        <w:tc>
          <w:tcPr>
            <w:tcW w:w="602" w:type="dxa"/>
          </w:tcPr>
          <w:p w14:paraId="2BF18E00" w14:textId="77777777" w:rsidR="00B31574" w:rsidRPr="00AB727D" w:rsidRDefault="00B31574" w:rsidP="007C41D2"/>
        </w:tc>
      </w:tr>
      <w:tr w:rsidR="00B31574" w:rsidRPr="00AB727D" w14:paraId="5D790204" w14:textId="77777777" w:rsidTr="007C41D2">
        <w:tc>
          <w:tcPr>
            <w:tcW w:w="8838" w:type="dxa"/>
          </w:tcPr>
          <w:p w14:paraId="1E9DC784" w14:textId="6922AD3E" w:rsidR="00B31574" w:rsidRPr="00AB727D" w:rsidRDefault="00B31574" w:rsidP="007C41D2">
            <w:r w:rsidRPr="00B31574">
              <w:t>(ii) The research could not practicably be carried out without the waiver or alteration.</w:t>
            </w:r>
          </w:p>
        </w:tc>
        <w:tc>
          <w:tcPr>
            <w:tcW w:w="542" w:type="dxa"/>
          </w:tcPr>
          <w:p w14:paraId="25FBC2D6" w14:textId="77777777" w:rsidR="00B31574" w:rsidRPr="00AB727D" w:rsidRDefault="00B31574" w:rsidP="007C41D2"/>
        </w:tc>
        <w:tc>
          <w:tcPr>
            <w:tcW w:w="540" w:type="dxa"/>
          </w:tcPr>
          <w:p w14:paraId="466E41D7" w14:textId="77777777" w:rsidR="00B31574" w:rsidRPr="00AB727D" w:rsidRDefault="00B31574" w:rsidP="007C41D2"/>
        </w:tc>
        <w:tc>
          <w:tcPr>
            <w:tcW w:w="602" w:type="dxa"/>
          </w:tcPr>
          <w:p w14:paraId="0EE0B47E" w14:textId="77777777" w:rsidR="00B31574" w:rsidRPr="00AB727D" w:rsidRDefault="00B31574" w:rsidP="007C41D2"/>
        </w:tc>
      </w:tr>
    </w:tbl>
    <w:p w14:paraId="1950E962" w14:textId="55E331A4" w:rsidR="00B31574" w:rsidRDefault="00B31574" w:rsidP="00994C30">
      <w:pPr>
        <w:tabs>
          <w:tab w:val="left" w:pos="825"/>
        </w:tabs>
      </w:pPr>
    </w:p>
    <w:tbl>
      <w:tblPr>
        <w:tblStyle w:val="TableGrid"/>
        <w:tblW w:w="0" w:type="auto"/>
        <w:tblLook w:val="04A0" w:firstRow="1" w:lastRow="0" w:firstColumn="1" w:lastColumn="0" w:noHBand="0" w:noVBand="1"/>
      </w:tblPr>
      <w:tblGrid>
        <w:gridCol w:w="8838"/>
        <w:gridCol w:w="542"/>
        <w:gridCol w:w="540"/>
        <w:gridCol w:w="602"/>
      </w:tblGrid>
      <w:tr w:rsidR="00B31574" w:rsidRPr="00AB727D" w14:paraId="3B649D99" w14:textId="77777777" w:rsidTr="007C41D2">
        <w:tc>
          <w:tcPr>
            <w:tcW w:w="8838" w:type="dxa"/>
            <w:shd w:val="clear" w:color="auto" w:fill="000000" w:themeFill="text1"/>
          </w:tcPr>
          <w:p w14:paraId="416BD5C8" w14:textId="4ACE6B63" w:rsidR="00B31574" w:rsidRPr="00AB727D" w:rsidRDefault="00B31574" w:rsidP="007C41D2">
            <w:pPr>
              <w:rPr>
                <w:b/>
                <w:color w:val="FFFFFF" w:themeColor="background1"/>
              </w:rPr>
            </w:pPr>
            <w:r>
              <w:rPr>
                <w:b/>
                <w:color w:val="FFFFFF" w:themeColor="background1"/>
              </w:rPr>
              <w:lastRenderedPageBreak/>
              <w:t xml:space="preserve">(f) </w:t>
            </w:r>
            <w:r w:rsidRPr="00B31574">
              <w:rPr>
                <w:b/>
                <w:color w:val="FFFFFF" w:themeColor="background1"/>
              </w:rPr>
              <w:t>GENERAL WAIVER OR ALTERATION OF CONSENT</w:t>
            </w:r>
            <w:r>
              <w:rPr>
                <w:b/>
                <w:color w:val="FFFFFF" w:themeColor="background1"/>
              </w:rPr>
              <w:t xml:space="preserve">– </w:t>
            </w:r>
          </w:p>
        </w:tc>
        <w:tc>
          <w:tcPr>
            <w:tcW w:w="542" w:type="dxa"/>
            <w:shd w:val="clear" w:color="auto" w:fill="000000" w:themeFill="text1"/>
          </w:tcPr>
          <w:p w14:paraId="60F536A4" w14:textId="77777777" w:rsidR="00B31574" w:rsidRPr="00AB727D" w:rsidRDefault="00B31574" w:rsidP="007C41D2">
            <w:pPr>
              <w:rPr>
                <w:b/>
                <w:color w:val="FFFFFF" w:themeColor="background1"/>
              </w:rPr>
            </w:pPr>
            <w:r w:rsidRPr="00AB727D">
              <w:rPr>
                <w:b/>
                <w:color w:val="FFFFFF" w:themeColor="background1"/>
              </w:rPr>
              <w:t>YES</w:t>
            </w:r>
          </w:p>
        </w:tc>
        <w:tc>
          <w:tcPr>
            <w:tcW w:w="540" w:type="dxa"/>
            <w:shd w:val="clear" w:color="auto" w:fill="000000" w:themeFill="text1"/>
          </w:tcPr>
          <w:p w14:paraId="3A3E1B61" w14:textId="77777777" w:rsidR="00B31574" w:rsidRPr="00AB727D" w:rsidRDefault="00B31574" w:rsidP="007C41D2">
            <w:pPr>
              <w:rPr>
                <w:b/>
                <w:color w:val="FFFFFF" w:themeColor="background1"/>
              </w:rPr>
            </w:pPr>
            <w:r w:rsidRPr="00AB727D">
              <w:rPr>
                <w:b/>
                <w:color w:val="FFFFFF" w:themeColor="background1"/>
              </w:rPr>
              <w:t>NO</w:t>
            </w:r>
          </w:p>
        </w:tc>
        <w:tc>
          <w:tcPr>
            <w:tcW w:w="602" w:type="dxa"/>
            <w:shd w:val="clear" w:color="auto" w:fill="000000" w:themeFill="text1"/>
          </w:tcPr>
          <w:p w14:paraId="7BAD1DFE" w14:textId="77777777" w:rsidR="00B31574" w:rsidRPr="00AB727D" w:rsidRDefault="00B31574" w:rsidP="007C41D2">
            <w:pPr>
              <w:rPr>
                <w:b/>
                <w:color w:val="FFFFFF" w:themeColor="background1"/>
              </w:rPr>
            </w:pPr>
            <w:r w:rsidRPr="00AB727D">
              <w:rPr>
                <w:b/>
                <w:color w:val="FFFFFF" w:themeColor="background1"/>
              </w:rPr>
              <w:t>N/A</w:t>
            </w:r>
          </w:p>
        </w:tc>
      </w:tr>
      <w:tr w:rsidR="00B31574" w:rsidRPr="00AB727D" w14:paraId="2059B18B" w14:textId="77777777" w:rsidTr="007C41D2">
        <w:tc>
          <w:tcPr>
            <w:tcW w:w="8838" w:type="dxa"/>
          </w:tcPr>
          <w:p w14:paraId="1DFEC808" w14:textId="6DB702E0" w:rsidR="00B31574" w:rsidRPr="00B31574" w:rsidRDefault="00B31574" w:rsidP="007C41D2">
            <w:pPr>
              <w:rPr>
                <w:rFonts w:cstheme="minorHAnsi"/>
              </w:rPr>
            </w:pPr>
            <w:bookmarkStart w:id="0" w:name="_GoBack"/>
            <w:r w:rsidRPr="00B31574">
              <w:rPr>
                <w:rFonts w:cstheme="minorHAnsi"/>
              </w:rPr>
              <w:t>(1) Waiver. An IRB may waive the requirement to obtain informed consent for research under paragraphs (a) through (c) of this section, provided the IRB satisfies the requirements of paragraph (f)(3) of this section.</w:t>
            </w:r>
          </w:p>
        </w:tc>
        <w:tc>
          <w:tcPr>
            <w:tcW w:w="542" w:type="dxa"/>
          </w:tcPr>
          <w:p w14:paraId="524C9F64" w14:textId="77777777" w:rsidR="00B31574" w:rsidRPr="00AB727D" w:rsidRDefault="00B31574" w:rsidP="007C41D2"/>
        </w:tc>
        <w:tc>
          <w:tcPr>
            <w:tcW w:w="540" w:type="dxa"/>
          </w:tcPr>
          <w:p w14:paraId="608B99EA" w14:textId="77777777" w:rsidR="00B31574" w:rsidRPr="00AB727D" w:rsidRDefault="00B31574" w:rsidP="007C41D2"/>
        </w:tc>
        <w:tc>
          <w:tcPr>
            <w:tcW w:w="602" w:type="dxa"/>
          </w:tcPr>
          <w:p w14:paraId="669C96FF" w14:textId="77777777" w:rsidR="00B31574" w:rsidRPr="00AB727D" w:rsidRDefault="00B31574" w:rsidP="007C41D2"/>
        </w:tc>
      </w:tr>
      <w:bookmarkEnd w:id="0"/>
      <w:tr w:rsidR="00B31574" w:rsidRPr="00AB727D" w14:paraId="40C4C42A" w14:textId="77777777" w:rsidTr="007C41D2">
        <w:tc>
          <w:tcPr>
            <w:tcW w:w="8838" w:type="dxa"/>
          </w:tcPr>
          <w:p w14:paraId="2BFCF378" w14:textId="15FBF147" w:rsidR="00B31574" w:rsidRPr="00B31574" w:rsidRDefault="00B31574" w:rsidP="007C41D2">
            <w:pPr>
              <w:rPr>
                <w:rFonts w:cstheme="minorHAnsi"/>
              </w:rPr>
            </w:pPr>
            <w:r w:rsidRPr="00B31574">
              <w:rPr>
                <w:rFonts w:cstheme="minorHAnsi"/>
              </w:rPr>
              <w:t>If an individual was asked to provide broad consent for the storage, maintenance, and secondary research use of identifiable private information or identifiable biospecimens in accordance with the requirements at paragraph (d) of this section, and refused to consent, an IRB cannot waive consent for the storage, maintenance, or secondary research use of the identifiable private information or identifiable biospecimens.</w:t>
            </w:r>
          </w:p>
        </w:tc>
        <w:tc>
          <w:tcPr>
            <w:tcW w:w="542" w:type="dxa"/>
          </w:tcPr>
          <w:p w14:paraId="2215117F" w14:textId="77777777" w:rsidR="00B31574" w:rsidRPr="00AB727D" w:rsidRDefault="00B31574" w:rsidP="007C41D2"/>
        </w:tc>
        <w:tc>
          <w:tcPr>
            <w:tcW w:w="540" w:type="dxa"/>
          </w:tcPr>
          <w:p w14:paraId="1D4CF2E1" w14:textId="77777777" w:rsidR="00B31574" w:rsidRPr="00AB727D" w:rsidRDefault="00B31574" w:rsidP="007C41D2"/>
        </w:tc>
        <w:tc>
          <w:tcPr>
            <w:tcW w:w="602" w:type="dxa"/>
          </w:tcPr>
          <w:p w14:paraId="2C0E6EFE" w14:textId="77777777" w:rsidR="00B31574" w:rsidRPr="00AB727D" w:rsidRDefault="00B31574" w:rsidP="007C41D2"/>
        </w:tc>
      </w:tr>
      <w:tr w:rsidR="00B31574" w:rsidRPr="00AB727D" w14:paraId="1BEB3FC1" w14:textId="77777777" w:rsidTr="007C41D2">
        <w:tc>
          <w:tcPr>
            <w:tcW w:w="8838" w:type="dxa"/>
          </w:tcPr>
          <w:p w14:paraId="57A65A72" w14:textId="40D35CDE" w:rsidR="00B31574" w:rsidRPr="00B31574" w:rsidRDefault="00B31574" w:rsidP="007C41D2">
            <w:pPr>
              <w:rPr>
                <w:rFonts w:cstheme="minorHAnsi"/>
              </w:rPr>
            </w:pPr>
            <w:r w:rsidRPr="00B31574">
              <w:rPr>
                <w:rFonts w:cstheme="minorHAnsi"/>
              </w:rPr>
              <w:t>(2) Alteration. An IRB may approve a consent procedure that omits some, or alters some or all, of the elements of informed consent set forth in paragraphs (b) and (c) of this section provided the IRB satisfies the requirements of paragraph (f)(3) of this section. An IRB may not omit or alter any of the requirements described in paragraph (a) of this section. If a broad consent procedure is used, an IRB may not omit or alter any of the elements required under paragraph (d) of this section.</w:t>
            </w:r>
          </w:p>
        </w:tc>
        <w:tc>
          <w:tcPr>
            <w:tcW w:w="542" w:type="dxa"/>
          </w:tcPr>
          <w:p w14:paraId="23E8A36E" w14:textId="77777777" w:rsidR="00B31574" w:rsidRPr="00AB727D" w:rsidRDefault="00B31574" w:rsidP="007C41D2"/>
        </w:tc>
        <w:tc>
          <w:tcPr>
            <w:tcW w:w="540" w:type="dxa"/>
          </w:tcPr>
          <w:p w14:paraId="2ED26889" w14:textId="77777777" w:rsidR="00B31574" w:rsidRPr="00AB727D" w:rsidRDefault="00B31574" w:rsidP="007C41D2"/>
        </w:tc>
        <w:tc>
          <w:tcPr>
            <w:tcW w:w="602" w:type="dxa"/>
          </w:tcPr>
          <w:p w14:paraId="590124BD" w14:textId="77777777" w:rsidR="00B31574" w:rsidRPr="00AB727D" w:rsidRDefault="00B31574" w:rsidP="007C41D2"/>
        </w:tc>
      </w:tr>
      <w:tr w:rsidR="00B31574" w:rsidRPr="00AB727D" w14:paraId="7C860E70" w14:textId="77777777" w:rsidTr="00B31574">
        <w:tc>
          <w:tcPr>
            <w:tcW w:w="8838" w:type="dxa"/>
          </w:tcPr>
          <w:p w14:paraId="2AF98177" w14:textId="0C0F27BF" w:rsidR="00B31574" w:rsidRPr="00B31574" w:rsidRDefault="00B31574" w:rsidP="007C41D2">
            <w:pPr>
              <w:rPr>
                <w:rFonts w:cstheme="minorHAnsi"/>
              </w:rPr>
            </w:pPr>
            <w:r w:rsidRPr="00B31574">
              <w:rPr>
                <w:rFonts w:cstheme="minorHAnsi"/>
              </w:rPr>
              <w:t xml:space="preserve">(3) Requirements for waiver and alteration. </w:t>
            </w:r>
            <w:proofErr w:type="gramStart"/>
            <w:r w:rsidRPr="00B31574">
              <w:rPr>
                <w:rFonts w:cstheme="minorHAnsi"/>
              </w:rPr>
              <w:t>In order for</w:t>
            </w:r>
            <w:proofErr w:type="gramEnd"/>
            <w:r w:rsidRPr="00B31574">
              <w:rPr>
                <w:rFonts w:cstheme="minorHAnsi"/>
              </w:rPr>
              <w:t xml:space="preserve"> an IRB to waive or alter consent as described in this subsection, the IRB must find and document that:</w:t>
            </w:r>
          </w:p>
        </w:tc>
        <w:tc>
          <w:tcPr>
            <w:tcW w:w="542" w:type="dxa"/>
            <w:shd w:val="clear" w:color="auto" w:fill="000000" w:themeFill="text1"/>
          </w:tcPr>
          <w:p w14:paraId="40E88E78" w14:textId="77777777" w:rsidR="00B31574" w:rsidRPr="00AB727D" w:rsidRDefault="00B31574" w:rsidP="007C41D2"/>
        </w:tc>
        <w:tc>
          <w:tcPr>
            <w:tcW w:w="540" w:type="dxa"/>
            <w:shd w:val="clear" w:color="auto" w:fill="000000" w:themeFill="text1"/>
          </w:tcPr>
          <w:p w14:paraId="34AE5C13" w14:textId="77777777" w:rsidR="00B31574" w:rsidRPr="00AB727D" w:rsidRDefault="00B31574" w:rsidP="007C41D2"/>
        </w:tc>
        <w:tc>
          <w:tcPr>
            <w:tcW w:w="602" w:type="dxa"/>
            <w:shd w:val="clear" w:color="auto" w:fill="000000" w:themeFill="text1"/>
          </w:tcPr>
          <w:p w14:paraId="200F0D83" w14:textId="77777777" w:rsidR="00B31574" w:rsidRPr="00AB727D" w:rsidRDefault="00B31574" w:rsidP="007C41D2"/>
        </w:tc>
      </w:tr>
      <w:tr w:rsidR="00B31574" w:rsidRPr="00AB727D" w14:paraId="65A5158D" w14:textId="77777777" w:rsidTr="007C41D2">
        <w:tc>
          <w:tcPr>
            <w:tcW w:w="8838" w:type="dxa"/>
          </w:tcPr>
          <w:p w14:paraId="3DE4D334" w14:textId="75307F38" w:rsidR="00B31574" w:rsidRPr="00B31574" w:rsidRDefault="004D4B53" w:rsidP="007C41D2">
            <w:pPr>
              <w:rPr>
                <w:rFonts w:cstheme="minorHAnsi"/>
              </w:rPr>
            </w:pPr>
            <w:r w:rsidRPr="004D4B53">
              <w:rPr>
                <w:rFonts w:cstheme="minorHAnsi"/>
              </w:rPr>
              <w:t>(</w:t>
            </w:r>
            <w:proofErr w:type="spellStart"/>
            <w:r w:rsidRPr="004D4B53">
              <w:rPr>
                <w:rFonts w:cstheme="minorHAnsi"/>
              </w:rPr>
              <w:t>i</w:t>
            </w:r>
            <w:proofErr w:type="spellEnd"/>
            <w:r w:rsidRPr="004D4B53">
              <w:rPr>
                <w:rFonts w:cstheme="minorHAnsi"/>
              </w:rPr>
              <w:t>) The research involves no more than minimal risk to the subjects;</w:t>
            </w:r>
          </w:p>
        </w:tc>
        <w:tc>
          <w:tcPr>
            <w:tcW w:w="542" w:type="dxa"/>
          </w:tcPr>
          <w:p w14:paraId="0E8736C1" w14:textId="77777777" w:rsidR="00B31574" w:rsidRPr="00AB727D" w:rsidRDefault="00B31574" w:rsidP="007C41D2"/>
        </w:tc>
        <w:tc>
          <w:tcPr>
            <w:tcW w:w="540" w:type="dxa"/>
          </w:tcPr>
          <w:p w14:paraId="744C3AD0" w14:textId="77777777" w:rsidR="00B31574" w:rsidRPr="00AB727D" w:rsidRDefault="00B31574" w:rsidP="007C41D2"/>
        </w:tc>
        <w:tc>
          <w:tcPr>
            <w:tcW w:w="602" w:type="dxa"/>
          </w:tcPr>
          <w:p w14:paraId="2B794050" w14:textId="77777777" w:rsidR="00B31574" w:rsidRPr="00AB727D" w:rsidRDefault="00B31574" w:rsidP="007C41D2"/>
        </w:tc>
      </w:tr>
      <w:tr w:rsidR="00B31574" w:rsidRPr="00AB727D" w14:paraId="54D5188B" w14:textId="77777777" w:rsidTr="007C41D2">
        <w:tc>
          <w:tcPr>
            <w:tcW w:w="8838" w:type="dxa"/>
          </w:tcPr>
          <w:p w14:paraId="0938AFEC" w14:textId="501F2464" w:rsidR="00B31574" w:rsidRPr="00AB727D" w:rsidRDefault="004D4B53" w:rsidP="007C41D2">
            <w:r w:rsidRPr="004D4B53">
              <w:t>(ii) The research could not practicably be carried out without the requested waiver or alteration;</w:t>
            </w:r>
          </w:p>
        </w:tc>
        <w:tc>
          <w:tcPr>
            <w:tcW w:w="542" w:type="dxa"/>
          </w:tcPr>
          <w:p w14:paraId="5EC1A136" w14:textId="77777777" w:rsidR="00B31574" w:rsidRPr="00AB727D" w:rsidRDefault="00B31574" w:rsidP="007C41D2"/>
        </w:tc>
        <w:tc>
          <w:tcPr>
            <w:tcW w:w="540" w:type="dxa"/>
          </w:tcPr>
          <w:p w14:paraId="45528276" w14:textId="77777777" w:rsidR="00B31574" w:rsidRPr="00AB727D" w:rsidRDefault="00B31574" w:rsidP="007C41D2"/>
        </w:tc>
        <w:tc>
          <w:tcPr>
            <w:tcW w:w="602" w:type="dxa"/>
          </w:tcPr>
          <w:p w14:paraId="0963CDA6" w14:textId="77777777" w:rsidR="00B31574" w:rsidRPr="00AB727D" w:rsidRDefault="00B31574" w:rsidP="007C41D2"/>
        </w:tc>
      </w:tr>
      <w:tr w:rsidR="00B31574" w:rsidRPr="00AB727D" w14:paraId="3AA2B279" w14:textId="77777777" w:rsidTr="007C41D2">
        <w:tc>
          <w:tcPr>
            <w:tcW w:w="8838" w:type="dxa"/>
          </w:tcPr>
          <w:p w14:paraId="0E1B7207" w14:textId="74B0CF42" w:rsidR="00B31574" w:rsidRPr="00AB727D" w:rsidRDefault="004D4B53" w:rsidP="007C41D2">
            <w:r w:rsidRPr="004D4B53">
              <w:t>(iii) If the research involves using identifiable private information or identifiable biospecimens, the research could not practicably be carried out without using such information or biospecimens in an identifiable format;</w:t>
            </w:r>
          </w:p>
        </w:tc>
        <w:tc>
          <w:tcPr>
            <w:tcW w:w="542" w:type="dxa"/>
          </w:tcPr>
          <w:p w14:paraId="4DF22EBD" w14:textId="77777777" w:rsidR="00B31574" w:rsidRPr="00AB727D" w:rsidRDefault="00B31574" w:rsidP="007C41D2"/>
        </w:tc>
        <w:tc>
          <w:tcPr>
            <w:tcW w:w="540" w:type="dxa"/>
          </w:tcPr>
          <w:p w14:paraId="5EF7EB57" w14:textId="77777777" w:rsidR="00B31574" w:rsidRPr="00AB727D" w:rsidRDefault="00B31574" w:rsidP="007C41D2"/>
        </w:tc>
        <w:tc>
          <w:tcPr>
            <w:tcW w:w="602" w:type="dxa"/>
          </w:tcPr>
          <w:p w14:paraId="680C4AE9" w14:textId="77777777" w:rsidR="00B31574" w:rsidRPr="00AB727D" w:rsidRDefault="00B31574" w:rsidP="007C41D2"/>
        </w:tc>
      </w:tr>
      <w:tr w:rsidR="004D4B53" w:rsidRPr="00AB727D" w14:paraId="7CC4486B" w14:textId="77777777" w:rsidTr="007C41D2">
        <w:tc>
          <w:tcPr>
            <w:tcW w:w="8838" w:type="dxa"/>
          </w:tcPr>
          <w:p w14:paraId="69229F45" w14:textId="5026B6C3" w:rsidR="004D4B53" w:rsidRPr="00D713A8" w:rsidRDefault="004D4B53" w:rsidP="007C41D2">
            <w:r w:rsidRPr="00D713A8">
              <w:rPr>
                <w:rFonts w:cs="Arial"/>
                <w:color w:val="000000"/>
                <w:szCs w:val="21"/>
                <w:shd w:val="clear" w:color="auto" w:fill="FFFFFF"/>
              </w:rPr>
              <w:t>(iv) The waiver or alteration will not adversely affect the rights and welfare of the subjects; and</w:t>
            </w:r>
          </w:p>
        </w:tc>
        <w:tc>
          <w:tcPr>
            <w:tcW w:w="542" w:type="dxa"/>
          </w:tcPr>
          <w:p w14:paraId="704514F2" w14:textId="77777777" w:rsidR="004D4B53" w:rsidRPr="00AB727D" w:rsidRDefault="004D4B53" w:rsidP="007C41D2"/>
        </w:tc>
        <w:tc>
          <w:tcPr>
            <w:tcW w:w="540" w:type="dxa"/>
          </w:tcPr>
          <w:p w14:paraId="254183EC" w14:textId="77777777" w:rsidR="004D4B53" w:rsidRPr="00AB727D" w:rsidRDefault="004D4B53" w:rsidP="007C41D2"/>
        </w:tc>
        <w:tc>
          <w:tcPr>
            <w:tcW w:w="602" w:type="dxa"/>
          </w:tcPr>
          <w:p w14:paraId="5D6EBFE3" w14:textId="77777777" w:rsidR="004D4B53" w:rsidRPr="00AB727D" w:rsidRDefault="004D4B53" w:rsidP="007C41D2"/>
        </w:tc>
      </w:tr>
      <w:tr w:rsidR="004D4B53" w:rsidRPr="00AB727D" w14:paraId="67CBB654" w14:textId="77777777" w:rsidTr="007C41D2">
        <w:tc>
          <w:tcPr>
            <w:tcW w:w="8838" w:type="dxa"/>
          </w:tcPr>
          <w:p w14:paraId="1144D689" w14:textId="3A0E9AB7" w:rsidR="004D4B53" w:rsidRPr="004D4B53" w:rsidRDefault="004D4B53" w:rsidP="007C41D2">
            <w:r w:rsidRPr="004D4B53">
              <w:t>(v) Whenever appropriate, the subjects or legally authorized representatives will be provided with additional pertinent information after participation.</w:t>
            </w:r>
          </w:p>
        </w:tc>
        <w:tc>
          <w:tcPr>
            <w:tcW w:w="542" w:type="dxa"/>
          </w:tcPr>
          <w:p w14:paraId="18E6EF0F" w14:textId="77777777" w:rsidR="004D4B53" w:rsidRPr="00AB727D" w:rsidRDefault="004D4B53" w:rsidP="007C41D2"/>
        </w:tc>
        <w:tc>
          <w:tcPr>
            <w:tcW w:w="540" w:type="dxa"/>
          </w:tcPr>
          <w:p w14:paraId="6E6DC925" w14:textId="77777777" w:rsidR="004D4B53" w:rsidRPr="00AB727D" w:rsidRDefault="004D4B53" w:rsidP="007C41D2"/>
        </w:tc>
        <w:tc>
          <w:tcPr>
            <w:tcW w:w="602" w:type="dxa"/>
          </w:tcPr>
          <w:p w14:paraId="04CA8136" w14:textId="77777777" w:rsidR="004D4B53" w:rsidRPr="00AB727D" w:rsidRDefault="004D4B53" w:rsidP="007C41D2"/>
        </w:tc>
      </w:tr>
    </w:tbl>
    <w:p w14:paraId="07F4479C" w14:textId="6A5A4055" w:rsidR="00B31574" w:rsidRDefault="00B31574" w:rsidP="00994C30">
      <w:pPr>
        <w:tabs>
          <w:tab w:val="left" w:pos="825"/>
        </w:tabs>
      </w:pPr>
    </w:p>
    <w:tbl>
      <w:tblPr>
        <w:tblStyle w:val="TableGrid"/>
        <w:tblW w:w="0" w:type="auto"/>
        <w:tblLook w:val="04A0" w:firstRow="1" w:lastRow="0" w:firstColumn="1" w:lastColumn="0" w:noHBand="0" w:noVBand="1"/>
      </w:tblPr>
      <w:tblGrid>
        <w:gridCol w:w="8838"/>
        <w:gridCol w:w="542"/>
        <w:gridCol w:w="540"/>
        <w:gridCol w:w="602"/>
      </w:tblGrid>
      <w:tr w:rsidR="004D4B53" w:rsidRPr="00AB727D" w14:paraId="385FFE5F" w14:textId="77777777" w:rsidTr="007C41D2">
        <w:tc>
          <w:tcPr>
            <w:tcW w:w="8838" w:type="dxa"/>
            <w:shd w:val="clear" w:color="auto" w:fill="000000" w:themeFill="text1"/>
          </w:tcPr>
          <w:p w14:paraId="54B7CC07" w14:textId="6A92F97E" w:rsidR="004D4B53" w:rsidRPr="00AB727D" w:rsidRDefault="004D4B53" w:rsidP="007C41D2">
            <w:pPr>
              <w:rPr>
                <w:b/>
                <w:color w:val="FFFFFF" w:themeColor="background1"/>
              </w:rPr>
            </w:pPr>
            <w:r>
              <w:rPr>
                <w:b/>
                <w:color w:val="FFFFFF" w:themeColor="background1"/>
              </w:rPr>
              <w:t xml:space="preserve">(g) SCREENING, RECRUITING, OR DETERMINING ELIGIBILITY– </w:t>
            </w:r>
            <w:r w:rsidRPr="004D4B53">
              <w:rPr>
                <w:b/>
                <w:color w:val="FFFFFF" w:themeColor="background1"/>
              </w:rPr>
              <w:t>An IRB may approve a research proposal in which an investigator will obtain information or biospecimens for the purpose of screening, recruiting, or determining the eligibility of prospective subjects without the informed consent of the prospective subject or the subject's legally authorized representative, if either of the following conditions are met:</w:t>
            </w:r>
          </w:p>
        </w:tc>
        <w:tc>
          <w:tcPr>
            <w:tcW w:w="542" w:type="dxa"/>
            <w:shd w:val="clear" w:color="auto" w:fill="000000" w:themeFill="text1"/>
          </w:tcPr>
          <w:p w14:paraId="2A1AF918" w14:textId="77777777" w:rsidR="004D4B53" w:rsidRPr="00AB727D" w:rsidRDefault="004D4B53" w:rsidP="007C41D2">
            <w:pPr>
              <w:rPr>
                <w:b/>
                <w:color w:val="FFFFFF" w:themeColor="background1"/>
              </w:rPr>
            </w:pPr>
            <w:r w:rsidRPr="00AB727D">
              <w:rPr>
                <w:b/>
                <w:color w:val="FFFFFF" w:themeColor="background1"/>
              </w:rPr>
              <w:t>YES</w:t>
            </w:r>
          </w:p>
        </w:tc>
        <w:tc>
          <w:tcPr>
            <w:tcW w:w="540" w:type="dxa"/>
            <w:shd w:val="clear" w:color="auto" w:fill="000000" w:themeFill="text1"/>
          </w:tcPr>
          <w:p w14:paraId="67D2CB4F" w14:textId="77777777" w:rsidR="004D4B53" w:rsidRPr="00AB727D" w:rsidRDefault="004D4B53" w:rsidP="007C41D2">
            <w:pPr>
              <w:rPr>
                <w:b/>
                <w:color w:val="FFFFFF" w:themeColor="background1"/>
              </w:rPr>
            </w:pPr>
            <w:r w:rsidRPr="00AB727D">
              <w:rPr>
                <w:b/>
                <w:color w:val="FFFFFF" w:themeColor="background1"/>
              </w:rPr>
              <w:t>NO</w:t>
            </w:r>
          </w:p>
        </w:tc>
        <w:tc>
          <w:tcPr>
            <w:tcW w:w="602" w:type="dxa"/>
            <w:shd w:val="clear" w:color="auto" w:fill="000000" w:themeFill="text1"/>
          </w:tcPr>
          <w:p w14:paraId="1CCE7B61" w14:textId="77777777" w:rsidR="004D4B53" w:rsidRPr="00AB727D" w:rsidRDefault="004D4B53" w:rsidP="007C41D2">
            <w:pPr>
              <w:rPr>
                <w:b/>
                <w:color w:val="FFFFFF" w:themeColor="background1"/>
              </w:rPr>
            </w:pPr>
            <w:r w:rsidRPr="00AB727D">
              <w:rPr>
                <w:b/>
                <w:color w:val="FFFFFF" w:themeColor="background1"/>
              </w:rPr>
              <w:t>N/A</w:t>
            </w:r>
          </w:p>
        </w:tc>
      </w:tr>
      <w:tr w:rsidR="004D4B53" w:rsidRPr="00AB727D" w14:paraId="181CA521" w14:textId="77777777" w:rsidTr="007C41D2">
        <w:tc>
          <w:tcPr>
            <w:tcW w:w="8838" w:type="dxa"/>
          </w:tcPr>
          <w:p w14:paraId="55AE5CF3" w14:textId="1BB53404" w:rsidR="004D4B53" w:rsidRPr="00B31574" w:rsidRDefault="004D4B53" w:rsidP="007C41D2">
            <w:pPr>
              <w:rPr>
                <w:rFonts w:cstheme="minorHAnsi"/>
              </w:rPr>
            </w:pPr>
            <w:r w:rsidRPr="004D4B53">
              <w:rPr>
                <w:rFonts w:cstheme="minorHAnsi"/>
              </w:rPr>
              <w:t>(1) The investigator will obtain information through oral or written communication with the prospective subject or legally authorized representative, or</w:t>
            </w:r>
          </w:p>
        </w:tc>
        <w:tc>
          <w:tcPr>
            <w:tcW w:w="542" w:type="dxa"/>
          </w:tcPr>
          <w:p w14:paraId="1D30B956" w14:textId="77777777" w:rsidR="004D4B53" w:rsidRPr="00AB727D" w:rsidRDefault="004D4B53" w:rsidP="007C41D2"/>
        </w:tc>
        <w:tc>
          <w:tcPr>
            <w:tcW w:w="540" w:type="dxa"/>
          </w:tcPr>
          <w:p w14:paraId="7142D0A9" w14:textId="77777777" w:rsidR="004D4B53" w:rsidRPr="00AB727D" w:rsidRDefault="004D4B53" w:rsidP="007C41D2"/>
        </w:tc>
        <w:tc>
          <w:tcPr>
            <w:tcW w:w="602" w:type="dxa"/>
          </w:tcPr>
          <w:p w14:paraId="2B4BDAFB" w14:textId="77777777" w:rsidR="004D4B53" w:rsidRPr="00AB727D" w:rsidRDefault="004D4B53" w:rsidP="007C41D2"/>
        </w:tc>
      </w:tr>
      <w:tr w:rsidR="004D4B53" w:rsidRPr="00AB727D" w14:paraId="6F53406C" w14:textId="77777777" w:rsidTr="007C41D2">
        <w:tc>
          <w:tcPr>
            <w:tcW w:w="8838" w:type="dxa"/>
          </w:tcPr>
          <w:p w14:paraId="1DF7A394" w14:textId="3CCB9D31" w:rsidR="004D4B53" w:rsidRPr="00B31574" w:rsidRDefault="004D4B53" w:rsidP="007C41D2">
            <w:pPr>
              <w:rPr>
                <w:rFonts w:cstheme="minorHAnsi"/>
              </w:rPr>
            </w:pPr>
            <w:r w:rsidRPr="004D4B53">
              <w:rPr>
                <w:rFonts w:cstheme="minorHAnsi"/>
              </w:rPr>
              <w:t>(2) The investigator will obtain identifiable private information or identifiable biospecimens by accessing records or stored identifiable biospecimens.</w:t>
            </w:r>
          </w:p>
        </w:tc>
        <w:tc>
          <w:tcPr>
            <w:tcW w:w="542" w:type="dxa"/>
          </w:tcPr>
          <w:p w14:paraId="404B2E45" w14:textId="77777777" w:rsidR="004D4B53" w:rsidRPr="00AB727D" w:rsidRDefault="004D4B53" w:rsidP="007C41D2"/>
        </w:tc>
        <w:tc>
          <w:tcPr>
            <w:tcW w:w="540" w:type="dxa"/>
          </w:tcPr>
          <w:p w14:paraId="1F3AEE2D" w14:textId="77777777" w:rsidR="004D4B53" w:rsidRPr="00AB727D" w:rsidRDefault="004D4B53" w:rsidP="007C41D2"/>
        </w:tc>
        <w:tc>
          <w:tcPr>
            <w:tcW w:w="602" w:type="dxa"/>
          </w:tcPr>
          <w:p w14:paraId="32CFF769" w14:textId="77777777" w:rsidR="004D4B53" w:rsidRPr="00AB727D" w:rsidRDefault="004D4B53" w:rsidP="007C41D2"/>
        </w:tc>
      </w:tr>
    </w:tbl>
    <w:p w14:paraId="649A3CC1" w14:textId="77777777" w:rsidR="00A66BE1" w:rsidRDefault="00A66BE1" w:rsidP="00994C30">
      <w:pPr>
        <w:tabs>
          <w:tab w:val="left" w:pos="825"/>
        </w:tabs>
      </w:pPr>
    </w:p>
    <w:p w14:paraId="1EA34B0B" w14:textId="5288C92A" w:rsidR="00994C30" w:rsidRDefault="00994C30" w:rsidP="00994C30">
      <w:pPr>
        <w:tabs>
          <w:tab w:val="left" w:pos="825"/>
        </w:tabs>
      </w:pPr>
      <w:r>
        <w:t>Text supporting decision:</w:t>
      </w:r>
    </w:p>
    <w:sdt>
      <w:sdtPr>
        <w:id w:val="-683203123"/>
        <w:placeholder>
          <w:docPart w:val="DefaultPlaceholder_1082065158"/>
        </w:placeholder>
        <w:showingPlcHdr/>
      </w:sdtPr>
      <w:sdtEndPr/>
      <w:sdtContent>
        <w:p w14:paraId="798299F8" w14:textId="77777777" w:rsidR="00994C30" w:rsidRDefault="00994C30" w:rsidP="00994C30">
          <w:pPr>
            <w:tabs>
              <w:tab w:val="left" w:pos="825"/>
            </w:tabs>
          </w:pPr>
          <w:r w:rsidRPr="00AA6403">
            <w:rPr>
              <w:rStyle w:val="PlaceholderText"/>
            </w:rPr>
            <w:t>Click here to enter text.</w:t>
          </w:r>
        </w:p>
      </w:sdtContent>
    </w:sdt>
    <w:p w14:paraId="2259A90B" w14:textId="77777777" w:rsidR="00994C30" w:rsidRDefault="00994C30" w:rsidP="00994C30">
      <w:pPr>
        <w:tabs>
          <w:tab w:val="left" w:pos="825"/>
        </w:tabs>
      </w:pPr>
    </w:p>
    <w:p w14:paraId="64B6DED7" w14:textId="77777777" w:rsidR="00AC5FEF" w:rsidRPr="00994C30" w:rsidRDefault="00AC5FEF" w:rsidP="00994C30">
      <w:pPr>
        <w:tabs>
          <w:tab w:val="left" w:pos="825"/>
        </w:tabs>
      </w:pPr>
    </w:p>
    <w:sectPr w:rsidR="00AC5FEF" w:rsidRPr="00994C30" w:rsidSect="00994C30">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5825B" w14:textId="77777777" w:rsidR="00801DDD" w:rsidRDefault="00801DDD" w:rsidP="000A3B23">
      <w:pPr>
        <w:spacing w:after="0" w:line="240" w:lineRule="auto"/>
      </w:pPr>
      <w:r>
        <w:separator/>
      </w:r>
    </w:p>
  </w:endnote>
  <w:endnote w:type="continuationSeparator" w:id="0">
    <w:p w14:paraId="5829823D" w14:textId="77777777" w:rsidR="00801DDD" w:rsidRDefault="00801DDD" w:rsidP="000A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66445" w14:textId="77777777" w:rsidR="000A3B23" w:rsidRDefault="000A3B23">
    <w:pPr>
      <w:pStyle w:val="Footer"/>
    </w:pPr>
    <w:r>
      <w:t>Version 4/2</w:t>
    </w:r>
    <w:r w:rsidR="005177A1">
      <w:t>9</w:t>
    </w:r>
    <w:r>
      <w:t>/201</w:t>
    </w:r>
    <w:r w:rsidR="005177A1">
      <w:t>9</w:t>
    </w:r>
    <w:r>
      <w:t xml:space="preserve"> </w:t>
    </w:r>
    <w:r>
      <w:tab/>
    </w:r>
    <w:r>
      <w:tab/>
    </w:r>
    <w:r>
      <w:tab/>
    </w:r>
    <w:r>
      <w:fldChar w:fldCharType="begin"/>
    </w:r>
    <w:r>
      <w:instrText xml:space="preserve"> PAGE   \* MERGEFORMAT </w:instrText>
    </w:r>
    <w:r>
      <w:fldChar w:fldCharType="separate"/>
    </w:r>
    <w:r w:rsidR="005C55C3">
      <w:rPr>
        <w:noProof/>
      </w:rPr>
      <w:t>4</w:t>
    </w:r>
    <w:r>
      <w:rPr>
        <w:noProof/>
      </w:rPr>
      <w:fldChar w:fldCharType="end"/>
    </w:r>
  </w:p>
  <w:p w14:paraId="53B18F52" w14:textId="77777777" w:rsidR="000A3B23" w:rsidRDefault="000A3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99858" w14:textId="77777777" w:rsidR="00801DDD" w:rsidRDefault="00801DDD" w:rsidP="000A3B23">
      <w:pPr>
        <w:spacing w:after="0" w:line="240" w:lineRule="auto"/>
      </w:pPr>
      <w:r>
        <w:separator/>
      </w:r>
    </w:p>
  </w:footnote>
  <w:footnote w:type="continuationSeparator" w:id="0">
    <w:p w14:paraId="56DE1BD1" w14:textId="77777777" w:rsidR="00801DDD" w:rsidRDefault="00801DDD" w:rsidP="000A3B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66773"/>
    <w:multiLevelType w:val="hybridMultilevel"/>
    <w:tmpl w:val="AB02EBE0"/>
    <w:lvl w:ilvl="0" w:tplc="02C6E8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32512"/>
    <w:multiLevelType w:val="hybridMultilevel"/>
    <w:tmpl w:val="ED70A0D4"/>
    <w:lvl w:ilvl="0" w:tplc="D3EA71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3AA"/>
    <w:rsid w:val="00063B58"/>
    <w:rsid w:val="00080ED8"/>
    <w:rsid w:val="000A3B23"/>
    <w:rsid w:val="002C1F6B"/>
    <w:rsid w:val="002C2B06"/>
    <w:rsid w:val="00340B26"/>
    <w:rsid w:val="003F05C8"/>
    <w:rsid w:val="004D4B53"/>
    <w:rsid w:val="004E6063"/>
    <w:rsid w:val="004F2C6A"/>
    <w:rsid w:val="0051117F"/>
    <w:rsid w:val="005177A1"/>
    <w:rsid w:val="00592004"/>
    <w:rsid w:val="005C55C3"/>
    <w:rsid w:val="00605665"/>
    <w:rsid w:val="006B2947"/>
    <w:rsid w:val="006E3141"/>
    <w:rsid w:val="00756CCC"/>
    <w:rsid w:val="0078066A"/>
    <w:rsid w:val="007F15F0"/>
    <w:rsid w:val="00801DDD"/>
    <w:rsid w:val="008D7237"/>
    <w:rsid w:val="00955C1A"/>
    <w:rsid w:val="009904A8"/>
    <w:rsid w:val="00994C30"/>
    <w:rsid w:val="009C4C42"/>
    <w:rsid w:val="00A15635"/>
    <w:rsid w:val="00A363AA"/>
    <w:rsid w:val="00A66BE1"/>
    <w:rsid w:val="00AA656E"/>
    <w:rsid w:val="00AB727D"/>
    <w:rsid w:val="00AC5FEF"/>
    <w:rsid w:val="00B31574"/>
    <w:rsid w:val="00B37816"/>
    <w:rsid w:val="00B96637"/>
    <w:rsid w:val="00BC5AFC"/>
    <w:rsid w:val="00C85D9B"/>
    <w:rsid w:val="00CE6D73"/>
    <w:rsid w:val="00D172D3"/>
    <w:rsid w:val="00D713A8"/>
    <w:rsid w:val="00DE1E72"/>
    <w:rsid w:val="00E90980"/>
    <w:rsid w:val="00FE5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1865"/>
  <w15:docId w15:val="{3F6BB947-17BD-41DD-8E87-033B161D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15F0"/>
  </w:style>
  <w:style w:type="paragraph" w:styleId="Heading1">
    <w:name w:val="heading 1"/>
    <w:basedOn w:val="Normal"/>
    <w:next w:val="Normal"/>
    <w:link w:val="Heading1Char"/>
    <w:uiPriority w:val="9"/>
    <w:qFormat/>
    <w:rsid w:val="007F15F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7F15F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7F15F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F15F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F15F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F15F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F15F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F15F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F15F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5F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7F15F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7F15F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F15F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F15F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F15F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F15F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F15F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F15F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F15F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F15F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F15F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F15F0"/>
    <w:rPr>
      <w:rFonts w:asciiTheme="majorHAnsi" w:eastAsiaTheme="majorEastAsia" w:hAnsiTheme="majorHAnsi" w:cstheme="majorBidi"/>
      <w:i/>
      <w:iCs/>
      <w:spacing w:val="13"/>
      <w:sz w:val="24"/>
      <w:szCs w:val="24"/>
    </w:rPr>
  </w:style>
  <w:style w:type="character" w:styleId="Strong">
    <w:name w:val="Strong"/>
    <w:uiPriority w:val="22"/>
    <w:qFormat/>
    <w:rsid w:val="007F15F0"/>
    <w:rPr>
      <w:b/>
      <w:bCs/>
    </w:rPr>
  </w:style>
  <w:style w:type="character" w:styleId="Emphasis">
    <w:name w:val="Emphasis"/>
    <w:uiPriority w:val="20"/>
    <w:qFormat/>
    <w:rsid w:val="007F15F0"/>
    <w:rPr>
      <w:b/>
      <w:bCs/>
      <w:i/>
      <w:iCs/>
      <w:spacing w:val="10"/>
      <w:bdr w:val="none" w:sz="0" w:space="0" w:color="auto"/>
      <w:shd w:val="clear" w:color="auto" w:fill="auto"/>
    </w:rPr>
  </w:style>
  <w:style w:type="paragraph" w:styleId="NoSpacing">
    <w:name w:val="No Spacing"/>
    <w:basedOn w:val="Normal"/>
    <w:uiPriority w:val="1"/>
    <w:qFormat/>
    <w:rsid w:val="007F15F0"/>
    <w:pPr>
      <w:spacing w:after="0" w:line="240" w:lineRule="auto"/>
    </w:pPr>
  </w:style>
  <w:style w:type="paragraph" w:styleId="ListParagraph">
    <w:name w:val="List Paragraph"/>
    <w:basedOn w:val="Normal"/>
    <w:uiPriority w:val="34"/>
    <w:qFormat/>
    <w:rsid w:val="007F15F0"/>
    <w:pPr>
      <w:ind w:left="720"/>
      <w:contextualSpacing/>
    </w:pPr>
  </w:style>
  <w:style w:type="paragraph" w:styleId="Quote">
    <w:name w:val="Quote"/>
    <w:basedOn w:val="Normal"/>
    <w:next w:val="Normal"/>
    <w:link w:val="QuoteChar"/>
    <w:uiPriority w:val="29"/>
    <w:qFormat/>
    <w:rsid w:val="007F15F0"/>
    <w:pPr>
      <w:spacing w:before="200" w:after="0"/>
      <w:ind w:left="360" w:right="360"/>
    </w:pPr>
    <w:rPr>
      <w:i/>
      <w:iCs/>
    </w:rPr>
  </w:style>
  <w:style w:type="character" w:customStyle="1" w:styleId="QuoteChar">
    <w:name w:val="Quote Char"/>
    <w:basedOn w:val="DefaultParagraphFont"/>
    <w:link w:val="Quote"/>
    <w:uiPriority w:val="29"/>
    <w:rsid w:val="007F15F0"/>
    <w:rPr>
      <w:i/>
      <w:iCs/>
    </w:rPr>
  </w:style>
  <w:style w:type="paragraph" w:styleId="IntenseQuote">
    <w:name w:val="Intense Quote"/>
    <w:basedOn w:val="Normal"/>
    <w:next w:val="Normal"/>
    <w:link w:val="IntenseQuoteChar"/>
    <w:uiPriority w:val="30"/>
    <w:qFormat/>
    <w:rsid w:val="007F15F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F15F0"/>
    <w:rPr>
      <w:b/>
      <w:bCs/>
      <w:i/>
      <w:iCs/>
    </w:rPr>
  </w:style>
  <w:style w:type="character" w:styleId="SubtleEmphasis">
    <w:name w:val="Subtle Emphasis"/>
    <w:uiPriority w:val="19"/>
    <w:qFormat/>
    <w:rsid w:val="007F15F0"/>
    <w:rPr>
      <w:i/>
      <w:iCs/>
    </w:rPr>
  </w:style>
  <w:style w:type="character" w:styleId="IntenseEmphasis">
    <w:name w:val="Intense Emphasis"/>
    <w:uiPriority w:val="21"/>
    <w:qFormat/>
    <w:rsid w:val="007F15F0"/>
    <w:rPr>
      <w:b/>
      <w:bCs/>
    </w:rPr>
  </w:style>
  <w:style w:type="character" w:styleId="SubtleReference">
    <w:name w:val="Subtle Reference"/>
    <w:uiPriority w:val="31"/>
    <w:qFormat/>
    <w:rsid w:val="007F15F0"/>
    <w:rPr>
      <w:smallCaps/>
    </w:rPr>
  </w:style>
  <w:style w:type="character" w:styleId="IntenseReference">
    <w:name w:val="Intense Reference"/>
    <w:uiPriority w:val="32"/>
    <w:qFormat/>
    <w:rsid w:val="007F15F0"/>
    <w:rPr>
      <w:smallCaps/>
      <w:spacing w:val="5"/>
      <w:u w:val="single"/>
    </w:rPr>
  </w:style>
  <w:style w:type="character" w:styleId="BookTitle">
    <w:name w:val="Book Title"/>
    <w:uiPriority w:val="33"/>
    <w:qFormat/>
    <w:rsid w:val="007F15F0"/>
    <w:rPr>
      <w:i/>
      <w:iCs/>
      <w:smallCaps/>
      <w:spacing w:val="5"/>
    </w:rPr>
  </w:style>
  <w:style w:type="paragraph" w:styleId="TOCHeading">
    <w:name w:val="TOC Heading"/>
    <w:basedOn w:val="Heading1"/>
    <w:next w:val="Normal"/>
    <w:uiPriority w:val="39"/>
    <w:semiHidden/>
    <w:unhideWhenUsed/>
    <w:qFormat/>
    <w:rsid w:val="007F15F0"/>
    <w:pPr>
      <w:outlineLvl w:val="9"/>
    </w:pPr>
    <w:rPr>
      <w:lang w:bidi="en-US"/>
    </w:rPr>
  </w:style>
  <w:style w:type="paragraph" w:styleId="BalloonText">
    <w:name w:val="Balloon Text"/>
    <w:basedOn w:val="Normal"/>
    <w:link w:val="BalloonTextChar"/>
    <w:uiPriority w:val="99"/>
    <w:semiHidden/>
    <w:unhideWhenUsed/>
    <w:rsid w:val="00994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C30"/>
    <w:rPr>
      <w:rFonts w:ascii="Tahoma" w:hAnsi="Tahoma" w:cs="Tahoma"/>
      <w:sz w:val="16"/>
      <w:szCs w:val="16"/>
    </w:rPr>
  </w:style>
  <w:style w:type="paragraph" w:styleId="NormalWeb">
    <w:name w:val="Normal (Web)"/>
    <w:basedOn w:val="Normal"/>
    <w:uiPriority w:val="99"/>
    <w:semiHidden/>
    <w:unhideWhenUsed/>
    <w:rsid w:val="00994C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994C30"/>
  </w:style>
  <w:style w:type="character" w:styleId="Hyperlink">
    <w:name w:val="Hyperlink"/>
    <w:basedOn w:val="DefaultParagraphFont"/>
    <w:uiPriority w:val="99"/>
    <w:semiHidden/>
    <w:unhideWhenUsed/>
    <w:rsid w:val="00994C30"/>
    <w:rPr>
      <w:color w:val="0000FF"/>
      <w:u w:val="single"/>
    </w:rPr>
  </w:style>
  <w:style w:type="character" w:customStyle="1" w:styleId="grame">
    <w:name w:val="grame"/>
    <w:basedOn w:val="DefaultParagraphFont"/>
    <w:rsid w:val="00994C30"/>
  </w:style>
  <w:style w:type="character" w:styleId="PlaceholderText">
    <w:name w:val="Placeholder Text"/>
    <w:basedOn w:val="DefaultParagraphFont"/>
    <w:uiPriority w:val="99"/>
    <w:semiHidden/>
    <w:rsid w:val="00994C30"/>
    <w:rPr>
      <w:color w:val="808080"/>
    </w:rPr>
  </w:style>
  <w:style w:type="paragraph" w:styleId="Header">
    <w:name w:val="header"/>
    <w:basedOn w:val="Normal"/>
    <w:link w:val="HeaderChar"/>
    <w:uiPriority w:val="99"/>
    <w:unhideWhenUsed/>
    <w:rsid w:val="000A3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B23"/>
  </w:style>
  <w:style w:type="paragraph" w:styleId="Footer">
    <w:name w:val="footer"/>
    <w:basedOn w:val="Normal"/>
    <w:link w:val="FooterChar"/>
    <w:uiPriority w:val="99"/>
    <w:unhideWhenUsed/>
    <w:rsid w:val="000A3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B23"/>
  </w:style>
  <w:style w:type="table" w:styleId="TableGrid">
    <w:name w:val="Table Grid"/>
    <w:basedOn w:val="TableNormal"/>
    <w:uiPriority w:val="59"/>
    <w:rsid w:val="008D7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45278">
      <w:bodyDiv w:val="1"/>
      <w:marLeft w:val="0"/>
      <w:marRight w:val="0"/>
      <w:marTop w:val="0"/>
      <w:marBottom w:val="0"/>
      <w:divBdr>
        <w:top w:val="none" w:sz="0" w:space="0" w:color="auto"/>
        <w:left w:val="none" w:sz="0" w:space="0" w:color="auto"/>
        <w:bottom w:val="none" w:sz="0" w:space="0" w:color="auto"/>
        <w:right w:val="none" w:sz="0" w:space="0" w:color="auto"/>
      </w:divBdr>
    </w:div>
    <w:div w:id="683558395">
      <w:bodyDiv w:val="1"/>
      <w:marLeft w:val="0"/>
      <w:marRight w:val="0"/>
      <w:marTop w:val="0"/>
      <w:marBottom w:val="0"/>
      <w:divBdr>
        <w:top w:val="none" w:sz="0" w:space="0" w:color="auto"/>
        <w:left w:val="none" w:sz="0" w:space="0" w:color="auto"/>
        <w:bottom w:val="none" w:sz="0" w:space="0" w:color="auto"/>
        <w:right w:val="none" w:sz="0" w:space="0" w:color="auto"/>
      </w:divBdr>
    </w:div>
    <w:div w:id="787158784">
      <w:bodyDiv w:val="1"/>
      <w:marLeft w:val="0"/>
      <w:marRight w:val="0"/>
      <w:marTop w:val="0"/>
      <w:marBottom w:val="0"/>
      <w:divBdr>
        <w:top w:val="none" w:sz="0" w:space="0" w:color="auto"/>
        <w:left w:val="none" w:sz="0" w:space="0" w:color="auto"/>
        <w:bottom w:val="none" w:sz="0" w:space="0" w:color="auto"/>
        <w:right w:val="none" w:sz="0" w:space="0" w:color="auto"/>
      </w:divBdr>
    </w:div>
    <w:div w:id="1146356964">
      <w:bodyDiv w:val="1"/>
      <w:marLeft w:val="0"/>
      <w:marRight w:val="0"/>
      <w:marTop w:val="0"/>
      <w:marBottom w:val="0"/>
      <w:divBdr>
        <w:top w:val="none" w:sz="0" w:space="0" w:color="auto"/>
        <w:left w:val="none" w:sz="0" w:space="0" w:color="auto"/>
        <w:bottom w:val="none" w:sz="0" w:space="0" w:color="auto"/>
        <w:right w:val="none" w:sz="0" w:space="0" w:color="auto"/>
      </w:divBdr>
    </w:div>
    <w:div w:id="1322081569">
      <w:bodyDiv w:val="1"/>
      <w:marLeft w:val="0"/>
      <w:marRight w:val="0"/>
      <w:marTop w:val="0"/>
      <w:marBottom w:val="0"/>
      <w:divBdr>
        <w:top w:val="none" w:sz="0" w:space="0" w:color="auto"/>
        <w:left w:val="none" w:sz="0" w:space="0" w:color="auto"/>
        <w:bottom w:val="none" w:sz="0" w:space="0" w:color="auto"/>
        <w:right w:val="none" w:sz="0" w:space="0" w:color="auto"/>
      </w:divBdr>
      <w:divsChild>
        <w:div w:id="150208713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88174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FA3AD5B1-D641-4D20-8CB1-B0F4588C2C6E}"/>
      </w:docPartPr>
      <w:docPartBody>
        <w:p w:rsidR="00F00C1E" w:rsidRDefault="0012353B">
          <w:r w:rsidRPr="00AA6403">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B99859BD-3F0F-4495-B07F-DA0CDC672257}"/>
      </w:docPartPr>
      <w:docPartBody>
        <w:p w:rsidR="00600F1C" w:rsidRDefault="00C44B85">
          <w:r w:rsidRPr="00BD09F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53B"/>
    <w:rsid w:val="0012353B"/>
    <w:rsid w:val="00600F1C"/>
    <w:rsid w:val="007512D5"/>
    <w:rsid w:val="00C44B85"/>
    <w:rsid w:val="00F00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4B85"/>
    <w:rPr>
      <w:color w:val="808080"/>
    </w:rPr>
  </w:style>
  <w:style w:type="paragraph" w:customStyle="1" w:styleId="97474161720242C7A67EB5AA7FAAB9CD">
    <w:name w:val="97474161720242C7A67EB5AA7FAAB9CD"/>
    <w:rsid w:val="00C44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Navina Forsythe</dc:creator>
  <cp:keywords/>
  <dc:description/>
  <cp:lastModifiedBy>Navina Forsythe</cp:lastModifiedBy>
  <cp:revision>11</cp:revision>
  <dcterms:created xsi:type="dcterms:W3CDTF">2019-05-03T12:35:00Z</dcterms:created>
  <dcterms:modified xsi:type="dcterms:W3CDTF">2019-07-22T14:10:00Z</dcterms:modified>
</cp:coreProperties>
</file>