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F1447D" w14:textId="2D7FC95A" w:rsidR="008541D3" w:rsidRDefault="00F343E0" w:rsidP="00F343E0">
      <w:pPr>
        <w:jc w:val="center"/>
        <w:rPr>
          <w:b/>
          <w:bCs/>
          <w:color w:val="005493"/>
          <w:sz w:val="28"/>
          <w:szCs w:val="28"/>
        </w:rPr>
      </w:pPr>
      <w:r>
        <w:rPr>
          <w:b/>
          <w:bCs/>
          <w:color w:val="005493"/>
          <w:sz w:val="28"/>
          <w:szCs w:val="28"/>
        </w:rPr>
        <w:t>BioSense Redesign Case Study</w:t>
      </w:r>
    </w:p>
    <w:p w14:paraId="1A5C5159" w14:textId="53BBA896" w:rsidR="00F343E0" w:rsidRDefault="00F343E0" w:rsidP="00F343E0">
      <w:pPr>
        <w:rPr>
          <w:color w:val="005493"/>
        </w:rPr>
      </w:pPr>
    </w:p>
    <w:p w14:paraId="613F573C" w14:textId="2C650464" w:rsidR="009D5A18" w:rsidRPr="009D5A18" w:rsidRDefault="009D5A18" w:rsidP="00F343E0">
      <w:pPr>
        <w:rPr>
          <w:color w:val="005493"/>
          <w:sz w:val="22"/>
          <w:szCs w:val="22"/>
        </w:rPr>
      </w:pPr>
      <w:r w:rsidRPr="009D5A18">
        <w:rPr>
          <w:color w:val="005493"/>
          <w:sz w:val="22"/>
          <w:szCs w:val="22"/>
        </w:rPr>
        <w:t>By reading this case study and discussing the questions, learners will be able to:</w:t>
      </w:r>
    </w:p>
    <w:p w14:paraId="3A662E4B" w14:textId="7AE9EAD1" w:rsidR="009D5A18" w:rsidRPr="009D5A18" w:rsidRDefault="009D5A18" w:rsidP="009D5A18">
      <w:pPr>
        <w:pStyle w:val="ListParagraph"/>
        <w:numPr>
          <w:ilvl w:val="0"/>
          <w:numId w:val="12"/>
        </w:numPr>
        <w:rPr>
          <w:color w:val="005493"/>
          <w:sz w:val="22"/>
          <w:szCs w:val="22"/>
        </w:rPr>
      </w:pPr>
      <w:r w:rsidRPr="009D5A18">
        <w:rPr>
          <w:color w:val="005493"/>
          <w:sz w:val="22"/>
          <w:szCs w:val="22"/>
        </w:rPr>
        <w:t>Describe how a well-planned stakeholder engagement can influence the outcome of your project.</w:t>
      </w:r>
    </w:p>
    <w:p w14:paraId="74BC67E0" w14:textId="5198A73A" w:rsidR="009D5A18" w:rsidRPr="009D5A18" w:rsidRDefault="009D5A18" w:rsidP="009D5A18">
      <w:pPr>
        <w:pStyle w:val="ListParagraph"/>
        <w:numPr>
          <w:ilvl w:val="0"/>
          <w:numId w:val="12"/>
        </w:numPr>
        <w:rPr>
          <w:color w:val="005493"/>
          <w:sz w:val="22"/>
          <w:szCs w:val="22"/>
        </w:rPr>
      </w:pPr>
      <w:r w:rsidRPr="009D5A18">
        <w:rPr>
          <w:color w:val="005493"/>
          <w:sz w:val="22"/>
          <w:szCs w:val="22"/>
        </w:rPr>
        <w:t>List two approaches for successfully engaging stakeholders to support project and program goals.</w:t>
      </w:r>
    </w:p>
    <w:p w14:paraId="0E6719E3" w14:textId="77777777" w:rsidR="00D34BC6" w:rsidRDefault="00D34BC6" w:rsidP="00F343E0">
      <w:pPr>
        <w:rPr>
          <w:color w:val="005493"/>
        </w:rPr>
      </w:pPr>
    </w:p>
    <w:p w14:paraId="49437DF2" w14:textId="0CA0CDCA" w:rsidR="00901065" w:rsidRDefault="00212A45" w:rsidP="00901065">
      <w:pPr>
        <w:rPr>
          <w:color w:val="005493"/>
        </w:rPr>
      </w:pPr>
      <w:r>
        <w:rPr>
          <w:color w:val="005493"/>
        </w:rPr>
        <w:t xml:space="preserve">Background and </w:t>
      </w:r>
      <w:r w:rsidR="000C265F">
        <w:rPr>
          <w:color w:val="005493"/>
        </w:rPr>
        <w:t>History of BioSense</w:t>
      </w:r>
    </w:p>
    <w:p w14:paraId="7A4F0DDF" w14:textId="6F2D9544" w:rsidR="000C265F" w:rsidRPr="00901065" w:rsidRDefault="00063894" w:rsidP="00901065">
      <w:pPr>
        <w:rPr>
          <w:color w:val="005493"/>
        </w:rPr>
      </w:pPr>
      <w:r>
        <w:rPr>
          <w:rFonts w:cs="Arial"/>
          <w:color w:val="333333"/>
          <w:sz w:val="22"/>
          <w:szCs w:val="22"/>
        </w:rPr>
        <w:t xml:space="preserve">BioSense is a syndromic surveillance platform hosted by CDC for use by state, territorial, and local public health agencies. </w:t>
      </w:r>
      <w:r w:rsidRPr="00063894">
        <w:rPr>
          <w:rFonts w:cs="Arial"/>
          <w:color w:val="333333"/>
          <w:sz w:val="22"/>
          <w:szCs w:val="22"/>
        </w:rPr>
        <w:t>Syndromic surveillance provides public health officials with a timely system for detecting, understanding, and monitoring health events. By tracking symptoms of patients in emergency departments—before a diagnosis is confirmed—public health can detect unusual levels of illness to determine whether a response is warranted</w:t>
      </w:r>
      <w:r>
        <w:rPr>
          <w:rFonts w:cs="Arial"/>
          <w:color w:val="333333"/>
          <w:sz w:val="22"/>
          <w:szCs w:val="22"/>
        </w:rPr>
        <w:t xml:space="preserve"> [1]</w:t>
      </w:r>
      <w:r w:rsidRPr="00063894">
        <w:rPr>
          <w:rFonts w:cs="Arial"/>
          <w:color w:val="333333"/>
          <w:sz w:val="22"/>
          <w:szCs w:val="22"/>
        </w:rPr>
        <w:t>.</w:t>
      </w:r>
      <w:r>
        <w:rPr>
          <w:rFonts w:cs="Arial"/>
          <w:color w:val="333333"/>
          <w:sz w:val="22"/>
          <w:szCs w:val="22"/>
        </w:rPr>
        <w:t xml:space="preserve"> </w:t>
      </w:r>
      <w:r w:rsidR="000C265F">
        <w:rPr>
          <w:rFonts w:cs="Arial"/>
          <w:color w:val="333333"/>
          <w:sz w:val="22"/>
          <w:szCs w:val="22"/>
        </w:rPr>
        <w:t xml:space="preserve">CDC began the BioSense program in 2003 with the goal of </w:t>
      </w:r>
      <w:r w:rsidR="00DC70D6" w:rsidRPr="00DC70D6">
        <w:rPr>
          <w:rFonts w:cs="Arial"/>
          <w:color w:val="333333"/>
          <w:sz w:val="22"/>
          <w:szCs w:val="22"/>
        </w:rPr>
        <w:t>establishing a nationwide integrated public health surveillance system for early detection and assessment of potential bioterrorism-related illness</w:t>
      </w:r>
      <w:r w:rsidR="00AF329D">
        <w:rPr>
          <w:rFonts w:cs="Arial"/>
          <w:color w:val="333333"/>
          <w:sz w:val="22"/>
          <w:szCs w:val="22"/>
        </w:rPr>
        <w:t xml:space="preserve"> [</w:t>
      </w:r>
      <w:r>
        <w:rPr>
          <w:rFonts w:cs="Arial"/>
          <w:color w:val="333333"/>
          <w:sz w:val="22"/>
          <w:szCs w:val="22"/>
        </w:rPr>
        <w:t>2</w:t>
      </w:r>
      <w:r w:rsidR="00AF329D">
        <w:rPr>
          <w:rFonts w:cs="Arial"/>
          <w:color w:val="333333"/>
          <w:sz w:val="22"/>
          <w:szCs w:val="22"/>
        </w:rPr>
        <w:t>]</w:t>
      </w:r>
      <w:r w:rsidR="00D850C7">
        <w:rPr>
          <w:rFonts w:cs="Arial"/>
          <w:color w:val="333333"/>
          <w:sz w:val="22"/>
          <w:szCs w:val="22"/>
        </w:rPr>
        <w:t xml:space="preserve"> </w:t>
      </w:r>
      <w:r w:rsidR="008A1F68">
        <w:rPr>
          <w:rFonts w:cs="Arial"/>
          <w:color w:val="333333"/>
          <w:sz w:val="22"/>
          <w:szCs w:val="22"/>
        </w:rPr>
        <w:t>with the initial intended user</w:t>
      </w:r>
      <w:r w:rsidR="000C103C">
        <w:rPr>
          <w:rFonts w:cs="Arial"/>
          <w:color w:val="333333"/>
          <w:sz w:val="22"/>
          <w:szCs w:val="22"/>
        </w:rPr>
        <w:t>s</w:t>
      </w:r>
      <w:r w:rsidR="008A1F68">
        <w:rPr>
          <w:rFonts w:cs="Arial"/>
          <w:color w:val="333333"/>
          <w:sz w:val="22"/>
          <w:szCs w:val="22"/>
        </w:rPr>
        <w:t xml:space="preserve"> being CDC and state and local public health agencies</w:t>
      </w:r>
      <w:r w:rsidR="00DC70D6" w:rsidRPr="00DC70D6">
        <w:rPr>
          <w:rFonts w:cs="Arial"/>
          <w:color w:val="333333"/>
          <w:sz w:val="22"/>
          <w:szCs w:val="22"/>
        </w:rPr>
        <w:t>. </w:t>
      </w:r>
      <w:r w:rsidR="008A1F68">
        <w:rPr>
          <w:rFonts w:cs="Arial"/>
          <w:color w:val="333333"/>
          <w:sz w:val="22"/>
          <w:szCs w:val="22"/>
        </w:rPr>
        <w:t>Stakeholders of the BioSense program were epidemiologists and public health preparedness professionals at the state, territorial, and local levels. At the time of its inception, t</w:t>
      </w:r>
      <w:r w:rsidR="00DC70D6" w:rsidRPr="00DC70D6">
        <w:rPr>
          <w:rFonts w:cs="Arial"/>
          <w:color w:val="333333"/>
          <w:sz w:val="22"/>
          <w:szCs w:val="22"/>
        </w:rPr>
        <w:t xml:space="preserve">he BioSense program had </w:t>
      </w:r>
      <w:r w:rsidR="00495703">
        <w:rPr>
          <w:rFonts w:cs="Arial"/>
          <w:color w:val="333333"/>
          <w:sz w:val="22"/>
          <w:szCs w:val="22"/>
        </w:rPr>
        <w:t>four</w:t>
      </w:r>
      <w:r w:rsidR="00DC70D6" w:rsidRPr="00DC70D6">
        <w:rPr>
          <w:rFonts w:cs="Arial"/>
          <w:color w:val="333333"/>
          <w:sz w:val="22"/>
          <w:szCs w:val="22"/>
        </w:rPr>
        <w:t xml:space="preserve"> </w:t>
      </w:r>
      <w:r w:rsidR="000C265F">
        <w:rPr>
          <w:rFonts w:cs="Arial"/>
          <w:color w:val="333333"/>
          <w:sz w:val="22"/>
          <w:szCs w:val="22"/>
        </w:rPr>
        <w:t xml:space="preserve">primary </w:t>
      </w:r>
      <w:r w:rsidR="00DC70D6" w:rsidRPr="00DC70D6">
        <w:rPr>
          <w:rFonts w:cs="Arial"/>
          <w:color w:val="333333"/>
          <w:sz w:val="22"/>
          <w:szCs w:val="22"/>
        </w:rPr>
        <w:t xml:space="preserve">goals: </w:t>
      </w:r>
    </w:p>
    <w:p w14:paraId="43B593ED" w14:textId="646D8122" w:rsidR="000C265F" w:rsidRDefault="000C265F" w:rsidP="00E57EC0">
      <w:pPr>
        <w:pStyle w:val="NormalWeb"/>
        <w:numPr>
          <w:ilvl w:val="0"/>
          <w:numId w:val="2"/>
        </w:numPr>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I</w:t>
      </w:r>
      <w:r w:rsidR="00DC70D6" w:rsidRPr="00DC70D6">
        <w:rPr>
          <w:rFonts w:asciiTheme="minorHAnsi" w:hAnsiTheme="minorHAnsi" w:cs="Arial"/>
          <w:color w:val="333333"/>
          <w:sz w:val="22"/>
          <w:szCs w:val="22"/>
        </w:rPr>
        <w:t>mprove the nation’s capabilities for conducting near–real-time biosurveillance and health situational awareness</w:t>
      </w:r>
    </w:p>
    <w:p w14:paraId="63498EB3" w14:textId="0D8847C9" w:rsidR="000C265F" w:rsidRDefault="000C265F" w:rsidP="00E57EC0">
      <w:pPr>
        <w:pStyle w:val="NormalWeb"/>
        <w:numPr>
          <w:ilvl w:val="0"/>
          <w:numId w:val="2"/>
        </w:numPr>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A</w:t>
      </w:r>
      <w:r w:rsidR="00DC70D6" w:rsidRPr="00DC70D6">
        <w:rPr>
          <w:rFonts w:asciiTheme="minorHAnsi" w:hAnsiTheme="minorHAnsi" w:cs="Arial"/>
          <w:color w:val="333333"/>
          <w:sz w:val="22"/>
          <w:szCs w:val="22"/>
        </w:rPr>
        <w:t>dvance analytics for prediagnostic and diagnostic data</w:t>
      </w:r>
    </w:p>
    <w:p w14:paraId="2FCF5D98" w14:textId="091FB001" w:rsidR="000C265F" w:rsidRDefault="000C265F" w:rsidP="00E57EC0">
      <w:pPr>
        <w:pStyle w:val="NormalWeb"/>
        <w:numPr>
          <w:ilvl w:val="0"/>
          <w:numId w:val="2"/>
        </w:numPr>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I</w:t>
      </w:r>
      <w:r w:rsidR="00DC70D6" w:rsidRPr="00DC70D6">
        <w:rPr>
          <w:rFonts w:asciiTheme="minorHAnsi" w:hAnsiTheme="minorHAnsi" w:cs="Arial"/>
          <w:color w:val="333333"/>
          <w:sz w:val="22"/>
          <w:szCs w:val="22"/>
        </w:rPr>
        <w:t>ncrease sharing of approaches and technology among federal, state, and local public health agencies</w:t>
      </w:r>
    </w:p>
    <w:p w14:paraId="39FA342E" w14:textId="5991A18C" w:rsidR="00DC70D6" w:rsidRPr="00DC70D6" w:rsidRDefault="000C265F" w:rsidP="00E57EC0">
      <w:pPr>
        <w:pStyle w:val="NormalWeb"/>
        <w:numPr>
          <w:ilvl w:val="0"/>
          <w:numId w:val="2"/>
        </w:numPr>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P</w:t>
      </w:r>
      <w:r w:rsidR="00DC70D6" w:rsidRPr="00DC70D6">
        <w:rPr>
          <w:rFonts w:asciiTheme="minorHAnsi" w:hAnsiTheme="minorHAnsi" w:cs="Arial"/>
          <w:color w:val="333333"/>
          <w:sz w:val="22"/>
          <w:szCs w:val="22"/>
        </w:rPr>
        <w:t>romote national system standards and specifications to ensure integration with other public health systems</w:t>
      </w:r>
      <w:r w:rsidR="00AF329D">
        <w:rPr>
          <w:rFonts w:asciiTheme="minorHAnsi" w:hAnsiTheme="minorHAnsi" w:cs="Arial"/>
          <w:color w:val="333333"/>
          <w:sz w:val="22"/>
          <w:szCs w:val="22"/>
        </w:rPr>
        <w:t xml:space="preserve"> [</w:t>
      </w:r>
      <w:r w:rsidR="00063894">
        <w:rPr>
          <w:rFonts w:asciiTheme="minorHAnsi" w:hAnsiTheme="minorHAnsi" w:cs="Arial"/>
          <w:color w:val="333333"/>
          <w:sz w:val="22"/>
          <w:szCs w:val="22"/>
        </w:rPr>
        <w:t>2</w:t>
      </w:r>
      <w:r w:rsidR="00AF329D">
        <w:rPr>
          <w:rFonts w:asciiTheme="minorHAnsi" w:hAnsiTheme="minorHAnsi" w:cs="Arial"/>
          <w:color w:val="333333"/>
          <w:sz w:val="22"/>
          <w:szCs w:val="22"/>
        </w:rPr>
        <w:t>,</w:t>
      </w:r>
      <w:r w:rsidR="00063894">
        <w:rPr>
          <w:rFonts w:asciiTheme="minorHAnsi" w:hAnsiTheme="minorHAnsi" w:cs="Arial"/>
          <w:color w:val="333333"/>
          <w:sz w:val="22"/>
          <w:szCs w:val="22"/>
        </w:rPr>
        <w:t>3</w:t>
      </w:r>
      <w:r w:rsidR="00AF329D">
        <w:rPr>
          <w:rFonts w:asciiTheme="minorHAnsi" w:hAnsiTheme="minorHAnsi" w:cs="Arial"/>
          <w:color w:val="333333"/>
          <w:sz w:val="22"/>
          <w:szCs w:val="22"/>
        </w:rPr>
        <w:t>]</w:t>
      </w:r>
      <w:r w:rsidR="00DC70D6" w:rsidRPr="00DC70D6">
        <w:rPr>
          <w:rFonts w:asciiTheme="minorHAnsi" w:hAnsiTheme="minorHAnsi" w:cs="Arial"/>
          <w:color w:val="333333"/>
          <w:sz w:val="22"/>
          <w:szCs w:val="22"/>
        </w:rPr>
        <w:t>. </w:t>
      </w:r>
      <w:r w:rsidRPr="00DC70D6">
        <w:rPr>
          <w:rFonts w:asciiTheme="minorHAnsi" w:hAnsiTheme="minorHAnsi" w:cs="Arial"/>
          <w:color w:val="333333"/>
          <w:sz w:val="22"/>
          <w:szCs w:val="22"/>
        </w:rPr>
        <w:t xml:space="preserve"> </w:t>
      </w:r>
    </w:p>
    <w:p w14:paraId="51511122" w14:textId="2411DA1F" w:rsidR="00495703" w:rsidRDefault="000C265F" w:rsidP="00C80D12">
      <w:pPr>
        <w:pStyle w:val="NormalWeb"/>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 xml:space="preserve">CDC developed an infrastructure to receive and manage the data being sent from healthcare facilities, and to provide a means to access, analyze, and visualize these data. </w:t>
      </w:r>
      <w:r w:rsidR="00DC70D6" w:rsidRPr="00DC70D6">
        <w:rPr>
          <w:rFonts w:asciiTheme="minorHAnsi" w:hAnsiTheme="minorHAnsi" w:cs="Arial"/>
          <w:color w:val="333333"/>
          <w:sz w:val="22"/>
          <w:szCs w:val="22"/>
        </w:rPr>
        <w:t>Th</w:t>
      </w:r>
      <w:r w:rsidR="00495703">
        <w:rPr>
          <w:rFonts w:asciiTheme="minorHAnsi" w:hAnsiTheme="minorHAnsi" w:cs="Arial"/>
          <w:color w:val="333333"/>
          <w:sz w:val="22"/>
          <w:szCs w:val="22"/>
        </w:rPr>
        <w:t>is</w:t>
      </w:r>
      <w:r w:rsidR="00DC70D6" w:rsidRPr="00DC70D6">
        <w:rPr>
          <w:rFonts w:asciiTheme="minorHAnsi" w:hAnsiTheme="minorHAnsi" w:cs="Arial"/>
          <w:color w:val="333333"/>
          <w:sz w:val="22"/>
          <w:szCs w:val="22"/>
        </w:rPr>
        <w:t xml:space="preserve"> infrastructure </w:t>
      </w:r>
      <w:r w:rsidR="00495703">
        <w:rPr>
          <w:rFonts w:asciiTheme="minorHAnsi" w:hAnsiTheme="minorHAnsi" w:cs="Arial"/>
          <w:color w:val="333333"/>
          <w:sz w:val="22"/>
          <w:szCs w:val="22"/>
        </w:rPr>
        <w:t>included three pieces:</w:t>
      </w:r>
    </w:p>
    <w:p w14:paraId="6976431F" w14:textId="5C5B4A81" w:rsidR="00495703" w:rsidRDefault="00495703" w:rsidP="00E57EC0">
      <w:pPr>
        <w:pStyle w:val="NormalWeb"/>
        <w:numPr>
          <w:ilvl w:val="0"/>
          <w:numId w:val="5"/>
        </w:numPr>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D</w:t>
      </w:r>
      <w:r w:rsidR="00DC70D6" w:rsidRPr="00DC70D6">
        <w:rPr>
          <w:rFonts w:asciiTheme="minorHAnsi" w:hAnsiTheme="minorHAnsi" w:cs="Arial"/>
          <w:color w:val="333333"/>
          <w:sz w:val="22"/>
          <w:szCs w:val="22"/>
        </w:rPr>
        <w:t>ata management processes to receive and process inbound clinical care and related data</w:t>
      </w:r>
    </w:p>
    <w:p w14:paraId="7A8343C6" w14:textId="77777777" w:rsidR="00495703" w:rsidRDefault="00495703" w:rsidP="00E57EC0">
      <w:pPr>
        <w:pStyle w:val="NormalWeb"/>
        <w:numPr>
          <w:ilvl w:val="0"/>
          <w:numId w:val="5"/>
        </w:numPr>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A</w:t>
      </w:r>
      <w:r w:rsidR="00DC70D6" w:rsidRPr="00DC70D6">
        <w:rPr>
          <w:rFonts w:asciiTheme="minorHAnsi" w:hAnsiTheme="minorHAnsi" w:cs="Arial"/>
          <w:color w:val="333333"/>
          <w:sz w:val="22"/>
          <w:szCs w:val="22"/>
        </w:rPr>
        <w:t>nalytic processes to bin records into syndrome categories and analyze trends for suspect signals</w:t>
      </w:r>
    </w:p>
    <w:p w14:paraId="4EB08F98" w14:textId="4295E55A" w:rsidR="00DC70D6" w:rsidRPr="00DC70D6" w:rsidRDefault="00495703" w:rsidP="00E57EC0">
      <w:pPr>
        <w:pStyle w:val="NormalWeb"/>
        <w:numPr>
          <w:ilvl w:val="0"/>
          <w:numId w:val="5"/>
        </w:numPr>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A</w:t>
      </w:r>
      <w:r w:rsidR="00DC70D6" w:rsidRPr="00DC70D6">
        <w:rPr>
          <w:rFonts w:asciiTheme="minorHAnsi" w:hAnsiTheme="minorHAnsi" w:cs="Arial"/>
          <w:color w:val="333333"/>
          <w:sz w:val="22"/>
          <w:szCs w:val="22"/>
        </w:rPr>
        <w:t xml:space="preserve"> user interface that allowed CDC and state and local </w:t>
      </w:r>
      <w:r w:rsidR="008A1F68">
        <w:rPr>
          <w:rFonts w:asciiTheme="minorHAnsi" w:hAnsiTheme="minorHAnsi" w:cs="Arial"/>
          <w:color w:val="333333"/>
          <w:sz w:val="22"/>
          <w:szCs w:val="22"/>
        </w:rPr>
        <w:t xml:space="preserve">public health agency </w:t>
      </w:r>
      <w:r w:rsidR="00DC70D6" w:rsidRPr="00DC70D6">
        <w:rPr>
          <w:rFonts w:asciiTheme="minorHAnsi" w:hAnsiTheme="minorHAnsi" w:cs="Arial"/>
          <w:color w:val="333333"/>
          <w:sz w:val="22"/>
          <w:szCs w:val="22"/>
        </w:rPr>
        <w:t>staff members to access patient-level data to investigate results, report on notifications, and coordinate responses</w:t>
      </w:r>
      <w:r w:rsidR="00AF329D">
        <w:rPr>
          <w:rFonts w:asciiTheme="minorHAnsi" w:hAnsiTheme="minorHAnsi" w:cs="Arial"/>
          <w:color w:val="333333"/>
          <w:sz w:val="22"/>
          <w:szCs w:val="22"/>
        </w:rPr>
        <w:t xml:space="preserve"> [</w:t>
      </w:r>
      <w:r w:rsidR="00063894">
        <w:rPr>
          <w:rFonts w:asciiTheme="minorHAnsi" w:hAnsiTheme="minorHAnsi" w:cs="Arial"/>
          <w:color w:val="333333"/>
          <w:sz w:val="22"/>
          <w:szCs w:val="22"/>
        </w:rPr>
        <w:t>3</w:t>
      </w:r>
      <w:r w:rsidR="00AF329D">
        <w:rPr>
          <w:rFonts w:asciiTheme="minorHAnsi" w:hAnsiTheme="minorHAnsi" w:cs="Arial"/>
          <w:color w:val="333333"/>
          <w:sz w:val="22"/>
          <w:szCs w:val="22"/>
        </w:rPr>
        <w:t>]</w:t>
      </w:r>
      <w:r w:rsidR="00DC70D6" w:rsidRPr="00DC70D6">
        <w:rPr>
          <w:rFonts w:asciiTheme="minorHAnsi" w:hAnsiTheme="minorHAnsi" w:cs="Arial"/>
          <w:color w:val="333333"/>
          <w:sz w:val="22"/>
          <w:szCs w:val="22"/>
        </w:rPr>
        <w:t>.</w:t>
      </w:r>
    </w:p>
    <w:p w14:paraId="3A8B0F1D" w14:textId="7F4CA549" w:rsidR="00DC70D6" w:rsidRPr="00DC70D6" w:rsidRDefault="00E57EC0" w:rsidP="00C80D12">
      <w:pPr>
        <w:pStyle w:val="NormalWeb"/>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 xml:space="preserve">Beginning in 2004, </w:t>
      </w:r>
      <w:r w:rsidR="00DC70D6" w:rsidRPr="00DC70D6">
        <w:rPr>
          <w:rFonts w:asciiTheme="minorHAnsi" w:hAnsiTheme="minorHAnsi" w:cs="Arial"/>
          <w:color w:val="333333"/>
          <w:sz w:val="22"/>
          <w:szCs w:val="22"/>
        </w:rPr>
        <w:t xml:space="preserve">state and local health departments </w:t>
      </w:r>
      <w:r>
        <w:rPr>
          <w:rFonts w:asciiTheme="minorHAnsi" w:hAnsiTheme="minorHAnsi" w:cs="Arial"/>
          <w:color w:val="333333"/>
          <w:sz w:val="22"/>
          <w:szCs w:val="22"/>
        </w:rPr>
        <w:t xml:space="preserve">were able to use the BioSense system through CDC’s </w:t>
      </w:r>
      <w:r w:rsidR="00DC70D6" w:rsidRPr="00DC70D6">
        <w:rPr>
          <w:rFonts w:asciiTheme="minorHAnsi" w:hAnsiTheme="minorHAnsi" w:cs="Arial"/>
          <w:color w:val="333333"/>
          <w:sz w:val="22"/>
          <w:szCs w:val="22"/>
        </w:rPr>
        <w:t xml:space="preserve">secure data network and approximately 300 </w:t>
      </w:r>
      <w:r>
        <w:rPr>
          <w:rFonts w:asciiTheme="minorHAnsi" w:hAnsiTheme="minorHAnsi" w:cs="Arial"/>
          <w:color w:val="333333"/>
          <w:sz w:val="22"/>
          <w:szCs w:val="22"/>
        </w:rPr>
        <w:t xml:space="preserve">such </w:t>
      </w:r>
      <w:r w:rsidR="00DC70D6" w:rsidRPr="00DC70D6">
        <w:rPr>
          <w:rFonts w:asciiTheme="minorHAnsi" w:hAnsiTheme="minorHAnsi" w:cs="Arial"/>
          <w:color w:val="333333"/>
          <w:sz w:val="22"/>
          <w:szCs w:val="22"/>
        </w:rPr>
        <w:t xml:space="preserve">users </w:t>
      </w:r>
      <w:r>
        <w:rPr>
          <w:rFonts w:asciiTheme="minorHAnsi" w:hAnsiTheme="minorHAnsi" w:cs="Arial"/>
          <w:color w:val="333333"/>
          <w:sz w:val="22"/>
          <w:szCs w:val="22"/>
        </w:rPr>
        <w:t>were</w:t>
      </w:r>
      <w:r w:rsidR="00DC70D6" w:rsidRPr="00DC70D6">
        <w:rPr>
          <w:rFonts w:asciiTheme="minorHAnsi" w:hAnsiTheme="minorHAnsi" w:cs="Arial"/>
          <w:color w:val="333333"/>
          <w:sz w:val="22"/>
          <w:szCs w:val="22"/>
        </w:rPr>
        <w:t xml:space="preserve"> enrolled in the first year</w:t>
      </w:r>
      <w:r w:rsidR="00AF329D">
        <w:rPr>
          <w:rFonts w:asciiTheme="minorHAnsi" w:hAnsiTheme="minorHAnsi" w:cs="Arial"/>
          <w:color w:val="333333"/>
          <w:sz w:val="22"/>
          <w:szCs w:val="22"/>
        </w:rPr>
        <w:t xml:space="preserve"> [</w:t>
      </w:r>
      <w:r w:rsidR="00063894">
        <w:rPr>
          <w:rFonts w:asciiTheme="minorHAnsi" w:hAnsiTheme="minorHAnsi" w:cs="Arial"/>
          <w:color w:val="333333"/>
          <w:sz w:val="22"/>
          <w:szCs w:val="22"/>
        </w:rPr>
        <w:t>3</w:t>
      </w:r>
      <w:r w:rsidR="00AF329D">
        <w:rPr>
          <w:rFonts w:asciiTheme="minorHAnsi" w:hAnsiTheme="minorHAnsi" w:cs="Arial"/>
          <w:color w:val="333333"/>
          <w:sz w:val="22"/>
          <w:szCs w:val="22"/>
        </w:rPr>
        <w:t>]</w:t>
      </w:r>
      <w:r w:rsidR="00DC70D6" w:rsidRPr="00DC70D6">
        <w:rPr>
          <w:rFonts w:asciiTheme="minorHAnsi" w:hAnsiTheme="minorHAnsi" w:cs="Arial"/>
          <w:color w:val="333333"/>
          <w:sz w:val="22"/>
          <w:szCs w:val="22"/>
        </w:rPr>
        <w:t>. </w:t>
      </w:r>
      <w:r w:rsidR="00E52482">
        <w:rPr>
          <w:rFonts w:asciiTheme="minorHAnsi" w:hAnsiTheme="minorHAnsi" w:cs="Arial"/>
          <w:color w:val="333333"/>
          <w:sz w:val="22"/>
          <w:szCs w:val="22"/>
        </w:rPr>
        <w:t xml:space="preserve">The BioSense system expanded with different data sources added each year. </w:t>
      </w:r>
      <w:r w:rsidR="00E52482" w:rsidRPr="00DC70D6">
        <w:rPr>
          <w:rFonts w:asciiTheme="minorHAnsi" w:hAnsiTheme="minorHAnsi" w:cs="Arial"/>
          <w:color w:val="333333"/>
          <w:sz w:val="22"/>
          <w:szCs w:val="22"/>
        </w:rPr>
        <w:t xml:space="preserve">By 2008, </w:t>
      </w:r>
      <w:r w:rsidR="00E52482">
        <w:rPr>
          <w:rFonts w:asciiTheme="minorHAnsi" w:hAnsiTheme="minorHAnsi" w:cs="Arial"/>
          <w:color w:val="333333"/>
          <w:sz w:val="22"/>
          <w:szCs w:val="22"/>
        </w:rPr>
        <w:t>more than 1,100</w:t>
      </w:r>
      <w:r w:rsidR="00E52482" w:rsidRPr="00DC70D6">
        <w:rPr>
          <w:rFonts w:asciiTheme="minorHAnsi" w:hAnsiTheme="minorHAnsi" w:cs="Arial"/>
          <w:color w:val="333333"/>
          <w:sz w:val="22"/>
          <w:szCs w:val="22"/>
        </w:rPr>
        <w:t xml:space="preserve"> Department of Defense and Veterans Affairs hospitals and ambulatory clinics and 532 civilian hospital emergency departments (EDs)</w:t>
      </w:r>
      <w:r w:rsidR="00E52482">
        <w:rPr>
          <w:rFonts w:asciiTheme="minorHAnsi" w:hAnsiTheme="minorHAnsi" w:cs="Arial"/>
          <w:color w:val="333333"/>
          <w:sz w:val="22"/>
          <w:szCs w:val="22"/>
        </w:rPr>
        <w:t xml:space="preserve"> were reporting</w:t>
      </w:r>
      <w:r w:rsidR="00AF329D">
        <w:rPr>
          <w:rFonts w:asciiTheme="minorHAnsi" w:hAnsiTheme="minorHAnsi" w:cs="Arial"/>
          <w:color w:val="333333"/>
          <w:sz w:val="22"/>
          <w:szCs w:val="22"/>
        </w:rPr>
        <w:t xml:space="preserve"> [</w:t>
      </w:r>
      <w:r w:rsidR="00063894">
        <w:rPr>
          <w:rFonts w:asciiTheme="minorHAnsi" w:hAnsiTheme="minorHAnsi" w:cs="Arial"/>
          <w:color w:val="333333"/>
          <w:sz w:val="22"/>
          <w:szCs w:val="22"/>
        </w:rPr>
        <w:t>3,4</w:t>
      </w:r>
      <w:r w:rsidR="00AF329D">
        <w:rPr>
          <w:rFonts w:asciiTheme="minorHAnsi" w:hAnsiTheme="minorHAnsi" w:cs="Arial"/>
          <w:color w:val="333333"/>
          <w:sz w:val="22"/>
          <w:szCs w:val="22"/>
        </w:rPr>
        <w:t>].</w:t>
      </w:r>
    </w:p>
    <w:p w14:paraId="03CF9F89" w14:textId="6F4FDF70" w:rsidR="00DC70D6" w:rsidRDefault="00DC70D6" w:rsidP="00C80D12">
      <w:pPr>
        <w:pStyle w:val="NormalWeb"/>
        <w:shd w:val="clear" w:color="auto" w:fill="FFFFFF"/>
        <w:spacing w:line="276" w:lineRule="auto"/>
        <w:rPr>
          <w:rFonts w:asciiTheme="minorHAnsi" w:hAnsiTheme="minorHAnsi" w:cs="Arial"/>
          <w:color w:val="333333"/>
          <w:sz w:val="22"/>
          <w:szCs w:val="22"/>
        </w:rPr>
      </w:pPr>
      <w:r w:rsidRPr="00DC70D6">
        <w:rPr>
          <w:rFonts w:asciiTheme="minorHAnsi" w:hAnsiTheme="minorHAnsi" w:cs="Arial"/>
          <w:color w:val="333333"/>
          <w:sz w:val="22"/>
          <w:szCs w:val="22"/>
        </w:rPr>
        <w:t xml:space="preserve">In 2005, CDC </w:t>
      </w:r>
      <w:r w:rsidR="00CC0430">
        <w:rPr>
          <w:rFonts w:asciiTheme="minorHAnsi" w:hAnsiTheme="minorHAnsi" w:cs="Arial"/>
          <w:color w:val="333333"/>
          <w:sz w:val="22"/>
          <w:szCs w:val="22"/>
        </w:rPr>
        <w:t xml:space="preserve">set a goal that by 2008 all nonfederal hospital EDs in the US would be reporting </w:t>
      </w:r>
      <w:r w:rsidRPr="00DC70D6">
        <w:rPr>
          <w:rFonts w:asciiTheme="minorHAnsi" w:hAnsiTheme="minorHAnsi" w:cs="Arial"/>
          <w:color w:val="333333"/>
          <w:sz w:val="22"/>
          <w:szCs w:val="22"/>
        </w:rPr>
        <w:t xml:space="preserve">data to BioSense. To </w:t>
      </w:r>
      <w:r w:rsidR="00CC0430">
        <w:rPr>
          <w:rFonts w:asciiTheme="minorHAnsi" w:hAnsiTheme="minorHAnsi" w:cs="Arial"/>
          <w:color w:val="333333"/>
          <w:sz w:val="22"/>
          <w:szCs w:val="22"/>
        </w:rPr>
        <w:t>facilitate this</w:t>
      </w:r>
      <w:r w:rsidRPr="00DC70D6">
        <w:rPr>
          <w:rFonts w:asciiTheme="minorHAnsi" w:hAnsiTheme="minorHAnsi" w:cs="Arial"/>
          <w:color w:val="333333"/>
          <w:sz w:val="22"/>
          <w:szCs w:val="22"/>
        </w:rPr>
        <w:t xml:space="preserve">, CDC </w:t>
      </w:r>
      <w:r w:rsidR="00CC0430">
        <w:rPr>
          <w:rFonts w:asciiTheme="minorHAnsi" w:hAnsiTheme="minorHAnsi" w:cs="Arial"/>
          <w:color w:val="333333"/>
          <w:sz w:val="22"/>
          <w:szCs w:val="22"/>
        </w:rPr>
        <w:t>placed</w:t>
      </w:r>
      <w:r w:rsidRPr="00DC70D6">
        <w:rPr>
          <w:rFonts w:asciiTheme="minorHAnsi" w:hAnsiTheme="minorHAnsi" w:cs="Arial"/>
          <w:color w:val="333333"/>
          <w:sz w:val="22"/>
          <w:szCs w:val="22"/>
        </w:rPr>
        <w:t xml:space="preserve"> servers in large metropolitan hospitals, and data were sent directly to BioSense</w:t>
      </w:r>
      <w:r w:rsidR="00CC0430">
        <w:rPr>
          <w:rFonts w:asciiTheme="minorHAnsi" w:hAnsiTheme="minorHAnsi" w:cs="Arial"/>
          <w:color w:val="333333"/>
          <w:sz w:val="22"/>
          <w:szCs w:val="22"/>
        </w:rPr>
        <w:t>, bypassing the public health reporting chain of local to state, to federal</w:t>
      </w:r>
      <w:r w:rsidR="008A1F68">
        <w:rPr>
          <w:rFonts w:asciiTheme="minorHAnsi" w:hAnsiTheme="minorHAnsi" w:cs="Arial"/>
          <w:color w:val="333333"/>
          <w:sz w:val="22"/>
          <w:szCs w:val="22"/>
        </w:rPr>
        <w:t xml:space="preserve"> (see Figure 1)</w:t>
      </w:r>
      <w:r w:rsidRPr="00DC70D6">
        <w:rPr>
          <w:rFonts w:asciiTheme="minorHAnsi" w:hAnsiTheme="minorHAnsi" w:cs="Arial"/>
          <w:color w:val="333333"/>
          <w:sz w:val="22"/>
          <w:szCs w:val="22"/>
        </w:rPr>
        <w:t>. By 2007</w:t>
      </w:r>
      <w:r w:rsidR="00CC0430">
        <w:rPr>
          <w:rFonts w:asciiTheme="minorHAnsi" w:hAnsiTheme="minorHAnsi" w:cs="Arial"/>
          <w:color w:val="333333"/>
          <w:sz w:val="22"/>
          <w:szCs w:val="22"/>
        </w:rPr>
        <w:t xml:space="preserve"> though, </w:t>
      </w:r>
      <w:r w:rsidRPr="00DC70D6">
        <w:rPr>
          <w:rFonts w:asciiTheme="minorHAnsi" w:hAnsiTheme="minorHAnsi" w:cs="Arial"/>
          <w:color w:val="333333"/>
          <w:sz w:val="22"/>
          <w:szCs w:val="22"/>
        </w:rPr>
        <w:t>only about 10% of EDs were reporting, and BioSense stakeholders</w:t>
      </w:r>
      <w:r w:rsidR="00CC0430">
        <w:rPr>
          <w:rFonts w:asciiTheme="minorHAnsi" w:hAnsiTheme="minorHAnsi" w:cs="Arial"/>
          <w:color w:val="333333"/>
          <w:sz w:val="22"/>
          <w:szCs w:val="22"/>
        </w:rPr>
        <w:t xml:space="preserve">, including state and local public health officials </w:t>
      </w:r>
      <w:r w:rsidRPr="00DC70D6">
        <w:rPr>
          <w:rFonts w:asciiTheme="minorHAnsi" w:hAnsiTheme="minorHAnsi" w:cs="Arial"/>
          <w:color w:val="333333"/>
          <w:sz w:val="22"/>
          <w:szCs w:val="22"/>
        </w:rPr>
        <w:t xml:space="preserve">became </w:t>
      </w:r>
      <w:r w:rsidR="00CC0430">
        <w:rPr>
          <w:rFonts w:asciiTheme="minorHAnsi" w:hAnsiTheme="minorHAnsi" w:cs="Arial"/>
          <w:color w:val="333333"/>
          <w:sz w:val="22"/>
          <w:szCs w:val="22"/>
        </w:rPr>
        <w:t xml:space="preserve">increasing vocal about their </w:t>
      </w:r>
      <w:r w:rsidRPr="00DC70D6">
        <w:rPr>
          <w:rFonts w:asciiTheme="minorHAnsi" w:hAnsiTheme="minorHAnsi" w:cs="Arial"/>
          <w:color w:val="333333"/>
          <w:sz w:val="22"/>
          <w:szCs w:val="22"/>
        </w:rPr>
        <w:t>concern</w:t>
      </w:r>
      <w:r w:rsidR="00CC0430">
        <w:rPr>
          <w:rFonts w:asciiTheme="minorHAnsi" w:hAnsiTheme="minorHAnsi" w:cs="Arial"/>
          <w:color w:val="333333"/>
          <w:sz w:val="22"/>
          <w:szCs w:val="22"/>
        </w:rPr>
        <w:t>s</w:t>
      </w:r>
      <w:r w:rsidRPr="00DC70D6">
        <w:rPr>
          <w:rFonts w:asciiTheme="minorHAnsi" w:hAnsiTheme="minorHAnsi" w:cs="Arial"/>
          <w:color w:val="333333"/>
          <w:sz w:val="22"/>
          <w:szCs w:val="22"/>
        </w:rPr>
        <w:t xml:space="preserve"> </w:t>
      </w:r>
      <w:r w:rsidR="00CC0430">
        <w:rPr>
          <w:rFonts w:asciiTheme="minorHAnsi" w:hAnsiTheme="minorHAnsi" w:cs="Arial"/>
          <w:color w:val="333333"/>
          <w:sz w:val="22"/>
          <w:szCs w:val="22"/>
        </w:rPr>
        <w:t>that</w:t>
      </w:r>
      <w:r w:rsidRPr="00DC70D6">
        <w:rPr>
          <w:rFonts w:asciiTheme="minorHAnsi" w:hAnsiTheme="minorHAnsi" w:cs="Arial"/>
          <w:color w:val="333333"/>
          <w:sz w:val="22"/>
          <w:szCs w:val="22"/>
        </w:rPr>
        <w:t xml:space="preserve"> CDC </w:t>
      </w:r>
      <w:r w:rsidR="00CC0430">
        <w:rPr>
          <w:rFonts w:asciiTheme="minorHAnsi" w:hAnsiTheme="minorHAnsi" w:cs="Arial"/>
          <w:color w:val="333333"/>
          <w:sz w:val="22"/>
          <w:szCs w:val="22"/>
        </w:rPr>
        <w:t xml:space="preserve">was </w:t>
      </w:r>
      <w:r w:rsidRPr="00DC70D6">
        <w:rPr>
          <w:rFonts w:asciiTheme="minorHAnsi" w:hAnsiTheme="minorHAnsi" w:cs="Arial"/>
          <w:color w:val="333333"/>
          <w:sz w:val="22"/>
          <w:szCs w:val="22"/>
        </w:rPr>
        <w:t xml:space="preserve">recruiting data sources </w:t>
      </w:r>
      <w:r w:rsidR="00CC0430">
        <w:rPr>
          <w:rFonts w:asciiTheme="minorHAnsi" w:hAnsiTheme="minorHAnsi" w:cs="Arial"/>
          <w:color w:val="333333"/>
          <w:sz w:val="22"/>
          <w:szCs w:val="22"/>
        </w:rPr>
        <w:t xml:space="preserve">to report </w:t>
      </w:r>
      <w:r w:rsidRPr="00DC70D6">
        <w:rPr>
          <w:rFonts w:asciiTheme="minorHAnsi" w:hAnsiTheme="minorHAnsi" w:cs="Arial"/>
          <w:color w:val="333333"/>
          <w:sz w:val="22"/>
          <w:szCs w:val="22"/>
        </w:rPr>
        <w:t>direct</w:t>
      </w:r>
      <w:r w:rsidR="00245901">
        <w:rPr>
          <w:rFonts w:asciiTheme="minorHAnsi" w:hAnsiTheme="minorHAnsi" w:cs="Arial"/>
          <w:color w:val="333333"/>
          <w:sz w:val="22"/>
          <w:szCs w:val="22"/>
        </w:rPr>
        <w:t>ly to them</w:t>
      </w:r>
      <w:r w:rsidRPr="00DC70D6">
        <w:rPr>
          <w:rFonts w:asciiTheme="minorHAnsi" w:hAnsiTheme="minorHAnsi" w:cs="Arial"/>
          <w:color w:val="333333"/>
          <w:sz w:val="22"/>
          <w:szCs w:val="22"/>
        </w:rPr>
        <w:t xml:space="preserve"> </w:t>
      </w:r>
      <w:r w:rsidRPr="00DC70D6">
        <w:rPr>
          <w:rFonts w:asciiTheme="minorHAnsi" w:hAnsiTheme="minorHAnsi" w:cs="Arial"/>
          <w:color w:val="333333"/>
          <w:sz w:val="22"/>
          <w:szCs w:val="22"/>
        </w:rPr>
        <w:lastRenderedPageBreak/>
        <w:t xml:space="preserve">rather than working </w:t>
      </w:r>
      <w:r w:rsidR="00CC0430">
        <w:rPr>
          <w:rFonts w:asciiTheme="minorHAnsi" w:hAnsiTheme="minorHAnsi" w:cs="Arial"/>
          <w:color w:val="333333"/>
          <w:sz w:val="22"/>
          <w:szCs w:val="22"/>
        </w:rPr>
        <w:t>with</w:t>
      </w:r>
      <w:r w:rsidRPr="00DC70D6">
        <w:rPr>
          <w:rFonts w:asciiTheme="minorHAnsi" w:hAnsiTheme="minorHAnsi" w:cs="Arial"/>
          <w:color w:val="333333"/>
          <w:sz w:val="22"/>
          <w:szCs w:val="22"/>
        </w:rPr>
        <w:t xml:space="preserve"> </w:t>
      </w:r>
      <w:r w:rsidR="00245901">
        <w:rPr>
          <w:rFonts w:asciiTheme="minorHAnsi" w:hAnsiTheme="minorHAnsi" w:cs="Arial"/>
          <w:color w:val="333333"/>
          <w:sz w:val="22"/>
          <w:szCs w:val="22"/>
        </w:rPr>
        <w:t xml:space="preserve">state </w:t>
      </w:r>
      <w:r w:rsidRPr="00DC70D6">
        <w:rPr>
          <w:rFonts w:asciiTheme="minorHAnsi" w:hAnsiTheme="minorHAnsi" w:cs="Arial"/>
          <w:color w:val="333333"/>
          <w:sz w:val="22"/>
          <w:szCs w:val="22"/>
        </w:rPr>
        <w:t xml:space="preserve">health departments. </w:t>
      </w:r>
      <w:r w:rsidR="00245901">
        <w:rPr>
          <w:rFonts w:asciiTheme="minorHAnsi" w:hAnsiTheme="minorHAnsi" w:cs="Arial"/>
          <w:color w:val="333333"/>
          <w:sz w:val="22"/>
          <w:szCs w:val="22"/>
        </w:rPr>
        <w:t>S</w:t>
      </w:r>
      <w:r w:rsidRPr="00DC70D6">
        <w:rPr>
          <w:rFonts w:asciiTheme="minorHAnsi" w:hAnsiTheme="minorHAnsi" w:cs="Arial"/>
          <w:color w:val="333333"/>
          <w:sz w:val="22"/>
          <w:szCs w:val="22"/>
        </w:rPr>
        <w:t xml:space="preserve">tate and local health department epidemiologists </w:t>
      </w:r>
      <w:r w:rsidR="00245901">
        <w:rPr>
          <w:rFonts w:asciiTheme="minorHAnsi" w:hAnsiTheme="minorHAnsi" w:cs="Arial"/>
          <w:color w:val="333333"/>
          <w:sz w:val="22"/>
          <w:szCs w:val="22"/>
        </w:rPr>
        <w:t xml:space="preserve">were </w:t>
      </w:r>
      <w:r w:rsidRPr="00DC70D6">
        <w:rPr>
          <w:rFonts w:asciiTheme="minorHAnsi" w:hAnsiTheme="minorHAnsi" w:cs="Arial"/>
          <w:color w:val="333333"/>
          <w:sz w:val="22"/>
          <w:szCs w:val="22"/>
        </w:rPr>
        <w:t>rais</w:t>
      </w:r>
      <w:r w:rsidR="00245901">
        <w:rPr>
          <w:rFonts w:asciiTheme="minorHAnsi" w:hAnsiTheme="minorHAnsi" w:cs="Arial"/>
          <w:color w:val="333333"/>
          <w:sz w:val="22"/>
          <w:szCs w:val="22"/>
        </w:rPr>
        <w:t>ing</w:t>
      </w:r>
      <w:r w:rsidRPr="00DC70D6">
        <w:rPr>
          <w:rFonts w:asciiTheme="minorHAnsi" w:hAnsiTheme="minorHAnsi" w:cs="Arial"/>
          <w:color w:val="333333"/>
          <w:sz w:val="22"/>
          <w:szCs w:val="22"/>
        </w:rPr>
        <w:t xml:space="preserve"> questions about data quality, validity, and utility, and members of Congress expressed concerns about the number of false alerts and the cost and effectiveness of BioSense as an early warning system for bioterrorism</w:t>
      </w:r>
      <w:r w:rsidR="00245901">
        <w:rPr>
          <w:rFonts w:asciiTheme="minorHAnsi" w:hAnsiTheme="minorHAnsi" w:cs="Arial"/>
          <w:color w:val="333333"/>
          <w:sz w:val="22"/>
          <w:szCs w:val="22"/>
        </w:rPr>
        <w:t xml:space="preserve">. Despite that being </w:t>
      </w:r>
      <w:r w:rsidR="00CC0430">
        <w:rPr>
          <w:rFonts w:asciiTheme="minorHAnsi" w:hAnsiTheme="minorHAnsi" w:cs="Arial"/>
          <w:color w:val="333333"/>
          <w:sz w:val="22"/>
          <w:szCs w:val="22"/>
        </w:rPr>
        <w:t>its original use case following September 11, 2001 and the anthrax attacks on government buildings</w:t>
      </w:r>
      <w:r w:rsidR="00245901">
        <w:rPr>
          <w:rFonts w:asciiTheme="minorHAnsi" w:hAnsiTheme="minorHAnsi" w:cs="Arial"/>
          <w:color w:val="333333"/>
          <w:sz w:val="22"/>
          <w:szCs w:val="22"/>
        </w:rPr>
        <w:t>, the system had never been called to perform in that way as there were no subsequent bioterror attacks on the US</w:t>
      </w:r>
      <w:r w:rsidR="00AF329D">
        <w:rPr>
          <w:rFonts w:asciiTheme="minorHAnsi" w:hAnsiTheme="minorHAnsi" w:cs="Arial"/>
          <w:color w:val="333333"/>
          <w:sz w:val="22"/>
          <w:szCs w:val="22"/>
        </w:rPr>
        <w:t xml:space="preserve"> [</w:t>
      </w:r>
      <w:r w:rsidR="00063894">
        <w:rPr>
          <w:rFonts w:asciiTheme="minorHAnsi" w:hAnsiTheme="minorHAnsi" w:cs="Arial"/>
          <w:color w:val="333333"/>
          <w:sz w:val="22"/>
          <w:szCs w:val="22"/>
        </w:rPr>
        <w:t>5,6</w:t>
      </w:r>
      <w:r w:rsidR="00AF329D">
        <w:rPr>
          <w:rFonts w:asciiTheme="minorHAnsi" w:hAnsiTheme="minorHAnsi" w:cs="Arial"/>
          <w:color w:val="333333"/>
          <w:sz w:val="22"/>
          <w:szCs w:val="22"/>
        </w:rPr>
        <w:t>]</w:t>
      </w:r>
      <w:r w:rsidRPr="00DC70D6">
        <w:rPr>
          <w:rFonts w:asciiTheme="minorHAnsi" w:hAnsiTheme="minorHAnsi" w:cs="Arial"/>
          <w:color w:val="333333"/>
          <w:sz w:val="22"/>
          <w:szCs w:val="22"/>
        </w:rPr>
        <w:t>.</w:t>
      </w:r>
      <w:r w:rsidR="00AF329D">
        <w:rPr>
          <w:rFonts w:asciiTheme="minorHAnsi" w:hAnsiTheme="minorHAnsi" w:cs="Arial"/>
          <w:color w:val="333333"/>
          <w:sz w:val="22"/>
          <w:szCs w:val="22"/>
          <w:vertAlign w:val="superscript"/>
        </w:rPr>
        <w:t xml:space="preserve"> </w:t>
      </w:r>
      <w:r w:rsidRPr="00DC70D6">
        <w:rPr>
          <w:rFonts w:asciiTheme="minorHAnsi" w:hAnsiTheme="minorHAnsi" w:cs="Arial"/>
          <w:color w:val="333333"/>
          <w:sz w:val="22"/>
          <w:szCs w:val="22"/>
        </w:rPr>
        <w:t>State and local epidemiologists were particularly concerned that the system had been developed and implemented with limited stakeholder input and added little to state surveillance capacity</w:t>
      </w:r>
      <w:r w:rsidR="00AF329D">
        <w:rPr>
          <w:rFonts w:asciiTheme="minorHAnsi" w:hAnsiTheme="minorHAnsi" w:cs="Arial"/>
          <w:color w:val="333333"/>
          <w:sz w:val="22"/>
          <w:szCs w:val="22"/>
        </w:rPr>
        <w:t xml:space="preserve"> [</w:t>
      </w:r>
      <w:r w:rsidR="00063894">
        <w:rPr>
          <w:rFonts w:asciiTheme="minorHAnsi" w:hAnsiTheme="minorHAnsi" w:cs="Arial"/>
          <w:color w:val="333333"/>
          <w:sz w:val="22"/>
          <w:szCs w:val="22"/>
        </w:rPr>
        <w:t>7-9</w:t>
      </w:r>
      <w:r w:rsidR="00AF329D">
        <w:rPr>
          <w:rFonts w:asciiTheme="minorHAnsi" w:hAnsiTheme="minorHAnsi" w:cs="Arial"/>
          <w:color w:val="333333"/>
          <w:sz w:val="22"/>
          <w:szCs w:val="22"/>
        </w:rPr>
        <w:t>].</w:t>
      </w:r>
    </w:p>
    <w:p w14:paraId="663BBB8E" w14:textId="65472B0A" w:rsidR="00D04006" w:rsidRDefault="00D04006" w:rsidP="00C80D12">
      <w:pPr>
        <w:pStyle w:val="NormalWeb"/>
        <w:shd w:val="clear" w:color="auto" w:fill="FFFFFF"/>
        <w:spacing w:line="276" w:lineRule="auto"/>
        <w:rPr>
          <w:rFonts w:asciiTheme="minorHAnsi" w:hAnsiTheme="minorHAnsi" w:cs="Arial"/>
          <w:color w:val="333333"/>
          <w:sz w:val="22"/>
          <w:szCs w:val="22"/>
        </w:rPr>
      </w:pPr>
      <w:r>
        <w:rPr>
          <w:rFonts w:asciiTheme="minorHAnsi" w:hAnsiTheme="minorHAnsi" w:cs="Arial"/>
          <w:noProof/>
          <w:color w:val="333333"/>
          <w:sz w:val="22"/>
          <w:szCs w:val="22"/>
        </w:rPr>
        <mc:AlternateContent>
          <mc:Choice Requires="wps">
            <w:drawing>
              <wp:anchor distT="0" distB="0" distL="114300" distR="114300" simplePos="0" relativeHeight="251660288" behindDoc="0" locked="0" layoutInCell="1" allowOverlap="1" wp14:anchorId="764AFE9D" wp14:editId="05387AEE">
                <wp:simplePos x="0" y="0"/>
                <wp:positionH relativeFrom="column">
                  <wp:posOffset>693371</wp:posOffset>
                </wp:positionH>
                <wp:positionV relativeFrom="paragraph">
                  <wp:posOffset>189230</wp:posOffset>
                </wp:positionV>
                <wp:extent cx="3720904" cy="281354"/>
                <wp:effectExtent l="0" t="0" r="0" b="0"/>
                <wp:wrapNone/>
                <wp:docPr id="10" name="Text Box 10"/>
                <wp:cNvGraphicFramePr/>
                <a:graphic xmlns:a="http://schemas.openxmlformats.org/drawingml/2006/main">
                  <a:graphicData uri="http://schemas.microsoft.com/office/word/2010/wordprocessingShape">
                    <wps:wsp>
                      <wps:cNvSpPr txBox="1"/>
                      <wps:spPr>
                        <a:xfrm>
                          <a:off x="0" y="0"/>
                          <a:ext cx="3720904" cy="281354"/>
                        </a:xfrm>
                        <a:prstGeom prst="rect">
                          <a:avLst/>
                        </a:prstGeom>
                        <a:noFill/>
                        <a:ln w="6350">
                          <a:noFill/>
                        </a:ln>
                      </wps:spPr>
                      <wps:txbx>
                        <w:txbxContent>
                          <w:p w14:paraId="21F7E3EA" w14:textId="72B10FA3" w:rsidR="00D04006" w:rsidRPr="00D04006" w:rsidRDefault="00D04006">
                            <w:pPr>
                              <w:rPr>
                                <w:sz w:val="20"/>
                                <w:szCs w:val="20"/>
                              </w:rPr>
                            </w:pPr>
                            <w:r>
                              <w:rPr>
                                <w:sz w:val="20"/>
                                <w:szCs w:val="20"/>
                              </w:rPr>
                              <w:t xml:space="preserve">Figure 1. </w:t>
                            </w:r>
                            <w:r w:rsidRPr="00D04006">
                              <w:rPr>
                                <w:sz w:val="20"/>
                                <w:szCs w:val="20"/>
                              </w:rPr>
                              <w:t>Reporting structure of BioSense</w:t>
                            </w:r>
                            <w:r w:rsidR="00807A11">
                              <w:rPr>
                                <w:sz w:val="20"/>
                                <w:szCs w:val="20"/>
                              </w:rPr>
                              <w:t xml:space="preserve"> data</w:t>
                            </w:r>
                            <w:r w:rsidRPr="00D04006">
                              <w:rPr>
                                <w:sz w:val="20"/>
                                <w:szCs w:val="20"/>
                              </w:rPr>
                              <w:t xml:space="preserve"> before </w:t>
                            </w:r>
                            <w:r w:rsidR="00807A11">
                              <w:rPr>
                                <w:sz w:val="20"/>
                                <w:szCs w:val="20"/>
                              </w:rPr>
                              <w:t xml:space="preserve">the </w:t>
                            </w:r>
                            <w:r w:rsidRPr="00D04006">
                              <w:rPr>
                                <w:sz w:val="20"/>
                                <w:szCs w:val="20"/>
                              </w:rPr>
                              <w:t>redesign.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64AFE9D" id="_x0000_t202" coordsize="21600,21600" o:spt="202" path="m,l,21600r21600,l21600,xe">
                <v:stroke joinstyle="miter"/>
                <v:path gradientshapeok="t" o:connecttype="rect"/>
              </v:shapetype>
              <v:shape id="Text Box 10" o:spid="_x0000_s1026" type="#_x0000_t202" style="position:absolute;margin-left:54.6pt;margin-top:14.9pt;width:293pt;height:22.1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" filled="f" stroked="f" strokeweight=".5pt">
                <v:textbox>
                  <w:txbxContent>
                    <w:p w14:paraId="21F7E3EA" w14:textId="72B10FA3" w:rsidR="00D04006" w:rsidRPr="00D04006" w:rsidRDefault="00D04006">
                      <w:pPr>
                        <w:rPr>
                          <w:sz w:val="20"/>
                          <w:szCs w:val="20"/>
                        </w:rPr>
                      </w:pPr>
                      <w:r>
                        <w:rPr>
                          <w:sz w:val="20"/>
                          <w:szCs w:val="20"/>
                        </w:rPr>
                        <w:t xml:space="preserve">Figure 1. </w:t>
                      </w:r>
                      <w:r w:rsidRPr="00D04006">
                        <w:rPr>
                          <w:sz w:val="20"/>
                          <w:szCs w:val="20"/>
                        </w:rPr>
                        <w:t>Reporting structure of BioSense</w:t>
                      </w:r>
                      <w:r w:rsidR="00807A11">
                        <w:rPr>
                          <w:sz w:val="20"/>
                          <w:szCs w:val="20"/>
                        </w:rPr>
                        <w:t xml:space="preserve"> data</w:t>
                      </w:r>
                      <w:r w:rsidRPr="00D04006">
                        <w:rPr>
                          <w:sz w:val="20"/>
                          <w:szCs w:val="20"/>
                        </w:rPr>
                        <w:t xml:space="preserve"> before </w:t>
                      </w:r>
                      <w:r w:rsidR="00807A11">
                        <w:rPr>
                          <w:sz w:val="20"/>
                          <w:szCs w:val="20"/>
                        </w:rPr>
                        <w:t xml:space="preserve">the </w:t>
                      </w:r>
                      <w:r w:rsidRPr="00D04006">
                        <w:rPr>
                          <w:sz w:val="20"/>
                          <w:szCs w:val="20"/>
                        </w:rPr>
                        <w:t>redesign.</w:t>
                      </w:r>
                    </w:p>
                  </w:txbxContent>
                </v:textbox>
              </v:shape>
            </w:pict>
          </mc:Fallback>
        </mc:AlternateContent>
      </w:r>
    </w:p>
    <w:p w14:paraId="67496C3C" w14:textId="78276AB0" w:rsidR="008A1F68" w:rsidRPr="00E52482" w:rsidRDefault="00D04006" w:rsidP="00C80D12">
      <w:pPr>
        <w:pStyle w:val="NormalWeb"/>
        <w:shd w:val="clear" w:color="auto" w:fill="FFFFFF"/>
        <w:spacing w:line="276" w:lineRule="auto"/>
        <w:rPr>
          <w:rFonts w:asciiTheme="minorHAnsi" w:hAnsiTheme="minorHAnsi" w:cs="Arial"/>
          <w:color w:val="333333"/>
          <w:sz w:val="22"/>
          <w:szCs w:val="22"/>
        </w:rPr>
      </w:pPr>
      <w:r>
        <w:rPr>
          <w:noProof/>
        </w:rPr>
        <mc:AlternateContent>
          <mc:Choice Requires="wpg">
            <w:drawing>
              <wp:anchor distT="0" distB="0" distL="114300" distR="114300" simplePos="0" relativeHeight="251653120" behindDoc="0" locked="0" layoutInCell="1" allowOverlap="1" wp14:anchorId="3795ECFC" wp14:editId="6A450D50">
                <wp:simplePos x="0" y="0"/>
                <wp:positionH relativeFrom="column">
                  <wp:posOffset>633144</wp:posOffset>
                </wp:positionH>
                <wp:positionV relativeFrom="paragraph">
                  <wp:posOffset>117475</wp:posOffset>
                </wp:positionV>
                <wp:extent cx="5132070" cy="2147117"/>
                <wp:effectExtent l="0" t="0" r="11430" b="12065"/>
                <wp:wrapNone/>
                <wp:docPr id="21" name="Group 20">
                  <a:extLst xmlns:a="http://schemas.openxmlformats.org/drawingml/2006/main">
                    <a:ext uri="{FF2B5EF4-FFF2-40B4-BE49-F238E27FC236}">
                      <a16:creationId xmlns:a16="http://schemas.microsoft.com/office/drawing/2014/main" id="{54C73710-24F5-364C-ACE8-2BB0B1AF6CCC}"/>
                    </a:ext>
                  </a:extLst>
                </wp:docPr>
                <wp:cNvGraphicFramePr/>
                <a:graphic xmlns:a="http://schemas.openxmlformats.org/drawingml/2006/main">
                  <a:graphicData uri="http://schemas.microsoft.com/office/word/2010/wordprocessingGroup">
                    <wpg:wgp>
                      <wpg:cNvGrpSpPr/>
                      <wpg:grpSpPr>
                        <a:xfrm>
                          <a:off x="0" y="0"/>
                          <a:ext cx="5132070" cy="2147117"/>
                          <a:chOff x="0" y="0"/>
                          <a:chExt cx="5030456" cy="1745485"/>
                        </a:xfrm>
                      </wpg:grpSpPr>
                      <wps:wsp>
                        <wps:cNvPr id="2" name="Rounded Rectangle 2">
                          <a:extLst>
                            <a:ext uri="{FF2B5EF4-FFF2-40B4-BE49-F238E27FC236}">
                              <a16:creationId xmlns:a16="http://schemas.microsoft.com/office/drawing/2014/main" id="{386AE96E-7EBC-1244-92D7-61A7C9CA669E}"/>
                            </a:ext>
                          </a:extLst>
                        </wps:cNvPr>
                        <wps:cNvSpPr/>
                        <wps:spPr>
                          <a:xfrm>
                            <a:off x="0" y="0"/>
                            <a:ext cx="958314" cy="234415"/>
                          </a:xfrm>
                          <a:prstGeom prst="roundRect">
                            <a:avLst/>
                          </a:prstGeom>
                          <a:solidFill>
                            <a:srgbClr val="4472C4">
                              <a:lumMod val="20000"/>
                              <a:lumOff val="80000"/>
                            </a:srgbClr>
                          </a:solidFill>
                          <a:ln w="12700" cap="flat" cmpd="sng" algn="ctr">
                            <a:solidFill>
                              <a:srgbClr val="4472C4">
                                <a:shade val="50000"/>
                              </a:srgbClr>
                            </a:solidFill>
                            <a:prstDash val="solid"/>
                            <a:miter lim="800000"/>
                          </a:ln>
                          <a:effectLst/>
                        </wps:spPr>
                        <wps:txbx>
                          <w:txbxContent>
                            <w:p w14:paraId="0160D88A" w14:textId="77777777" w:rsidR="00D04006" w:rsidRPr="00D04006" w:rsidRDefault="00D04006" w:rsidP="00D04006">
                              <w:pPr>
                                <w:jc w:val="center"/>
                                <w:rPr>
                                  <w:sz w:val="18"/>
                                  <w:szCs w:val="18"/>
                                </w:rPr>
                              </w:pPr>
                              <w:r w:rsidRPr="00D04006">
                                <w:rPr>
                                  <w:rFonts w:hAnsi="Calibri"/>
                                  <w:color w:val="000000"/>
                                  <w:kern w:val="24"/>
                                  <w:sz w:val="18"/>
                                  <w:szCs w:val="18"/>
                                </w:rPr>
                                <w:t>Hospital 1</w:t>
                              </w:r>
                            </w:p>
                          </w:txbxContent>
                        </wps:txbx>
                        <wps:bodyPr rtlCol="0" anchor="ctr"/>
                      </wps:wsp>
                      <wps:wsp>
                        <wps:cNvPr id="3" name="Rounded Rectangle 3">
                          <a:extLst>
                            <a:ext uri="{FF2B5EF4-FFF2-40B4-BE49-F238E27FC236}">
                              <a16:creationId xmlns:a16="http://schemas.microsoft.com/office/drawing/2014/main" id="{49DDD6A0-A8CF-0844-94FE-6C32039F9ACF}"/>
                            </a:ext>
                          </a:extLst>
                        </wps:cNvPr>
                        <wps:cNvSpPr/>
                        <wps:spPr>
                          <a:xfrm>
                            <a:off x="1419438" y="0"/>
                            <a:ext cx="958314" cy="234415"/>
                          </a:xfrm>
                          <a:prstGeom prst="roundRect">
                            <a:avLst/>
                          </a:prstGeom>
                          <a:solidFill>
                            <a:srgbClr val="4472C4">
                              <a:lumMod val="20000"/>
                              <a:lumOff val="80000"/>
                            </a:srgbClr>
                          </a:solidFill>
                          <a:ln w="12700" cap="flat" cmpd="sng" algn="ctr">
                            <a:solidFill>
                              <a:srgbClr val="4472C4">
                                <a:shade val="50000"/>
                              </a:srgbClr>
                            </a:solidFill>
                            <a:prstDash val="solid"/>
                            <a:miter lim="800000"/>
                          </a:ln>
                          <a:effectLst/>
                        </wps:spPr>
                        <wps:txbx>
                          <w:txbxContent>
                            <w:p w14:paraId="7B5FC513" w14:textId="77777777" w:rsidR="00D04006" w:rsidRPr="00D04006" w:rsidRDefault="00D04006" w:rsidP="00D04006">
                              <w:pPr>
                                <w:jc w:val="center"/>
                                <w:rPr>
                                  <w:sz w:val="18"/>
                                  <w:szCs w:val="18"/>
                                </w:rPr>
                              </w:pPr>
                              <w:r w:rsidRPr="00D04006">
                                <w:rPr>
                                  <w:rFonts w:hAnsi="Calibri"/>
                                  <w:color w:val="000000"/>
                                  <w:kern w:val="24"/>
                                  <w:sz w:val="18"/>
                                  <w:szCs w:val="18"/>
                                </w:rPr>
                                <w:t>Hospital 2</w:t>
                              </w:r>
                            </w:p>
                          </w:txbxContent>
                        </wps:txbx>
                        <wps:bodyPr rtlCol="0" anchor="ctr"/>
                      </wps:wsp>
                      <wps:wsp>
                        <wps:cNvPr id="4" name="Rounded Rectangle 4">
                          <a:extLst>
                            <a:ext uri="{FF2B5EF4-FFF2-40B4-BE49-F238E27FC236}">
                              <a16:creationId xmlns:a16="http://schemas.microsoft.com/office/drawing/2014/main" id="{0FD02A8D-EC03-AD4B-9272-8B239DCEFE8E}"/>
                            </a:ext>
                          </a:extLst>
                        </wps:cNvPr>
                        <wps:cNvSpPr/>
                        <wps:spPr>
                          <a:xfrm>
                            <a:off x="2818331" y="5137"/>
                            <a:ext cx="958314" cy="234415"/>
                          </a:xfrm>
                          <a:prstGeom prst="roundRect">
                            <a:avLst/>
                          </a:prstGeom>
                          <a:solidFill>
                            <a:srgbClr val="4472C4">
                              <a:lumMod val="20000"/>
                              <a:lumOff val="80000"/>
                            </a:srgbClr>
                          </a:solidFill>
                          <a:ln w="12700" cap="flat" cmpd="sng" algn="ctr">
                            <a:solidFill>
                              <a:srgbClr val="4472C4">
                                <a:shade val="50000"/>
                              </a:srgbClr>
                            </a:solidFill>
                            <a:prstDash val="solid"/>
                            <a:miter lim="800000"/>
                          </a:ln>
                          <a:effectLst/>
                        </wps:spPr>
                        <wps:txbx>
                          <w:txbxContent>
                            <w:p w14:paraId="24186AC8" w14:textId="77777777" w:rsidR="00D04006" w:rsidRPr="00D04006" w:rsidRDefault="00D04006" w:rsidP="00D04006">
                              <w:pPr>
                                <w:jc w:val="center"/>
                                <w:rPr>
                                  <w:sz w:val="18"/>
                                  <w:szCs w:val="18"/>
                                </w:rPr>
                              </w:pPr>
                              <w:r w:rsidRPr="00D04006">
                                <w:rPr>
                                  <w:rFonts w:hAnsi="Calibri"/>
                                  <w:color w:val="000000"/>
                                  <w:kern w:val="24"/>
                                  <w:sz w:val="18"/>
                                  <w:szCs w:val="18"/>
                                </w:rPr>
                                <w:t>Hospital 3</w:t>
                              </w:r>
                            </w:p>
                          </w:txbxContent>
                        </wps:txbx>
                        <wps:bodyPr rtlCol="0" anchor="ctr"/>
                      </wps:wsp>
                      <wps:wsp>
                        <wps:cNvPr id="5" name="Rounded Rectangle 5">
                          <a:extLst>
                            <a:ext uri="{FF2B5EF4-FFF2-40B4-BE49-F238E27FC236}">
                              <a16:creationId xmlns:a16="http://schemas.microsoft.com/office/drawing/2014/main" id="{768E3C0B-33E0-3449-8722-B6FDF04189D5}"/>
                            </a:ext>
                          </a:extLst>
                        </wps:cNvPr>
                        <wps:cNvSpPr/>
                        <wps:spPr>
                          <a:xfrm>
                            <a:off x="3982753" y="794247"/>
                            <a:ext cx="1047703" cy="579957"/>
                          </a:xfrm>
                          <a:prstGeom prst="roundRect">
                            <a:avLst/>
                          </a:prstGeom>
                          <a:solidFill>
                            <a:srgbClr val="4472C4">
                              <a:lumMod val="60000"/>
                              <a:lumOff val="40000"/>
                            </a:srgbClr>
                          </a:solidFill>
                          <a:ln w="12700" cap="flat" cmpd="sng" algn="ctr">
                            <a:solidFill>
                              <a:srgbClr val="4472C4">
                                <a:shade val="50000"/>
                              </a:srgbClr>
                            </a:solidFill>
                            <a:prstDash val="solid"/>
                            <a:miter lim="800000"/>
                          </a:ln>
                          <a:effectLst/>
                        </wps:spPr>
                        <wps:txbx>
                          <w:txbxContent>
                            <w:p w14:paraId="57C549DB" w14:textId="77777777" w:rsidR="00D04006" w:rsidRPr="00D04006" w:rsidRDefault="00D04006" w:rsidP="00D04006">
                              <w:pPr>
                                <w:jc w:val="center"/>
                                <w:rPr>
                                  <w:sz w:val="22"/>
                                  <w:szCs w:val="22"/>
                                </w:rPr>
                              </w:pPr>
                              <w:r w:rsidRPr="00D04006">
                                <w:rPr>
                                  <w:rFonts w:hAnsi="Calibri"/>
                                  <w:color w:val="000000"/>
                                  <w:kern w:val="24"/>
                                  <w:sz w:val="22"/>
                                  <w:szCs w:val="22"/>
                                </w:rPr>
                                <w:t>CDC</w:t>
                              </w:r>
                            </w:p>
                          </w:txbxContent>
                        </wps:txbx>
                        <wps:bodyPr rtlCol="0" anchor="ctr"/>
                      </wps:wsp>
                      <wps:wsp>
                        <wps:cNvPr id="6" name="Rounded Rectangle 6">
                          <a:extLst>
                            <a:ext uri="{FF2B5EF4-FFF2-40B4-BE49-F238E27FC236}">
                              <a16:creationId xmlns:a16="http://schemas.microsoft.com/office/drawing/2014/main" id="{CCCEE510-D5A6-B44D-A811-0641512F4941}"/>
                            </a:ext>
                          </a:extLst>
                        </wps:cNvPr>
                        <wps:cNvSpPr/>
                        <wps:spPr>
                          <a:xfrm>
                            <a:off x="234443" y="827073"/>
                            <a:ext cx="1654531" cy="369870"/>
                          </a:xfrm>
                          <a:prstGeom prst="roundRect">
                            <a:avLst/>
                          </a:prstGeom>
                          <a:solidFill>
                            <a:srgbClr val="4472C4">
                              <a:lumMod val="40000"/>
                              <a:lumOff val="60000"/>
                            </a:srgbClr>
                          </a:solidFill>
                          <a:ln w="12700" cap="flat" cmpd="sng" algn="ctr">
                            <a:solidFill>
                              <a:srgbClr val="4472C4">
                                <a:shade val="50000"/>
                              </a:srgbClr>
                            </a:solidFill>
                            <a:prstDash val="solid"/>
                            <a:miter lim="800000"/>
                          </a:ln>
                          <a:effectLst/>
                        </wps:spPr>
                        <wps:txbx>
                          <w:txbxContent>
                            <w:p w14:paraId="46AF302C" w14:textId="77777777" w:rsidR="00D04006" w:rsidRPr="00D04006" w:rsidRDefault="00D04006" w:rsidP="00D04006">
                              <w:pPr>
                                <w:jc w:val="center"/>
                                <w:rPr>
                                  <w:sz w:val="20"/>
                                  <w:szCs w:val="20"/>
                                </w:rPr>
                              </w:pPr>
                              <w:r w:rsidRPr="00D04006">
                                <w:rPr>
                                  <w:rFonts w:hAnsi="Calibri"/>
                                  <w:color w:val="000000"/>
                                  <w:kern w:val="24"/>
                                  <w:sz w:val="20"/>
                                  <w:szCs w:val="20"/>
                                </w:rPr>
                                <w:t>Local Health Department</w:t>
                              </w:r>
                            </w:p>
                          </w:txbxContent>
                        </wps:txbx>
                        <wps:bodyPr rtlCol="0" anchor="ctr"/>
                      </wps:wsp>
                      <wps:wsp>
                        <wps:cNvPr id="7" name="Rounded Rectangle 7">
                          <a:extLst>
                            <a:ext uri="{FF2B5EF4-FFF2-40B4-BE49-F238E27FC236}">
                              <a16:creationId xmlns:a16="http://schemas.microsoft.com/office/drawing/2014/main" id="{0CE50C4D-39CC-DF44-BEF8-32B470C74DA4}"/>
                            </a:ext>
                          </a:extLst>
                        </wps:cNvPr>
                        <wps:cNvSpPr/>
                        <wps:spPr>
                          <a:xfrm>
                            <a:off x="234671" y="1375615"/>
                            <a:ext cx="1654444" cy="369870"/>
                          </a:xfrm>
                          <a:prstGeom prst="roundRect">
                            <a:avLst/>
                          </a:prstGeom>
                          <a:solidFill>
                            <a:srgbClr val="4472C4">
                              <a:lumMod val="40000"/>
                              <a:lumOff val="60000"/>
                            </a:srgbClr>
                          </a:solidFill>
                          <a:ln w="12700" cap="flat" cmpd="sng" algn="ctr">
                            <a:solidFill>
                              <a:srgbClr val="4472C4">
                                <a:shade val="50000"/>
                              </a:srgbClr>
                            </a:solidFill>
                            <a:prstDash val="solid"/>
                            <a:miter lim="800000"/>
                          </a:ln>
                          <a:effectLst/>
                        </wps:spPr>
                        <wps:txbx>
                          <w:txbxContent>
                            <w:p w14:paraId="49D7EB1D" w14:textId="77777777" w:rsidR="00D04006" w:rsidRPr="00D04006" w:rsidRDefault="00D04006" w:rsidP="00D04006">
                              <w:pPr>
                                <w:jc w:val="center"/>
                                <w:rPr>
                                  <w:sz w:val="20"/>
                                  <w:szCs w:val="20"/>
                                </w:rPr>
                              </w:pPr>
                              <w:r w:rsidRPr="00D04006">
                                <w:rPr>
                                  <w:rFonts w:hAnsi="Calibri"/>
                                  <w:color w:val="000000"/>
                                  <w:kern w:val="24"/>
                                  <w:sz w:val="20"/>
                                  <w:szCs w:val="20"/>
                                </w:rPr>
                                <w:t>State Health Department</w:t>
                              </w:r>
                            </w:p>
                          </w:txbxContent>
                        </wps:txbx>
                        <wps:bodyPr rtlCol="0" anchor="ctr"/>
                      </wps:wsp>
                    </wpg:wgp>
                  </a:graphicData>
                </a:graphic>
                <wp14:sizeRelH relativeFrom="margin">
                  <wp14:pctWidth>0</wp14:pctWidth>
                </wp14:sizeRelH>
                <wp14:sizeRelV relativeFrom="margin">
                  <wp14:pctHeight>0</wp14:pctHeight>
                </wp14:sizeRelV>
              </wp:anchor>
            </w:drawing>
          </mc:Choice>
          <mc:Fallback>
            <w:pict>
              <v:group w14:anchorId="3795ECFC" id="Group 20" o:spid="_x0000_s1027" style="position:absolute;margin-left:49.85pt;margin-top:9.25pt;width:404.1pt;height:169.05pt;z-index:251653120;mso-width-relative:margin;mso-height-relative:margin" coordsize="50304,174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">
                <v:roundrect id="Rounded Rectangle 2" o:spid="_x0000_s1028" style="position:absolute;width:9583;height:23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" fillcolor="#dae3f3" strokecolor="#2f528f" strokeweight="1pt">
                  <v:stroke joinstyle="miter"/>
                  <v:textbox>
                    <w:txbxContent>
                      <w:p w14:paraId="0160D88A" w14:textId="77777777" w:rsidR="00D04006" w:rsidRPr="00D04006" w:rsidRDefault="00D04006" w:rsidP="00D04006">
                        <w:pPr>
                          <w:jc w:val="center"/>
                          <w:rPr>
                            <w:sz w:val="18"/>
                            <w:szCs w:val="18"/>
                          </w:rPr>
                        </w:pPr>
                        <w:r w:rsidRPr="00D04006">
                          <w:rPr>
                            <w:rFonts w:hAnsi="Calibri"/>
                            <w:color w:val="000000"/>
                            <w:kern w:val="24"/>
                            <w:sz w:val="18"/>
                            <w:szCs w:val="18"/>
                          </w:rPr>
                          <w:t>Hospital 1</w:t>
                        </w:r>
                      </w:p>
                    </w:txbxContent>
                  </v:textbox>
                </v:roundrect>
                <v:roundrect id="Rounded Rectangle 3" o:spid="_x0000_s1029" style="position:absolute;left:14194;width:9583;height:23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" fillcolor="#dae3f3" strokecolor="#2f528f" strokeweight="1pt">
                  <v:stroke joinstyle="miter"/>
                  <v:textbox>
                    <w:txbxContent>
                      <w:p w14:paraId="7B5FC513" w14:textId="77777777" w:rsidR="00D04006" w:rsidRPr="00D04006" w:rsidRDefault="00D04006" w:rsidP="00D04006">
                        <w:pPr>
                          <w:jc w:val="center"/>
                          <w:rPr>
                            <w:sz w:val="18"/>
                            <w:szCs w:val="18"/>
                          </w:rPr>
                        </w:pPr>
                        <w:r w:rsidRPr="00D04006">
                          <w:rPr>
                            <w:rFonts w:hAnsi="Calibri"/>
                            <w:color w:val="000000"/>
                            <w:kern w:val="24"/>
                            <w:sz w:val="18"/>
                            <w:szCs w:val="18"/>
                          </w:rPr>
                          <w:t>Hospital 2</w:t>
                        </w:r>
                      </w:p>
                    </w:txbxContent>
                  </v:textbox>
                </v:roundrect>
                <v:roundrect id="Rounded Rectangle 4" o:spid="_x0000_s1030" style="position:absolute;left:28183;top:51;width:9583;height:23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" fillcolor="#dae3f3" strokecolor="#2f528f" strokeweight="1pt">
                  <v:stroke joinstyle="miter"/>
                  <v:textbox>
                    <w:txbxContent>
                      <w:p w14:paraId="24186AC8" w14:textId="77777777" w:rsidR="00D04006" w:rsidRPr="00D04006" w:rsidRDefault="00D04006" w:rsidP="00D04006">
                        <w:pPr>
                          <w:jc w:val="center"/>
                          <w:rPr>
                            <w:sz w:val="18"/>
                            <w:szCs w:val="18"/>
                          </w:rPr>
                        </w:pPr>
                        <w:r w:rsidRPr="00D04006">
                          <w:rPr>
                            <w:rFonts w:hAnsi="Calibri"/>
                            <w:color w:val="000000"/>
                            <w:kern w:val="24"/>
                            <w:sz w:val="18"/>
                            <w:szCs w:val="18"/>
                          </w:rPr>
                          <w:t>Hospital 3</w:t>
                        </w:r>
                      </w:p>
                    </w:txbxContent>
                  </v:textbox>
                </v:roundrect>
                <v:roundrect id="Rounded Rectangle 5" o:spid="_x0000_s1031" style="position:absolute;left:39827;top:7942;width:10477;height:58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" fillcolor="#8faadc" strokecolor="#2f528f" strokeweight="1pt">
                  <v:stroke joinstyle="miter"/>
                  <v:textbox>
                    <w:txbxContent>
                      <w:p w14:paraId="57C549DB" w14:textId="77777777" w:rsidR="00D04006" w:rsidRPr="00D04006" w:rsidRDefault="00D04006" w:rsidP="00D04006">
                        <w:pPr>
                          <w:jc w:val="center"/>
                          <w:rPr>
                            <w:sz w:val="22"/>
                            <w:szCs w:val="22"/>
                          </w:rPr>
                        </w:pPr>
                        <w:r w:rsidRPr="00D04006">
                          <w:rPr>
                            <w:rFonts w:hAnsi="Calibri"/>
                            <w:color w:val="000000"/>
                            <w:kern w:val="24"/>
                            <w:sz w:val="22"/>
                            <w:szCs w:val="22"/>
                          </w:rPr>
                          <w:t>CDC</w:t>
                        </w:r>
                      </w:p>
                    </w:txbxContent>
                  </v:textbox>
                </v:roundrect>
                <v:roundrect id="Rounded Rectangle 6" o:spid="_x0000_s1032" style="position:absolute;left:2344;top:8270;width:16545;height:369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" fillcolor="#b4c7e7" strokecolor="#2f528f" strokeweight="1pt">
                  <v:stroke joinstyle="miter"/>
                  <v:textbox>
                    <w:txbxContent>
                      <w:p w14:paraId="46AF302C" w14:textId="77777777" w:rsidR="00D04006" w:rsidRPr="00D04006" w:rsidRDefault="00D04006" w:rsidP="00D04006">
                        <w:pPr>
                          <w:jc w:val="center"/>
                          <w:rPr>
                            <w:sz w:val="20"/>
                            <w:szCs w:val="20"/>
                          </w:rPr>
                        </w:pPr>
                        <w:r w:rsidRPr="00D04006">
                          <w:rPr>
                            <w:rFonts w:hAnsi="Calibri"/>
                            <w:color w:val="000000"/>
                            <w:kern w:val="24"/>
                            <w:sz w:val="20"/>
                            <w:szCs w:val="20"/>
                          </w:rPr>
                          <w:t>Local Health Department</w:t>
                        </w:r>
                      </w:p>
                    </w:txbxContent>
                  </v:textbox>
                </v:roundrect>
                <v:roundrect id="Rounded Rectangle 7" o:spid="_x0000_s1033" style="position:absolute;left:2346;top:13756;width:16545;height:369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" fillcolor="#b4c7e7" strokecolor="#2f528f" strokeweight="1pt">
                  <v:stroke joinstyle="miter"/>
                  <v:textbox>
                    <w:txbxContent>
                      <w:p w14:paraId="49D7EB1D" w14:textId="77777777" w:rsidR="00D04006" w:rsidRPr="00D04006" w:rsidRDefault="00D04006" w:rsidP="00D04006">
                        <w:pPr>
                          <w:jc w:val="center"/>
                          <w:rPr>
                            <w:sz w:val="20"/>
                            <w:szCs w:val="20"/>
                          </w:rPr>
                        </w:pPr>
                        <w:r w:rsidRPr="00D04006">
                          <w:rPr>
                            <w:rFonts w:hAnsi="Calibri"/>
                            <w:color w:val="000000"/>
                            <w:kern w:val="24"/>
                            <w:sz w:val="20"/>
                            <w:szCs w:val="20"/>
                          </w:rPr>
                          <w:t>State Health Department</w:t>
                        </w:r>
                      </w:p>
                    </w:txbxContent>
                  </v:textbox>
                </v:roundrect>
              </v:group>
            </w:pict>
          </mc:Fallback>
        </mc:AlternateContent>
      </w:r>
      <w:r w:rsidRPr="00D04006">
        <w:rPr>
          <w:rFonts w:asciiTheme="minorHAnsi" w:hAnsiTheme="minorHAnsi" w:cs="Arial"/>
          <w:color w:val="333333"/>
          <w:sz w:val="22"/>
          <w:szCs w:val="22"/>
        </w:rPr>
        <w:t xml:space="preserve">   </w:t>
      </w:r>
    </w:p>
    <w:p w14:paraId="45EE68B1" w14:textId="06FAD37B" w:rsidR="00D04006" w:rsidRDefault="00C66532" w:rsidP="00901065">
      <w:pPr>
        <w:pStyle w:val="Heading2"/>
        <w:shd w:val="clear" w:color="auto" w:fill="FFFFFF"/>
        <w:spacing w:after="0" w:afterAutospacing="0" w:line="276" w:lineRule="auto"/>
        <w:rPr>
          <w:rFonts w:asciiTheme="minorHAnsi" w:hAnsiTheme="minorHAnsi" w:cs="Arial"/>
          <w:b w:val="0"/>
          <w:bCs w:val="0"/>
          <w:color w:val="005493"/>
          <w:sz w:val="24"/>
          <w:szCs w:val="24"/>
        </w:rPr>
      </w:pPr>
      <w:r w:rsidRPr="00D04006">
        <w:rPr>
          <w:rFonts w:asciiTheme="minorHAnsi" w:hAnsiTheme="minorHAnsi" w:cs="Arial"/>
          <w:noProof/>
          <w:color w:val="333333"/>
          <w:sz w:val="22"/>
          <w:szCs w:val="22"/>
        </w:rPr>
        <mc:AlternateContent>
          <mc:Choice Requires="wps">
            <w:drawing>
              <wp:anchor distT="0" distB="0" distL="114300" distR="114300" simplePos="0" relativeHeight="251655168" behindDoc="0" locked="0" layoutInCell="1" allowOverlap="1" wp14:anchorId="2EFD9253" wp14:editId="6A2B429C">
                <wp:simplePos x="0" y="0"/>
                <wp:positionH relativeFrom="column">
                  <wp:posOffset>1129079</wp:posOffset>
                </wp:positionH>
                <wp:positionV relativeFrom="paragraph">
                  <wp:posOffset>37465</wp:posOffset>
                </wp:positionV>
                <wp:extent cx="3569970" cy="1217581"/>
                <wp:effectExtent l="0" t="0" r="49530" b="52705"/>
                <wp:wrapNone/>
                <wp:docPr id="13" name="Straight Arrow Connector 12">
                  <a:extLst xmlns:a="http://schemas.openxmlformats.org/drawingml/2006/main">
                    <a:ext uri="{FF2B5EF4-FFF2-40B4-BE49-F238E27FC236}">
                      <a16:creationId xmlns:a16="http://schemas.microsoft.com/office/drawing/2014/main" id="{FFFE1BC8-9847-B341-AAF1-F99D454E862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69970" cy="121758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FB6CA19" id="_x0000_t32" coordsize="21600,21600" o:spt="32" o:oned="t" path="m,l21600,21600e" filled="f">
                <v:path arrowok="t" fillok="f" o:connecttype="none"/>
                <o:lock v:ext="edit" shapetype="t"/>
              </v:shapetype>
              <v:shape id="Straight Arrow Connector 12" o:spid="_x0000_s1026" type="#_x0000_t32" style="position:absolute;margin-left:88.9pt;margin-top:2.95pt;width:281.1pt;height:95.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" strokecolor="#4472c4 [3204]" strokeweight=".5pt">
                <v:stroke endarrow="block" joinstyle="miter"/>
                <o:lock v:ext="edit" shapetype="f"/>
              </v:shape>
            </w:pict>
          </mc:Fallback>
        </mc:AlternateContent>
      </w:r>
      <w:r w:rsidRPr="00D04006">
        <w:rPr>
          <w:rFonts w:asciiTheme="minorHAnsi" w:hAnsiTheme="minorHAnsi" w:cs="Arial"/>
          <w:noProof/>
          <w:color w:val="333333"/>
          <w:sz w:val="22"/>
          <w:szCs w:val="22"/>
        </w:rPr>
        <mc:AlternateContent>
          <mc:Choice Requires="wps">
            <w:drawing>
              <wp:anchor distT="0" distB="0" distL="114300" distR="114300" simplePos="0" relativeHeight="251657216" behindDoc="0" locked="0" layoutInCell="1" allowOverlap="1" wp14:anchorId="7BA6525A" wp14:editId="11583360">
                <wp:simplePos x="0" y="0"/>
                <wp:positionH relativeFrom="column">
                  <wp:posOffset>2563596</wp:posOffset>
                </wp:positionH>
                <wp:positionV relativeFrom="paragraph">
                  <wp:posOffset>38149</wp:posOffset>
                </wp:positionV>
                <wp:extent cx="2135505" cy="1068959"/>
                <wp:effectExtent l="0" t="0" r="36195" b="36195"/>
                <wp:wrapNone/>
                <wp:docPr id="8"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35505" cy="106895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B076C2A" id="Straight Arrow Connector 12" o:spid="_x0000_s1026" type="#_x0000_t32" style="position:absolute;margin-left:201.85pt;margin-top:3pt;width:168.15pt;height:84.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" strokecolor="#4472c4 [3204]" strokeweight=".5pt">
                <v:stroke endarrow="block" joinstyle="miter"/>
                <o:lock v:ext="edit" shapetype="f"/>
              </v:shape>
            </w:pict>
          </mc:Fallback>
        </mc:AlternateContent>
      </w:r>
      <w:r w:rsidRPr="00D04006">
        <w:rPr>
          <w:rFonts w:asciiTheme="minorHAnsi" w:hAnsiTheme="minorHAnsi" w:cs="Arial"/>
          <w:noProof/>
          <w:color w:val="333333"/>
          <w:sz w:val="22"/>
          <w:szCs w:val="22"/>
        </w:rPr>
        <mc:AlternateContent>
          <mc:Choice Requires="wps">
            <w:drawing>
              <wp:anchor distT="0" distB="0" distL="114300" distR="114300" simplePos="0" relativeHeight="251659264" behindDoc="0" locked="0" layoutInCell="1" allowOverlap="1" wp14:anchorId="00E64B9D" wp14:editId="30D52795">
                <wp:simplePos x="0" y="0"/>
                <wp:positionH relativeFrom="column">
                  <wp:posOffset>3984317</wp:posOffset>
                </wp:positionH>
                <wp:positionV relativeFrom="paragraph">
                  <wp:posOffset>38149</wp:posOffset>
                </wp:positionV>
                <wp:extent cx="715010" cy="920946"/>
                <wp:effectExtent l="0" t="0" r="46990" b="31750"/>
                <wp:wrapNone/>
                <wp:docPr id="9"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15010" cy="92094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9880E2C" id="Straight Arrow Connector 12" o:spid="_x0000_s1026" type="#_x0000_t32" style="position:absolute;margin-left:313.75pt;margin-top:3pt;width:56.3pt;height: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" strokecolor="#4472c4 [3204]" strokeweight=".5pt">
                <v:stroke endarrow="block" joinstyle="miter"/>
                <o:lock v:ext="edit" shapetype="f"/>
              </v:shape>
            </w:pict>
          </mc:Fallback>
        </mc:AlternateContent>
      </w:r>
    </w:p>
    <w:p w14:paraId="50C91F15" w14:textId="71966204" w:rsidR="00D04006" w:rsidRDefault="00D04006" w:rsidP="00901065">
      <w:pPr>
        <w:pStyle w:val="Heading2"/>
        <w:shd w:val="clear" w:color="auto" w:fill="FFFFFF"/>
        <w:spacing w:after="0" w:afterAutospacing="0" w:line="276" w:lineRule="auto"/>
        <w:rPr>
          <w:rFonts w:asciiTheme="minorHAnsi" w:hAnsiTheme="minorHAnsi" w:cs="Arial"/>
          <w:b w:val="0"/>
          <w:bCs w:val="0"/>
          <w:color w:val="005493"/>
          <w:sz w:val="24"/>
          <w:szCs w:val="24"/>
        </w:rPr>
      </w:pPr>
    </w:p>
    <w:p w14:paraId="59AED19C" w14:textId="7CE37D5E" w:rsidR="00D04006" w:rsidRDefault="00D04006" w:rsidP="00901065">
      <w:pPr>
        <w:pStyle w:val="Heading2"/>
        <w:shd w:val="clear" w:color="auto" w:fill="FFFFFF"/>
        <w:spacing w:after="0" w:afterAutospacing="0" w:line="276" w:lineRule="auto"/>
        <w:rPr>
          <w:rFonts w:asciiTheme="minorHAnsi" w:hAnsiTheme="minorHAnsi" w:cs="Arial"/>
          <w:b w:val="0"/>
          <w:bCs w:val="0"/>
          <w:color w:val="005493"/>
          <w:sz w:val="24"/>
          <w:szCs w:val="24"/>
        </w:rPr>
      </w:pPr>
    </w:p>
    <w:p w14:paraId="44CD37B9" w14:textId="77777777" w:rsidR="00D04006" w:rsidRDefault="00D04006" w:rsidP="00901065">
      <w:pPr>
        <w:pStyle w:val="Heading2"/>
        <w:shd w:val="clear" w:color="auto" w:fill="FFFFFF"/>
        <w:spacing w:after="0" w:afterAutospacing="0" w:line="276" w:lineRule="auto"/>
        <w:rPr>
          <w:rFonts w:asciiTheme="minorHAnsi" w:hAnsiTheme="minorHAnsi" w:cs="Arial"/>
          <w:b w:val="0"/>
          <w:bCs w:val="0"/>
          <w:color w:val="005493"/>
          <w:sz w:val="24"/>
          <w:szCs w:val="24"/>
        </w:rPr>
      </w:pPr>
    </w:p>
    <w:p w14:paraId="0E36B596" w14:textId="77777777" w:rsidR="00D04006" w:rsidRDefault="00D04006" w:rsidP="00901065">
      <w:pPr>
        <w:pStyle w:val="Heading2"/>
        <w:shd w:val="clear" w:color="auto" w:fill="FFFFFF"/>
        <w:spacing w:after="0" w:afterAutospacing="0" w:line="276" w:lineRule="auto"/>
        <w:rPr>
          <w:rFonts w:asciiTheme="minorHAnsi" w:hAnsiTheme="minorHAnsi" w:cs="Arial"/>
          <w:b w:val="0"/>
          <w:bCs w:val="0"/>
          <w:color w:val="005493"/>
          <w:sz w:val="24"/>
          <w:szCs w:val="24"/>
        </w:rPr>
      </w:pPr>
    </w:p>
    <w:p w14:paraId="40FCDA3B" w14:textId="77777777" w:rsidR="00D04006" w:rsidRDefault="00D04006" w:rsidP="00901065">
      <w:pPr>
        <w:pStyle w:val="Heading2"/>
        <w:shd w:val="clear" w:color="auto" w:fill="FFFFFF"/>
        <w:spacing w:after="0" w:afterAutospacing="0" w:line="276" w:lineRule="auto"/>
        <w:rPr>
          <w:rFonts w:asciiTheme="minorHAnsi" w:hAnsiTheme="minorHAnsi" w:cs="Arial"/>
          <w:b w:val="0"/>
          <w:bCs w:val="0"/>
          <w:color w:val="005493"/>
          <w:sz w:val="24"/>
          <w:szCs w:val="24"/>
        </w:rPr>
      </w:pPr>
    </w:p>
    <w:p w14:paraId="214DBEFD" w14:textId="3BF4FF8F" w:rsidR="00901065" w:rsidRDefault="00DC70D6" w:rsidP="00901065">
      <w:pPr>
        <w:pStyle w:val="Heading2"/>
        <w:shd w:val="clear" w:color="auto" w:fill="FFFFFF"/>
        <w:spacing w:after="0" w:afterAutospacing="0" w:line="276" w:lineRule="auto"/>
        <w:rPr>
          <w:rFonts w:asciiTheme="minorHAnsi" w:hAnsiTheme="minorHAnsi" w:cs="Arial"/>
          <w:b w:val="0"/>
          <w:bCs w:val="0"/>
          <w:color w:val="005493"/>
          <w:sz w:val="24"/>
          <w:szCs w:val="24"/>
        </w:rPr>
      </w:pPr>
      <w:r w:rsidRPr="000C265F">
        <w:rPr>
          <w:rFonts w:asciiTheme="minorHAnsi" w:hAnsiTheme="minorHAnsi" w:cs="Arial"/>
          <w:b w:val="0"/>
          <w:bCs w:val="0"/>
          <w:color w:val="005493"/>
          <w:sz w:val="24"/>
          <w:szCs w:val="24"/>
        </w:rPr>
        <w:t>BioSense 2.0</w:t>
      </w:r>
    </w:p>
    <w:p w14:paraId="3FA93B71" w14:textId="26E559A7" w:rsidR="00807A11" w:rsidRDefault="00DC70D6" w:rsidP="00307B36">
      <w:pPr>
        <w:pStyle w:val="Heading2"/>
        <w:shd w:val="clear" w:color="auto" w:fill="FFFFFF"/>
        <w:spacing w:before="0" w:beforeAutospacing="0" w:after="0" w:afterAutospacing="0" w:line="276" w:lineRule="auto"/>
        <w:rPr>
          <w:rFonts w:asciiTheme="minorHAnsi" w:hAnsiTheme="minorHAnsi" w:cs="Arial"/>
          <w:color w:val="333333"/>
          <w:sz w:val="22"/>
          <w:szCs w:val="22"/>
        </w:rPr>
      </w:pPr>
      <w:r w:rsidRPr="00901065">
        <w:rPr>
          <w:rFonts w:asciiTheme="minorHAnsi" w:hAnsiTheme="minorHAnsi" w:cs="Arial"/>
          <w:b w:val="0"/>
          <w:bCs w:val="0"/>
          <w:color w:val="333333"/>
          <w:sz w:val="22"/>
          <w:szCs w:val="22"/>
        </w:rPr>
        <w:t>From 2008 to 201</w:t>
      </w:r>
      <w:r w:rsidR="00CC0430" w:rsidRPr="00901065">
        <w:rPr>
          <w:rFonts w:asciiTheme="minorHAnsi" w:hAnsiTheme="minorHAnsi" w:cs="Arial"/>
          <w:b w:val="0"/>
          <w:bCs w:val="0"/>
          <w:color w:val="333333"/>
          <w:sz w:val="22"/>
          <w:szCs w:val="22"/>
        </w:rPr>
        <w:t>4</w:t>
      </w:r>
      <w:r w:rsidRPr="00901065">
        <w:rPr>
          <w:rFonts w:asciiTheme="minorHAnsi" w:hAnsiTheme="minorHAnsi" w:cs="Arial"/>
          <w:b w:val="0"/>
          <w:bCs w:val="0"/>
          <w:color w:val="333333"/>
          <w:sz w:val="22"/>
          <w:szCs w:val="22"/>
        </w:rPr>
        <w:t xml:space="preserve">, BioSense underwent </w:t>
      </w:r>
      <w:r w:rsidR="00CC0430" w:rsidRPr="00901065">
        <w:rPr>
          <w:rFonts w:asciiTheme="minorHAnsi" w:hAnsiTheme="minorHAnsi" w:cs="Arial"/>
          <w:b w:val="0"/>
          <w:bCs w:val="0"/>
          <w:color w:val="333333"/>
          <w:sz w:val="22"/>
          <w:szCs w:val="22"/>
        </w:rPr>
        <w:t xml:space="preserve">a </w:t>
      </w:r>
      <w:r w:rsidRPr="00901065">
        <w:rPr>
          <w:rFonts w:asciiTheme="minorHAnsi" w:hAnsiTheme="minorHAnsi" w:cs="Arial"/>
          <w:b w:val="0"/>
          <w:bCs w:val="0"/>
          <w:color w:val="333333"/>
          <w:sz w:val="22"/>
          <w:szCs w:val="22"/>
        </w:rPr>
        <w:t xml:space="preserve">major </w:t>
      </w:r>
      <w:r w:rsidR="00CC0430" w:rsidRPr="00901065">
        <w:rPr>
          <w:rFonts w:asciiTheme="minorHAnsi" w:hAnsiTheme="minorHAnsi" w:cs="Arial"/>
          <w:b w:val="0"/>
          <w:bCs w:val="0"/>
          <w:color w:val="333333"/>
          <w:sz w:val="22"/>
          <w:szCs w:val="22"/>
        </w:rPr>
        <w:t>redesign</w:t>
      </w:r>
      <w:r w:rsidRPr="00901065">
        <w:rPr>
          <w:rFonts w:asciiTheme="minorHAnsi" w:hAnsiTheme="minorHAnsi" w:cs="Arial"/>
          <w:b w:val="0"/>
          <w:bCs w:val="0"/>
          <w:color w:val="333333"/>
          <w:sz w:val="22"/>
          <w:szCs w:val="22"/>
        </w:rPr>
        <w:t xml:space="preserve"> in response to these concerns of Congress and state and local health officials</w:t>
      </w:r>
      <w:r w:rsidR="00AF329D">
        <w:rPr>
          <w:rFonts w:asciiTheme="minorHAnsi" w:hAnsiTheme="minorHAnsi" w:cs="Arial"/>
          <w:b w:val="0"/>
          <w:bCs w:val="0"/>
          <w:color w:val="333333"/>
          <w:sz w:val="22"/>
          <w:szCs w:val="22"/>
        </w:rPr>
        <w:t xml:space="preserve"> [</w:t>
      </w:r>
      <w:r w:rsidR="00063894">
        <w:rPr>
          <w:rFonts w:asciiTheme="minorHAnsi" w:hAnsiTheme="minorHAnsi" w:cs="Arial"/>
          <w:b w:val="0"/>
          <w:bCs w:val="0"/>
          <w:color w:val="333333"/>
          <w:sz w:val="22"/>
          <w:szCs w:val="22"/>
        </w:rPr>
        <w:t>5-9</w:t>
      </w:r>
      <w:r w:rsidR="00AF329D">
        <w:rPr>
          <w:rFonts w:asciiTheme="minorHAnsi" w:hAnsiTheme="minorHAnsi" w:cs="Arial"/>
          <w:b w:val="0"/>
          <w:bCs w:val="0"/>
          <w:color w:val="333333"/>
          <w:sz w:val="22"/>
          <w:szCs w:val="22"/>
        </w:rPr>
        <w:t>].</w:t>
      </w:r>
      <w:r w:rsidRPr="00901065">
        <w:rPr>
          <w:rFonts w:asciiTheme="minorHAnsi" w:hAnsiTheme="minorHAnsi" w:cs="Arial"/>
          <w:b w:val="0"/>
          <w:bCs w:val="0"/>
          <w:color w:val="333333"/>
          <w:sz w:val="22"/>
          <w:szCs w:val="22"/>
        </w:rPr>
        <w:t xml:space="preserve"> In 2008, CDC developed a </w:t>
      </w:r>
      <w:r w:rsidR="00CC0430" w:rsidRPr="00901065">
        <w:rPr>
          <w:rFonts w:asciiTheme="minorHAnsi" w:hAnsiTheme="minorHAnsi" w:cs="Arial"/>
          <w:b w:val="0"/>
          <w:bCs w:val="0"/>
          <w:color w:val="333333"/>
          <w:sz w:val="22"/>
          <w:szCs w:val="22"/>
        </w:rPr>
        <w:t>5</w:t>
      </w:r>
      <w:r w:rsidRPr="00901065">
        <w:rPr>
          <w:rFonts w:asciiTheme="minorHAnsi" w:hAnsiTheme="minorHAnsi" w:cs="Arial"/>
          <w:b w:val="0"/>
          <w:bCs w:val="0"/>
          <w:color w:val="333333"/>
          <w:sz w:val="22"/>
          <w:szCs w:val="22"/>
        </w:rPr>
        <w:t xml:space="preserve">-year plan to redesign BioSense. In 2010, CDC </w:t>
      </w:r>
      <w:r w:rsidR="00CC0430" w:rsidRPr="00901065">
        <w:rPr>
          <w:rFonts w:asciiTheme="minorHAnsi" w:hAnsiTheme="minorHAnsi" w:cs="Arial"/>
          <w:b w:val="0"/>
          <w:bCs w:val="0"/>
          <w:color w:val="333333"/>
          <w:sz w:val="22"/>
          <w:szCs w:val="22"/>
        </w:rPr>
        <w:t>issued a contract to RTI International</w:t>
      </w:r>
      <w:r w:rsidR="008A1F68">
        <w:rPr>
          <w:rFonts w:asciiTheme="minorHAnsi" w:hAnsiTheme="minorHAnsi" w:cs="Arial"/>
          <w:b w:val="0"/>
          <w:bCs w:val="0"/>
          <w:color w:val="333333"/>
          <w:sz w:val="22"/>
          <w:szCs w:val="22"/>
        </w:rPr>
        <w:t>, a non-profit contract research organization,</w:t>
      </w:r>
      <w:r w:rsidR="00CC0430" w:rsidRPr="00901065">
        <w:rPr>
          <w:rFonts w:asciiTheme="minorHAnsi" w:hAnsiTheme="minorHAnsi" w:cs="Arial"/>
          <w:b w:val="0"/>
          <w:bCs w:val="0"/>
          <w:color w:val="333333"/>
          <w:sz w:val="22"/>
          <w:szCs w:val="22"/>
        </w:rPr>
        <w:t xml:space="preserve"> who </w:t>
      </w:r>
      <w:r w:rsidRPr="00901065">
        <w:rPr>
          <w:rFonts w:asciiTheme="minorHAnsi" w:hAnsiTheme="minorHAnsi" w:cs="Arial"/>
          <w:b w:val="0"/>
          <w:bCs w:val="0"/>
          <w:color w:val="333333"/>
          <w:sz w:val="22"/>
          <w:szCs w:val="22"/>
        </w:rPr>
        <w:t xml:space="preserve">began working collaboratively with stakeholders to develop a more user-friendly, </w:t>
      </w:r>
      <w:r w:rsidR="00CC0430" w:rsidRPr="00901065">
        <w:rPr>
          <w:rFonts w:asciiTheme="minorHAnsi" w:hAnsiTheme="minorHAnsi" w:cs="Arial"/>
          <w:b w:val="0"/>
          <w:bCs w:val="0"/>
          <w:color w:val="333333"/>
          <w:sz w:val="22"/>
          <w:szCs w:val="22"/>
        </w:rPr>
        <w:t>community-driven</w:t>
      </w:r>
      <w:r w:rsidRPr="00901065">
        <w:rPr>
          <w:rFonts w:asciiTheme="minorHAnsi" w:hAnsiTheme="minorHAnsi" w:cs="Arial"/>
          <w:b w:val="0"/>
          <w:bCs w:val="0"/>
          <w:color w:val="333333"/>
          <w:sz w:val="22"/>
          <w:szCs w:val="22"/>
        </w:rPr>
        <w:t xml:space="preserve"> system.</w:t>
      </w:r>
      <w:r w:rsidR="00307B36">
        <w:rPr>
          <w:rFonts w:asciiTheme="minorHAnsi" w:hAnsiTheme="minorHAnsi" w:cs="Arial"/>
          <w:b w:val="0"/>
          <w:bCs w:val="0"/>
          <w:color w:val="333333"/>
          <w:sz w:val="22"/>
          <w:szCs w:val="22"/>
        </w:rPr>
        <w:t xml:space="preserve"> Initially, the redesign team was met with resistance on the part of stakeholders to participate in the redesign effort. Stakeholders expressed doubts that the redesign would result in a system that would be more useful to public health agencies. They had participated in prior efforts promising to address stakeholder complaints about the system but had been disappointed in the results and were not willing to readily trust in the redesign effort.</w:t>
      </w:r>
      <w:r w:rsidRPr="00901065">
        <w:rPr>
          <w:rFonts w:asciiTheme="minorHAnsi" w:hAnsiTheme="minorHAnsi" w:cs="Arial"/>
          <w:b w:val="0"/>
          <w:bCs w:val="0"/>
          <w:color w:val="333333"/>
          <w:sz w:val="22"/>
          <w:szCs w:val="22"/>
        </w:rPr>
        <w:t xml:space="preserve"> </w:t>
      </w:r>
    </w:p>
    <w:p w14:paraId="11B30FDC" w14:textId="7E48FAC7" w:rsidR="00C80D12" w:rsidRDefault="00307B36" w:rsidP="00C80D12">
      <w:pPr>
        <w:pStyle w:val="NormalWeb"/>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Anticipating this reluctance to engage in the redesign on the part of the stakeholder community, t</w:t>
      </w:r>
      <w:r w:rsidR="00342B4B">
        <w:rPr>
          <w:rFonts w:asciiTheme="minorHAnsi" w:hAnsiTheme="minorHAnsi" w:cs="Arial"/>
          <w:color w:val="333333"/>
          <w:sz w:val="22"/>
          <w:szCs w:val="22"/>
        </w:rPr>
        <w:t>he redesign</w:t>
      </w:r>
      <w:r>
        <w:rPr>
          <w:rFonts w:asciiTheme="minorHAnsi" w:hAnsiTheme="minorHAnsi" w:cs="Arial"/>
          <w:color w:val="333333"/>
          <w:sz w:val="22"/>
          <w:szCs w:val="22"/>
        </w:rPr>
        <w:t xml:space="preserve"> team had planned an approach to overcome this hurdle. </w:t>
      </w:r>
      <w:r w:rsidR="004919FD">
        <w:rPr>
          <w:rFonts w:asciiTheme="minorHAnsi" w:hAnsiTheme="minorHAnsi" w:cs="Arial"/>
          <w:color w:val="333333"/>
          <w:sz w:val="22"/>
          <w:szCs w:val="22"/>
        </w:rPr>
        <w:t xml:space="preserve">At first, the redesign team just listened to the stakeholders’ complaints and concerns, giving them the opportunity to express their frustration and difficultly in trusting again in a process that had delivered failed results in the past. The team also laid out how this effort was designed to be very different than the prior efforts. This time, the redesign would be </w:t>
      </w:r>
      <w:r w:rsidR="00342B4B">
        <w:rPr>
          <w:rFonts w:asciiTheme="minorHAnsi" w:hAnsiTheme="minorHAnsi" w:cs="Arial"/>
          <w:color w:val="333333"/>
          <w:sz w:val="22"/>
          <w:szCs w:val="22"/>
        </w:rPr>
        <w:t xml:space="preserve">characterized by early, continual, and indispensable stakeholder </w:t>
      </w:r>
      <w:r w:rsidR="00952291">
        <w:rPr>
          <w:rFonts w:asciiTheme="minorHAnsi" w:hAnsiTheme="minorHAnsi" w:cs="Arial"/>
          <w:color w:val="333333"/>
          <w:sz w:val="22"/>
          <w:szCs w:val="22"/>
        </w:rPr>
        <w:t>engagement</w:t>
      </w:r>
      <w:r w:rsidR="00342B4B">
        <w:rPr>
          <w:rFonts w:asciiTheme="minorHAnsi" w:hAnsiTheme="minorHAnsi" w:cs="Arial"/>
          <w:color w:val="333333"/>
          <w:sz w:val="22"/>
          <w:szCs w:val="22"/>
        </w:rPr>
        <w:t xml:space="preserve">.  </w:t>
      </w:r>
      <w:r w:rsidR="00DC70D6" w:rsidRPr="00DC70D6">
        <w:rPr>
          <w:rFonts w:asciiTheme="minorHAnsi" w:hAnsiTheme="minorHAnsi" w:cs="Arial"/>
          <w:color w:val="333333"/>
          <w:sz w:val="22"/>
          <w:szCs w:val="22"/>
        </w:rPr>
        <w:t xml:space="preserve">A </w:t>
      </w:r>
      <w:r w:rsidR="00952291">
        <w:rPr>
          <w:rFonts w:asciiTheme="minorHAnsi" w:hAnsiTheme="minorHAnsi" w:cs="Arial"/>
          <w:color w:val="333333"/>
          <w:sz w:val="22"/>
          <w:szCs w:val="22"/>
        </w:rPr>
        <w:t>fundamental approach</w:t>
      </w:r>
      <w:r w:rsidR="00DC70D6" w:rsidRPr="00DC70D6">
        <w:rPr>
          <w:rFonts w:asciiTheme="minorHAnsi" w:hAnsiTheme="minorHAnsi" w:cs="Arial"/>
          <w:color w:val="333333"/>
          <w:sz w:val="22"/>
          <w:szCs w:val="22"/>
        </w:rPr>
        <w:t xml:space="preserve"> of the redesign process </w:t>
      </w:r>
      <w:r w:rsidR="004919FD">
        <w:rPr>
          <w:rFonts w:asciiTheme="minorHAnsi" w:hAnsiTheme="minorHAnsi" w:cs="Arial"/>
          <w:color w:val="333333"/>
          <w:sz w:val="22"/>
          <w:szCs w:val="22"/>
        </w:rPr>
        <w:t xml:space="preserve">was </w:t>
      </w:r>
      <w:r w:rsidR="00D94E2C">
        <w:rPr>
          <w:rFonts w:asciiTheme="minorHAnsi" w:hAnsiTheme="minorHAnsi" w:cs="Arial"/>
          <w:color w:val="333333"/>
          <w:sz w:val="22"/>
          <w:szCs w:val="22"/>
        </w:rPr>
        <w:lastRenderedPageBreak/>
        <w:t xml:space="preserve">based in change management theory and user-centered design </w:t>
      </w:r>
      <w:r w:rsidR="004919FD">
        <w:rPr>
          <w:rFonts w:asciiTheme="minorHAnsi" w:hAnsiTheme="minorHAnsi" w:cs="Arial"/>
          <w:color w:val="333333"/>
          <w:sz w:val="22"/>
          <w:szCs w:val="22"/>
        </w:rPr>
        <w:t>and was centered around</w:t>
      </w:r>
      <w:r w:rsidR="00DC70D6" w:rsidRPr="00DC70D6">
        <w:rPr>
          <w:rFonts w:asciiTheme="minorHAnsi" w:hAnsiTheme="minorHAnsi" w:cs="Arial"/>
          <w:color w:val="333333"/>
          <w:sz w:val="22"/>
          <w:szCs w:val="22"/>
        </w:rPr>
        <w:t xml:space="preserve"> providing </w:t>
      </w:r>
      <w:r w:rsidR="00952291">
        <w:rPr>
          <w:rFonts w:asciiTheme="minorHAnsi" w:hAnsiTheme="minorHAnsi" w:cs="Arial"/>
          <w:color w:val="333333"/>
          <w:sz w:val="22"/>
          <w:szCs w:val="22"/>
        </w:rPr>
        <w:t>opportunities</w:t>
      </w:r>
      <w:r w:rsidR="00DC70D6" w:rsidRPr="00DC70D6">
        <w:rPr>
          <w:rFonts w:asciiTheme="minorHAnsi" w:hAnsiTheme="minorHAnsi" w:cs="Arial"/>
          <w:color w:val="333333"/>
          <w:sz w:val="22"/>
          <w:szCs w:val="22"/>
        </w:rPr>
        <w:t xml:space="preserve"> for stakeholder involvement, including </w:t>
      </w:r>
      <w:r w:rsidR="00F44955">
        <w:rPr>
          <w:rFonts w:asciiTheme="minorHAnsi" w:hAnsiTheme="minorHAnsi" w:cs="Arial"/>
          <w:color w:val="333333"/>
          <w:sz w:val="22"/>
          <w:szCs w:val="22"/>
        </w:rPr>
        <w:t>the following:</w:t>
      </w:r>
    </w:p>
    <w:p w14:paraId="64A45877" w14:textId="63E92DF6" w:rsidR="00F44955" w:rsidRDefault="00967349" w:rsidP="00C80D12">
      <w:pPr>
        <w:pStyle w:val="NormalWeb"/>
        <w:numPr>
          <w:ilvl w:val="0"/>
          <w:numId w:val="11"/>
        </w:numPr>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Application u</w:t>
      </w:r>
      <w:r w:rsidR="00DC70D6" w:rsidRPr="00DC70D6">
        <w:rPr>
          <w:rFonts w:asciiTheme="minorHAnsi" w:hAnsiTheme="minorHAnsi" w:cs="Arial"/>
          <w:color w:val="333333"/>
          <w:sz w:val="22"/>
          <w:szCs w:val="22"/>
        </w:rPr>
        <w:t xml:space="preserve">ser </w:t>
      </w:r>
      <w:r>
        <w:rPr>
          <w:rFonts w:asciiTheme="minorHAnsi" w:hAnsiTheme="minorHAnsi" w:cs="Arial"/>
          <w:color w:val="333333"/>
          <w:sz w:val="22"/>
          <w:szCs w:val="22"/>
        </w:rPr>
        <w:t xml:space="preserve">(epidemiologist) </w:t>
      </w:r>
      <w:r w:rsidR="00DC70D6" w:rsidRPr="00DC70D6">
        <w:rPr>
          <w:rFonts w:asciiTheme="minorHAnsi" w:hAnsiTheme="minorHAnsi" w:cs="Arial"/>
          <w:color w:val="333333"/>
          <w:sz w:val="22"/>
          <w:szCs w:val="22"/>
        </w:rPr>
        <w:t>requirements</w:t>
      </w:r>
      <w:r w:rsidR="00952291">
        <w:rPr>
          <w:rFonts w:asciiTheme="minorHAnsi" w:hAnsiTheme="minorHAnsi" w:cs="Arial"/>
          <w:color w:val="333333"/>
          <w:sz w:val="22"/>
          <w:szCs w:val="22"/>
        </w:rPr>
        <w:t xml:space="preserve"> </w:t>
      </w:r>
      <w:r w:rsidR="00F44955">
        <w:rPr>
          <w:rFonts w:asciiTheme="minorHAnsi" w:hAnsiTheme="minorHAnsi" w:cs="Arial"/>
          <w:color w:val="333333"/>
          <w:sz w:val="22"/>
          <w:szCs w:val="22"/>
        </w:rPr>
        <w:t>gathe</w:t>
      </w:r>
      <w:r>
        <w:rPr>
          <w:rFonts w:asciiTheme="minorHAnsi" w:hAnsiTheme="minorHAnsi" w:cs="Arial"/>
          <w:color w:val="333333"/>
          <w:sz w:val="22"/>
          <w:szCs w:val="22"/>
        </w:rPr>
        <w:t>red</w:t>
      </w:r>
      <w:r w:rsidR="00F44955">
        <w:rPr>
          <w:rFonts w:asciiTheme="minorHAnsi" w:hAnsiTheme="minorHAnsi" w:cs="Arial"/>
          <w:color w:val="333333"/>
          <w:sz w:val="22"/>
          <w:szCs w:val="22"/>
        </w:rPr>
        <w:t xml:space="preserve"> </w:t>
      </w:r>
      <w:r w:rsidR="00952291">
        <w:rPr>
          <w:rFonts w:asciiTheme="minorHAnsi" w:hAnsiTheme="minorHAnsi" w:cs="Arial"/>
          <w:color w:val="333333"/>
          <w:sz w:val="22"/>
          <w:szCs w:val="22"/>
        </w:rPr>
        <w:t xml:space="preserve">through participatory design </w:t>
      </w:r>
      <w:r w:rsidR="00D94E2C">
        <w:rPr>
          <w:rFonts w:asciiTheme="minorHAnsi" w:hAnsiTheme="minorHAnsi" w:cs="Arial"/>
          <w:color w:val="333333"/>
          <w:sz w:val="22"/>
          <w:szCs w:val="22"/>
        </w:rPr>
        <w:t>activitie</w:t>
      </w:r>
      <w:r w:rsidR="00AF329D">
        <w:rPr>
          <w:rFonts w:asciiTheme="minorHAnsi" w:hAnsiTheme="minorHAnsi" w:cs="Arial"/>
          <w:color w:val="333333"/>
          <w:sz w:val="22"/>
          <w:szCs w:val="22"/>
        </w:rPr>
        <w:t>s [1</w:t>
      </w:r>
      <w:r w:rsidR="004919FD">
        <w:rPr>
          <w:rFonts w:asciiTheme="minorHAnsi" w:hAnsiTheme="minorHAnsi" w:cs="Arial"/>
          <w:color w:val="333333"/>
          <w:sz w:val="22"/>
          <w:szCs w:val="22"/>
        </w:rPr>
        <w:t>0</w:t>
      </w:r>
      <w:r w:rsidR="00AF329D">
        <w:rPr>
          <w:rFonts w:asciiTheme="minorHAnsi" w:hAnsiTheme="minorHAnsi" w:cs="Arial"/>
          <w:color w:val="333333"/>
          <w:sz w:val="22"/>
          <w:szCs w:val="22"/>
        </w:rPr>
        <w:t>]</w:t>
      </w:r>
    </w:p>
    <w:p w14:paraId="2AFF77F3" w14:textId="7FC16729" w:rsidR="00F44955" w:rsidRDefault="00F44955" w:rsidP="00F44955">
      <w:pPr>
        <w:pStyle w:val="NormalWeb"/>
        <w:numPr>
          <w:ilvl w:val="0"/>
          <w:numId w:val="11"/>
        </w:numPr>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F</w:t>
      </w:r>
      <w:r w:rsidR="00952291">
        <w:rPr>
          <w:rFonts w:asciiTheme="minorHAnsi" w:hAnsiTheme="minorHAnsi" w:cs="Arial"/>
          <w:color w:val="333333"/>
          <w:sz w:val="22"/>
          <w:szCs w:val="22"/>
        </w:rPr>
        <w:t xml:space="preserve">acilitated </w:t>
      </w:r>
      <w:r w:rsidR="009B0EFB">
        <w:rPr>
          <w:rFonts w:asciiTheme="minorHAnsi" w:hAnsiTheme="minorHAnsi" w:cs="Arial"/>
          <w:color w:val="333333"/>
          <w:sz w:val="22"/>
          <w:szCs w:val="22"/>
        </w:rPr>
        <w:t>stakeholder</w:t>
      </w:r>
      <w:r w:rsidR="00952291">
        <w:rPr>
          <w:rFonts w:asciiTheme="minorHAnsi" w:hAnsiTheme="minorHAnsi" w:cs="Arial"/>
          <w:color w:val="333333"/>
          <w:sz w:val="22"/>
          <w:szCs w:val="22"/>
        </w:rPr>
        <w:t xml:space="preserve"> sessions </w:t>
      </w:r>
      <w:r w:rsidR="00DC70D6" w:rsidRPr="00DC70D6">
        <w:rPr>
          <w:rFonts w:asciiTheme="minorHAnsi" w:hAnsiTheme="minorHAnsi" w:cs="Arial"/>
          <w:color w:val="333333"/>
          <w:sz w:val="22"/>
          <w:szCs w:val="22"/>
        </w:rPr>
        <w:t>at public health conferences</w:t>
      </w:r>
      <w:r>
        <w:rPr>
          <w:rFonts w:asciiTheme="minorHAnsi" w:hAnsiTheme="minorHAnsi" w:cs="Arial"/>
          <w:color w:val="333333"/>
          <w:sz w:val="22"/>
          <w:szCs w:val="22"/>
        </w:rPr>
        <w:t xml:space="preserve"> to communicate project status</w:t>
      </w:r>
      <w:r w:rsidR="009B0EFB">
        <w:rPr>
          <w:rFonts w:asciiTheme="minorHAnsi" w:hAnsiTheme="minorHAnsi" w:cs="Arial"/>
          <w:color w:val="333333"/>
          <w:sz w:val="22"/>
          <w:szCs w:val="22"/>
        </w:rPr>
        <w:t xml:space="preserve">, gather input from stakeholders, </w:t>
      </w:r>
    </w:p>
    <w:p w14:paraId="3F92DBFE" w14:textId="387ACB81" w:rsidR="00F44955" w:rsidRDefault="00F44955" w:rsidP="00F44955">
      <w:pPr>
        <w:pStyle w:val="NormalWeb"/>
        <w:numPr>
          <w:ilvl w:val="0"/>
          <w:numId w:val="11"/>
        </w:numPr>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 xml:space="preserve">A </w:t>
      </w:r>
      <w:r w:rsidR="00D94E2C">
        <w:rPr>
          <w:rFonts w:asciiTheme="minorHAnsi" w:hAnsiTheme="minorHAnsi" w:cs="Arial"/>
          <w:color w:val="333333"/>
          <w:sz w:val="22"/>
          <w:szCs w:val="22"/>
        </w:rPr>
        <w:t>web-based stakeholder collaboration site</w:t>
      </w:r>
      <w:r w:rsidR="00967349">
        <w:rPr>
          <w:rFonts w:asciiTheme="minorHAnsi" w:hAnsiTheme="minorHAnsi" w:cs="Arial"/>
          <w:color w:val="333333"/>
          <w:sz w:val="22"/>
          <w:szCs w:val="22"/>
        </w:rPr>
        <w:t xml:space="preserve"> that included a resource library, technical assistance webinar recordings, frequently asked questions, a</w:t>
      </w:r>
      <w:r w:rsidR="009B0EFB">
        <w:rPr>
          <w:rFonts w:asciiTheme="minorHAnsi" w:hAnsiTheme="minorHAnsi" w:cs="Arial"/>
          <w:color w:val="333333"/>
          <w:sz w:val="22"/>
          <w:szCs w:val="22"/>
        </w:rPr>
        <w:t>n email</w:t>
      </w:r>
      <w:r w:rsidR="00967349">
        <w:rPr>
          <w:rFonts w:asciiTheme="minorHAnsi" w:hAnsiTheme="minorHAnsi" w:cs="Arial"/>
          <w:color w:val="333333"/>
          <w:sz w:val="22"/>
          <w:szCs w:val="22"/>
        </w:rPr>
        <w:t xml:space="preserve"> suggestion</w:t>
      </w:r>
      <w:r w:rsidR="009B0EFB">
        <w:rPr>
          <w:rFonts w:asciiTheme="minorHAnsi" w:hAnsiTheme="minorHAnsi" w:cs="Arial"/>
          <w:color w:val="333333"/>
          <w:sz w:val="22"/>
          <w:szCs w:val="22"/>
        </w:rPr>
        <w:t xml:space="preserve"> </w:t>
      </w:r>
      <w:r w:rsidR="00967349">
        <w:rPr>
          <w:rFonts w:asciiTheme="minorHAnsi" w:hAnsiTheme="minorHAnsi" w:cs="Arial"/>
          <w:color w:val="333333"/>
          <w:sz w:val="22"/>
          <w:szCs w:val="22"/>
        </w:rPr>
        <w:t xml:space="preserve">box, </w:t>
      </w:r>
      <w:r w:rsidR="009B0EFB">
        <w:rPr>
          <w:rFonts w:asciiTheme="minorHAnsi" w:hAnsiTheme="minorHAnsi" w:cs="Arial"/>
          <w:color w:val="333333"/>
          <w:sz w:val="22"/>
          <w:szCs w:val="22"/>
        </w:rPr>
        <w:t>and a link to request technical assistance from a redesign team member</w:t>
      </w:r>
    </w:p>
    <w:p w14:paraId="1E748ABA" w14:textId="37F36446" w:rsidR="00F44955" w:rsidRDefault="00F44955" w:rsidP="00F44955">
      <w:pPr>
        <w:pStyle w:val="NormalWeb"/>
        <w:numPr>
          <w:ilvl w:val="0"/>
          <w:numId w:val="11"/>
        </w:numPr>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 xml:space="preserve">A </w:t>
      </w:r>
      <w:r w:rsidR="00D94E2C">
        <w:rPr>
          <w:rFonts w:asciiTheme="minorHAnsi" w:hAnsiTheme="minorHAnsi" w:cs="Arial"/>
          <w:color w:val="333333"/>
          <w:sz w:val="22"/>
          <w:szCs w:val="22"/>
        </w:rPr>
        <w:t>Technical Expert Panel</w:t>
      </w:r>
      <w:r>
        <w:rPr>
          <w:rFonts w:asciiTheme="minorHAnsi" w:hAnsiTheme="minorHAnsi" w:cs="Arial"/>
          <w:color w:val="333333"/>
          <w:sz w:val="22"/>
          <w:szCs w:val="22"/>
        </w:rPr>
        <w:t xml:space="preserve"> </w:t>
      </w:r>
      <w:r w:rsidR="00967349">
        <w:rPr>
          <w:rFonts w:asciiTheme="minorHAnsi" w:hAnsiTheme="minorHAnsi" w:cs="Arial"/>
          <w:color w:val="333333"/>
          <w:sz w:val="22"/>
          <w:szCs w:val="22"/>
        </w:rPr>
        <w:t>selected from national and international experts in syndromic surveilla</w:t>
      </w:r>
      <w:r w:rsidR="009B0EFB">
        <w:rPr>
          <w:rFonts w:asciiTheme="minorHAnsi" w:hAnsiTheme="minorHAnsi" w:cs="Arial"/>
          <w:color w:val="333333"/>
          <w:sz w:val="22"/>
          <w:szCs w:val="22"/>
        </w:rPr>
        <w:t>n</w:t>
      </w:r>
      <w:r w:rsidR="00967349">
        <w:rPr>
          <w:rFonts w:asciiTheme="minorHAnsi" w:hAnsiTheme="minorHAnsi" w:cs="Arial"/>
          <w:color w:val="333333"/>
          <w:sz w:val="22"/>
          <w:szCs w:val="22"/>
        </w:rPr>
        <w:t xml:space="preserve">ce </w:t>
      </w:r>
      <w:r w:rsidR="009B0EFB">
        <w:rPr>
          <w:rFonts w:asciiTheme="minorHAnsi" w:hAnsiTheme="minorHAnsi" w:cs="Arial"/>
          <w:color w:val="333333"/>
          <w:sz w:val="22"/>
          <w:szCs w:val="22"/>
        </w:rPr>
        <w:t xml:space="preserve">by CDC and RTI International </w:t>
      </w:r>
      <w:r>
        <w:rPr>
          <w:rFonts w:asciiTheme="minorHAnsi" w:hAnsiTheme="minorHAnsi" w:cs="Arial"/>
          <w:color w:val="333333"/>
          <w:sz w:val="22"/>
          <w:szCs w:val="22"/>
        </w:rPr>
        <w:t xml:space="preserve">to </w:t>
      </w:r>
      <w:r w:rsidR="009B0EFB">
        <w:rPr>
          <w:rFonts w:asciiTheme="minorHAnsi" w:hAnsiTheme="minorHAnsi" w:cs="Arial"/>
          <w:color w:val="333333"/>
          <w:sz w:val="22"/>
          <w:szCs w:val="22"/>
        </w:rPr>
        <w:t xml:space="preserve">share their expertise and </w:t>
      </w:r>
      <w:r>
        <w:rPr>
          <w:rFonts w:asciiTheme="minorHAnsi" w:hAnsiTheme="minorHAnsi" w:cs="Arial"/>
          <w:color w:val="333333"/>
          <w:sz w:val="22"/>
          <w:szCs w:val="22"/>
        </w:rPr>
        <w:t>guide project decision-making</w:t>
      </w:r>
    </w:p>
    <w:p w14:paraId="611FAFB7" w14:textId="6E6AC258" w:rsidR="00F44955" w:rsidRDefault="00F44955" w:rsidP="00F44955">
      <w:pPr>
        <w:pStyle w:val="NormalWeb"/>
        <w:numPr>
          <w:ilvl w:val="0"/>
          <w:numId w:val="11"/>
        </w:numPr>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Technical workshops with broad stakeholder input</w:t>
      </w:r>
      <w:r w:rsidR="009B0EFB">
        <w:rPr>
          <w:rFonts w:asciiTheme="minorHAnsi" w:hAnsiTheme="minorHAnsi" w:cs="Arial"/>
          <w:color w:val="333333"/>
          <w:sz w:val="22"/>
          <w:szCs w:val="22"/>
        </w:rPr>
        <w:t xml:space="preserve"> including public health professionals, EHR vendors, health information exchanges, and federal agencies, including CDC and ONC</w:t>
      </w:r>
    </w:p>
    <w:p w14:paraId="3D1D6E46" w14:textId="15459FA0" w:rsidR="00245901" w:rsidRPr="00245901" w:rsidRDefault="00245901" w:rsidP="00245901">
      <w:pPr>
        <w:pStyle w:val="NormalWeb"/>
        <w:numPr>
          <w:ilvl w:val="0"/>
          <w:numId w:val="11"/>
        </w:numPr>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U</w:t>
      </w:r>
      <w:r w:rsidRPr="00DC70D6">
        <w:rPr>
          <w:rFonts w:asciiTheme="minorHAnsi" w:hAnsiTheme="minorHAnsi" w:cs="Arial"/>
          <w:color w:val="333333"/>
          <w:sz w:val="22"/>
          <w:szCs w:val="22"/>
        </w:rPr>
        <w:t xml:space="preserve">ser </w:t>
      </w:r>
      <w:r>
        <w:rPr>
          <w:rFonts w:asciiTheme="minorHAnsi" w:hAnsiTheme="minorHAnsi" w:cs="Arial"/>
          <w:color w:val="333333"/>
          <w:sz w:val="22"/>
          <w:szCs w:val="22"/>
        </w:rPr>
        <w:t xml:space="preserve">training </w:t>
      </w:r>
      <w:r w:rsidRPr="00DC70D6">
        <w:rPr>
          <w:rFonts w:asciiTheme="minorHAnsi" w:hAnsiTheme="minorHAnsi" w:cs="Arial"/>
          <w:color w:val="333333"/>
          <w:sz w:val="22"/>
          <w:szCs w:val="22"/>
        </w:rPr>
        <w:t>webinars</w:t>
      </w:r>
      <w:r w:rsidR="00967349">
        <w:rPr>
          <w:rFonts w:asciiTheme="minorHAnsi" w:hAnsiTheme="minorHAnsi" w:cs="Arial"/>
          <w:color w:val="333333"/>
          <w:sz w:val="22"/>
          <w:szCs w:val="22"/>
        </w:rPr>
        <w:t xml:space="preserve"> to assist with onboarding processes, </w:t>
      </w:r>
      <w:r w:rsidR="009B0EFB">
        <w:rPr>
          <w:rFonts w:asciiTheme="minorHAnsi" w:hAnsiTheme="minorHAnsi" w:cs="Arial"/>
          <w:color w:val="333333"/>
          <w:sz w:val="22"/>
          <w:szCs w:val="22"/>
        </w:rPr>
        <w:t>using R and SAS for data</w:t>
      </w:r>
      <w:r w:rsidR="00967349">
        <w:rPr>
          <w:rFonts w:asciiTheme="minorHAnsi" w:hAnsiTheme="minorHAnsi" w:cs="Arial"/>
          <w:color w:val="333333"/>
          <w:sz w:val="22"/>
          <w:szCs w:val="22"/>
        </w:rPr>
        <w:t xml:space="preserve"> analysis,</w:t>
      </w:r>
      <w:r w:rsidR="009B0EFB">
        <w:rPr>
          <w:rFonts w:asciiTheme="minorHAnsi" w:hAnsiTheme="minorHAnsi" w:cs="Arial"/>
          <w:color w:val="333333"/>
          <w:sz w:val="22"/>
          <w:szCs w:val="22"/>
        </w:rPr>
        <w:t xml:space="preserve"> how to conduct syndromic surveillance, and others</w:t>
      </w:r>
    </w:p>
    <w:p w14:paraId="1ABB4F50" w14:textId="1EC09602" w:rsidR="00F343E0" w:rsidRDefault="00F44955" w:rsidP="0037001E">
      <w:pPr>
        <w:pStyle w:val="NormalWeb"/>
        <w:numPr>
          <w:ilvl w:val="0"/>
          <w:numId w:val="11"/>
        </w:numPr>
        <w:shd w:val="clear" w:color="auto" w:fill="FFFFFF"/>
        <w:spacing w:line="276" w:lineRule="auto"/>
        <w:rPr>
          <w:rFonts w:asciiTheme="minorHAnsi" w:hAnsiTheme="minorHAnsi" w:cs="Arial"/>
          <w:color w:val="333333"/>
          <w:sz w:val="22"/>
          <w:szCs w:val="22"/>
        </w:rPr>
      </w:pPr>
      <w:r w:rsidRPr="00F44955">
        <w:rPr>
          <w:rFonts w:asciiTheme="minorHAnsi" w:hAnsiTheme="minorHAnsi" w:cs="Arial"/>
          <w:color w:val="333333"/>
          <w:sz w:val="22"/>
          <w:szCs w:val="22"/>
        </w:rPr>
        <w:t>An</w:t>
      </w:r>
      <w:r w:rsidR="00D94E2C" w:rsidRPr="00F44955">
        <w:rPr>
          <w:rFonts w:asciiTheme="minorHAnsi" w:hAnsiTheme="minorHAnsi" w:cs="Arial"/>
          <w:color w:val="333333"/>
          <w:sz w:val="22"/>
          <w:szCs w:val="22"/>
        </w:rPr>
        <w:t xml:space="preserve"> </w:t>
      </w:r>
      <w:r w:rsidR="00952291" w:rsidRPr="00F44955">
        <w:rPr>
          <w:rFonts w:asciiTheme="minorHAnsi" w:hAnsiTheme="minorHAnsi" w:cs="Arial"/>
          <w:color w:val="333333"/>
          <w:sz w:val="22"/>
          <w:szCs w:val="22"/>
        </w:rPr>
        <w:t>ASTHO</w:t>
      </w:r>
      <w:r w:rsidR="00DC70D6" w:rsidRPr="00F44955">
        <w:rPr>
          <w:rFonts w:asciiTheme="minorHAnsi" w:hAnsiTheme="minorHAnsi" w:cs="Arial"/>
          <w:color w:val="333333"/>
          <w:sz w:val="22"/>
          <w:szCs w:val="22"/>
        </w:rPr>
        <w:t>–facilitated BioSense Governance Group comprising state and local syndromic surveillance stakeholders who represented BioSense 2.0 users</w:t>
      </w:r>
      <w:r w:rsidR="00967349">
        <w:rPr>
          <w:rFonts w:asciiTheme="minorHAnsi" w:hAnsiTheme="minorHAnsi" w:cs="Arial"/>
          <w:color w:val="333333"/>
          <w:sz w:val="22"/>
          <w:szCs w:val="22"/>
        </w:rPr>
        <w:t xml:space="preserve"> and made decisions about </w:t>
      </w:r>
      <w:r w:rsidR="009B0EFB">
        <w:rPr>
          <w:rFonts w:asciiTheme="minorHAnsi" w:hAnsiTheme="minorHAnsi" w:cs="Arial"/>
          <w:color w:val="333333"/>
          <w:sz w:val="22"/>
          <w:szCs w:val="22"/>
        </w:rPr>
        <w:t>data use agreements, data access features in the system, and how to share data with other jurisdictions and CDC</w:t>
      </w:r>
    </w:p>
    <w:p w14:paraId="1BCFD34C" w14:textId="47AD313C" w:rsidR="009B3CDF" w:rsidRDefault="0037001E" w:rsidP="009D04B4">
      <w:pPr>
        <w:pStyle w:val="NormalWeb"/>
        <w:shd w:val="clear" w:color="auto" w:fill="FFFFFF"/>
        <w:spacing w:line="276" w:lineRule="auto"/>
        <w:rPr>
          <w:rFonts w:asciiTheme="minorHAnsi" w:hAnsiTheme="minorHAnsi" w:cs="Arial"/>
          <w:color w:val="333333"/>
          <w:sz w:val="22"/>
          <w:szCs w:val="22"/>
        </w:rPr>
      </w:pPr>
      <w:r>
        <w:rPr>
          <w:rFonts w:asciiTheme="minorHAnsi" w:hAnsiTheme="minorHAnsi" w:cs="Arial"/>
          <w:color w:val="333333"/>
          <w:sz w:val="22"/>
          <w:szCs w:val="22"/>
        </w:rPr>
        <w:t xml:space="preserve">By allowing the redesign effort to be driven by stakeholders, the project team accomplished something that had been lacking in the public health community regarding BioSense – they developed a culture of trust. </w:t>
      </w:r>
      <w:r w:rsidR="00AA2833">
        <w:rPr>
          <w:rFonts w:asciiTheme="minorHAnsi" w:hAnsiTheme="minorHAnsi" w:cs="Arial"/>
          <w:color w:val="333333"/>
          <w:sz w:val="22"/>
          <w:szCs w:val="22"/>
        </w:rPr>
        <w:t xml:space="preserve">At the start of this redesign effort there was resistance on the part of stakeholders. This was overcome by a two-part approach that characterized the first stakeholder engagements: transparency in communication and involving stakeholders in determining the process used in the redesign. After the initial resistance, a </w:t>
      </w:r>
      <w:r>
        <w:rPr>
          <w:rFonts w:asciiTheme="minorHAnsi" w:hAnsiTheme="minorHAnsi" w:cs="Arial"/>
          <w:color w:val="333333"/>
          <w:sz w:val="22"/>
          <w:szCs w:val="22"/>
        </w:rPr>
        <w:t xml:space="preserve">culture of trust was supported by very specific behaviors practiced by the redesign team: frequent, clear communication of the </w:t>
      </w:r>
      <w:r w:rsidR="00245901">
        <w:rPr>
          <w:rFonts w:asciiTheme="minorHAnsi" w:hAnsiTheme="minorHAnsi" w:cs="Arial"/>
          <w:color w:val="333333"/>
          <w:sz w:val="22"/>
          <w:szCs w:val="22"/>
        </w:rPr>
        <w:t xml:space="preserve">redesign </w:t>
      </w:r>
      <w:r>
        <w:rPr>
          <w:rFonts w:asciiTheme="minorHAnsi" w:hAnsiTheme="minorHAnsi" w:cs="Arial"/>
          <w:color w:val="333333"/>
          <w:sz w:val="22"/>
          <w:szCs w:val="22"/>
        </w:rPr>
        <w:t xml:space="preserve">process; transparency in all activities and decisions; planning the course of the redesign collaboratively with stakeholders; inviting early and continual participation; training on use </w:t>
      </w:r>
      <w:r w:rsidR="00245901">
        <w:rPr>
          <w:rFonts w:asciiTheme="minorHAnsi" w:hAnsiTheme="minorHAnsi" w:cs="Arial"/>
          <w:color w:val="333333"/>
          <w:sz w:val="22"/>
          <w:szCs w:val="22"/>
        </w:rPr>
        <w:t xml:space="preserve">of </w:t>
      </w:r>
      <w:r>
        <w:rPr>
          <w:rFonts w:asciiTheme="minorHAnsi" w:hAnsiTheme="minorHAnsi" w:cs="Arial"/>
          <w:color w:val="333333"/>
          <w:sz w:val="22"/>
          <w:szCs w:val="22"/>
        </w:rPr>
        <w:t>the redesigned application; and incremental change</w:t>
      </w:r>
      <w:r w:rsidR="00245901">
        <w:rPr>
          <w:rFonts w:asciiTheme="minorHAnsi" w:hAnsiTheme="minorHAnsi" w:cs="Arial"/>
          <w:color w:val="333333"/>
          <w:sz w:val="22"/>
          <w:szCs w:val="22"/>
        </w:rPr>
        <w:t xml:space="preserve"> with cycles of stakeholder testing and evaluation</w:t>
      </w:r>
      <w:r>
        <w:rPr>
          <w:rFonts w:asciiTheme="minorHAnsi" w:hAnsiTheme="minorHAnsi" w:cs="Arial"/>
          <w:color w:val="333333"/>
          <w:sz w:val="22"/>
          <w:szCs w:val="22"/>
        </w:rPr>
        <w:t xml:space="preserve">, which was facilitated by the iterative nature of </w:t>
      </w:r>
      <w:r w:rsidR="00245901">
        <w:rPr>
          <w:rFonts w:asciiTheme="minorHAnsi" w:hAnsiTheme="minorHAnsi" w:cs="Arial"/>
          <w:color w:val="333333"/>
          <w:sz w:val="22"/>
          <w:szCs w:val="22"/>
        </w:rPr>
        <w:t xml:space="preserve">the </w:t>
      </w:r>
      <w:r>
        <w:rPr>
          <w:rFonts w:asciiTheme="minorHAnsi" w:hAnsiTheme="minorHAnsi" w:cs="Arial"/>
          <w:color w:val="333333"/>
          <w:sz w:val="22"/>
          <w:szCs w:val="22"/>
        </w:rPr>
        <w:t>user-centered design</w:t>
      </w:r>
      <w:r w:rsidR="00245901">
        <w:rPr>
          <w:rFonts w:asciiTheme="minorHAnsi" w:hAnsiTheme="minorHAnsi" w:cs="Arial"/>
          <w:color w:val="333333"/>
          <w:sz w:val="22"/>
          <w:szCs w:val="22"/>
        </w:rPr>
        <w:t xml:space="preserve"> software development process</w:t>
      </w:r>
      <w:r>
        <w:rPr>
          <w:rFonts w:asciiTheme="minorHAnsi" w:hAnsiTheme="minorHAnsi" w:cs="Arial"/>
          <w:color w:val="333333"/>
          <w:sz w:val="22"/>
          <w:szCs w:val="22"/>
        </w:rPr>
        <w:t xml:space="preserve">. </w:t>
      </w:r>
      <w:r w:rsidR="00AB0A68">
        <w:rPr>
          <w:rFonts w:asciiTheme="minorHAnsi" w:hAnsiTheme="minorHAnsi" w:cs="Arial"/>
          <w:color w:val="333333"/>
          <w:sz w:val="22"/>
          <w:szCs w:val="22"/>
        </w:rPr>
        <w:t>These specific change management practices were fundamental to the transformation of the BioSense application and program and to the stakeholder engagement that characterized the project.</w:t>
      </w:r>
    </w:p>
    <w:p w14:paraId="7E990893" w14:textId="0EBBD9EE" w:rsidR="00307B36" w:rsidRDefault="00307B36" w:rsidP="00307B36">
      <w:pPr>
        <w:pStyle w:val="Heading2"/>
        <w:shd w:val="clear" w:color="auto" w:fill="FFFFFF"/>
        <w:spacing w:before="0" w:beforeAutospacing="0" w:after="0" w:afterAutospacing="0" w:line="276" w:lineRule="auto"/>
        <w:rPr>
          <w:rFonts w:asciiTheme="minorHAnsi" w:hAnsiTheme="minorHAnsi" w:cs="Arial"/>
          <w:b w:val="0"/>
          <w:bCs w:val="0"/>
          <w:color w:val="333333"/>
          <w:sz w:val="22"/>
          <w:szCs w:val="22"/>
        </w:rPr>
      </w:pPr>
      <w:r w:rsidRPr="00901065">
        <w:rPr>
          <w:rFonts w:asciiTheme="minorHAnsi" w:hAnsiTheme="minorHAnsi" w:cs="Arial"/>
          <w:b w:val="0"/>
          <w:bCs w:val="0"/>
          <w:color w:val="333333"/>
          <w:sz w:val="22"/>
          <w:szCs w:val="22"/>
        </w:rPr>
        <w:t>In November 2011, the redesigned BioSense program, called BioSense 2.0, was rolled-out. The Association of State and Territorial Health Officials (ASTHO)</w:t>
      </w:r>
      <w:r>
        <w:rPr>
          <w:rFonts w:asciiTheme="minorHAnsi" w:hAnsiTheme="minorHAnsi" w:cs="Arial"/>
          <w:b w:val="0"/>
          <w:bCs w:val="0"/>
          <w:color w:val="333333"/>
          <w:sz w:val="22"/>
          <w:szCs w:val="22"/>
        </w:rPr>
        <w:t>, representing state health commissioners and other top-level officials,</w:t>
      </w:r>
      <w:r w:rsidRPr="00901065">
        <w:rPr>
          <w:rFonts w:asciiTheme="minorHAnsi" w:hAnsiTheme="minorHAnsi" w:cs="Arial"/>
          <w:b w:val="0"/>
          <w:bCs w:val="0"/>
          <w:color w:val="333333"/>
          <w:sz w:val="22"/>
          <w:szCs w:val="22"/>
        </w:rPr>
        <w:t xml:space="preserve"> hosted the cloud-based infrastructure and application and negotiated data use agreements with participating state and local health departments. By the end of the contract in 2014, more than 4,000 EDs from 40 states were participating in BioSense 2.0. BioSense 2.0 allowed state and local health departments to access data that helped them fulfill requirements of CMS’s </w:t>
      </w:r>
      <w:r>
        <w:rPr>
          <w:rFonts w:asciiTheme="minorHAnsi" w:hAnsiTheme="minorHAnsi" w:cs="Arial"/>
          <w:b w:val="0"/>
          <w:bCs w:val="0"/>
          <w:color w:val="333333"/>
          <w:sz w:val="22"/>
          <w:szCs w:val="22"/>
        </w:rPr>
        <w:t xml:space="preserve">Electronic Health Records </w:t>
      </w:r>
      <w:r w:rsidRPr="00901065">
        <w:rPr>
          <w:rFonts w:asciiTheme="minorHAnsi" w:hAnsiTheme="minorHAnsi" w:cs="Arial"/>
          <w:b w:val="0"/>
          <w:bCs w:val="0"/>
          <w:color w:val="333333"/>
          <w:sz w:val="22"/>
          <w:szCs w:val="22"/>
        </w:rPr>
        <w:t>Meaningful Use program</w:t>
      </w:r>
      <w:r>
        <w:rPr>
          <w:rFonts w:asciiTheme="minorHAnsi" w:hAnsiTheme="minorHAnsi" w:cs="Arial"/>
          <w:b w:val="0"/>
          <w:bCs w:val="0"/>
          <w:color w:val="333333"/>
          <w:sz w:val="22"/>
          <w:szCs w:val="22"/>
        </w:rPr>
        <w:t xml:space="preserve"> (EHR-MU)</w:t>
      </w:r>
      <w:r>
        <w:rPr>
          <w:rStyle w:val="FootnoteReference"/>
          <w:rFonts w:asciiTheme="minorHAnsi" w:hAnsiTheme="minorHAnsi" w:cs="Arial"/>
          <w:b w:val="0"/>
          <w:bCs w:val="0"/>
          <w:color w:val="333333"/>
          <w:sz w:val="22"/>
          <w:szCs w:val="22"/>
        </w:rPr>
        <w:footnoteReference w:id="1"/>
      </w:r>
      <w:r>
        <w:rPr>
          <w:rFonts w:asciiTheme="minorHAnsi" w:hAnsiTheme="minorHAnsi" w:cs="Arial"/>
          <w:b w:val="0"/>
          <w:bCs w:val="0"/>
          <w:color w:val="333333"/>
          <w:sz w:val="22"/>
          <w:szCs w:val="22"/>
        </w:rPr>
        <w:t xml:space="preserve"> [1</w:t>
      </w:r>
      <w:r w:rsidR="004919FD">
        <w:rPr>
          <w:rFonts w:asciiTheme="minorHAnsi" w:hAnsiTheme="minorHAnsi" w:cs="Arial"/>
          <w:b w:val="0"/>
          <w:bCs w:val="0"/>
          <w:color w:val="333333"/>
          <w:sz w:val="22"/>
          <w:szCs w:val="22"/>
        </w:rPr>
        <w:t>1</w:t>
      </w:r>
      <w:r>
        <w:rPr>
          <w:rFonts w:asciiTheme="minorHAnsi" w:hAnsiTheme="minorHAnsi" w:cs="Arial"/>
          <w:b w:val="0"/>
          <w:bCs w:val="0"/>
          <w:color w:val="333333"/>
          <w:sz w:val="22"/>
          <w:szCs w:val="22"/>
        </w:rPr>
        <w:t>].</w:t>
      </w:r>
      <w:r w:rsidRPr="00901065">
        <w:rPr>
          <w:rFonts w:asciiTheme="minorHAnsi" w:hAnsiTheme="minorHAnsi" w:cs="Arial"/>
          <w:b w:val="0"/>
          <w:bCs w:val="0"/>
          <w:color w:val="333333"/>
          <w:sz w:val="22"/>
          <w:szCs w:val="22"/>
        </w:rPr>
        <w:t xml:space="preserve"> Rather than sending all data directly to CDC, most data were sent from hospitals to state </w:t>
      </w:r>
      <w:r>
        <w:rPr>
          <w:rFonts w:asciiTheme="minorHAnsi" w:hAnsiTheme="minorHAnsi" w:cs="Arial"/>
          <w:b w:val="0"/>
          <w:bCs w:val="0"/>
          <w:color w:val="333333"/>
          <w:sz w:val="22"/>
          <w:szCs w:val="22"/>
        </w:rPr>
        <w:t xml:space="preserve">or </w:t>
      </w:r>
      <w:r w:rsidRPr="00901065">
        <w:rPr>
          <w:rFonts w:asciiTheme="minorHAnsi" w:hAnsiTheme="minorHAnsi" w:cs="Arial"/>
          <w:b w:val="0"/>
          <w:bCs w:val="0"/>
          <w:color w:val="333333"/>
          <w:sz w:val="22"/>
          <w:szCs w:val="22"/>
        </w:rPr>
        <w:t xml:space="preserve">local </w:t>
      </w:r>
      <w:r w:rsidRPr="00901065">
        <w:rPr>
          <w:rFonts w:asciiTheme="minorHAnsi" w:hAnsiTheme="minorHAnsi" w:cs="Arial"/>
          <w:b w:val="0"/>
          <w:bCs w:val="0"/>
          <w:color w:val="333333"/>
          <w:sz w:val="22"/>
          <w:szCs w:val="22"/>
        </w:rPr>
        <w:lastRenderedPageBreak/>
        <w:t>health departments</w:t>
      </w:r>
      <w:r>
        <w:rPr>
          <w:rFonts w:asciiTheme="minorHAnsi" w:hAnsiTheme="minorHAnsi" w:cs="Arial"/>
          <w:b w:val="0"/>
          <w:bCs w:val="0"/>
          <w:color w:val="333333"/>
          <w:sz w:val="22"/>
          <w:szCs w:val="22"/>
        </w:rPr>
        <w:t>, depending on the jurisdiction,</w:t>
      </w:r>
      <w:r w:rsidRPr="00901065">
        <w:rPr>
          <w:rFonts w:asciiTheme="minorHAnsi" w:hAnsiTheme="minorHAnsi" w:cs="Arial"/>
          <w:b w:val="0"/>
          <w:bCs w:val="0"/>
          <w:color w:val="333333"/>
          <w:sz w:val="22"/>
          <w:szCs w:val="22"/>
        </w:rPr>
        <w:t xml:space="preserve"> and then to a secure data storage location managed by the state or local health department (BioSense locker) in the cloud environment managed by ASTHO</w:t>
      </w:r>
      <w:r>
        <w:rPr>
          <w:rFonts w:asciiTheme="minorHAnsi" w:hAnsiTheme="minorHAnsi" w:cs="Arial"/>
          <w:b w:val="0"/>
          <w:bCs w:val="0"/>
          <w:color w:val="333333"/>
          <w:sz w:val="22"/>
          <w:szCs w:val="22"/>
        </w:rPr>
        <w:t xml:space="preserve"> (see Figure 2) [1</w:t>
      </w:r>
      <w:r w:rsidR="004919FD">
        <w:rPr>
          <w:rFonts w:asciiTheme="minorHAnsi" w:hAnsiTheme="minorHAnsi" w:cs="Arial"/>
          <w:b w:val="0"/>
          <w:bCs w:val="0"/>
          <w:color w:val="333333"/>
          <w:sz w:val="22"/>
          <w:szCs w:val="22"/>
        </w:rPr>
        <w:t>2</w:t>
      </w:r>
      <w:r>
        <w:rPr>
          <w:rFonts w:asciiTheme="minorHAnsi" w:hAnsiTheme="minorHAnsi" w:cs="Arial"/>
          <w:b w:val="0"/>
          <w:bCs w:val="0"/>
          <w:color w:val="333333"/>
          <w:sz w:val="22"/>
          <w:szCs w:val="22"/>
        </w:rPr>
        <w:t>].</w:t>
      </w:r>
    </w:p>
    <w:p w14:paraId="4FEAD874" w14:textId="77777777" w:rsidR="00307B36" w:rsidRDefault="00307B36" w:rsidP="00307B36">
      <w:pPr>
        <w:pStyle w:val="Heading2"/>
        <w:shd w:val="clear" w:color="auto" w:fill="FFFFFF"/>
        <w:spacing w:before="0" w:beforeAutospacing="0" w:after="0" w:afterAutospacing="0" w:line="276" w:lineRule="auto"/>
        <w:rPr>
          <w:rFonts w:asciiTheme="minorHAnsi" w:hAnsiTheme="minorHAnsi" w:cs="Arial"/>
          <w:b w:val="0"/>
          <w:bCs w:val="0"/>
          <w:color w:val="333333"/>
          <w:sz w:val="22"/>
          <w:szCs w:val="22"/>
        </w:rPr>
      </w:pPr>
      <w:r>
        <w:rPr>
          <w:rFonts w:asciiTheme="minorHAnsi" w:hAnsiTheme="minorHAnsi" w:cs="Arial"/>
          <w:noProof/>
          <w:color w:val="333333"/>
          <w:sz w:val="22"/>
          <w:szCs w:val="22"/>
        </w:rPr>
        <mc:AlternateContent>
          <mc:Choice Requires="wps">
            <w:drawing>
              <wp:anchor distT="0" distB="0" distL="114300" distR="114300" simplePos="0" relativeHeight="251673600" behindDoc="0" locked="0" layoutInCell="1" allowOverlap="1" wp14:anchorId="4359F60D" wp14:editId="6D41301B">
                <wp:simplePos x="0" y="0"/>
                <wp:positionH relativeFrom="column">
                  <wp:posOffset>1198880</wp:posOffset>
                </wp:positionH>
                <wp:positionV relativeFrom="paragraph">
                  <wp:posOffset>71804</wp:posOffset>
                </wp:positionV>
                <wp:extent cx="3811905" cy="281305"/>
                <wp:effectExtent l="0" t="0" r="0" b="0"/>
                <wp:wrapNone/>
                <wp:docPr id="32" name="Text Box 32"/>
                <wp:cNvGraphicFramePr/>
                <a:graphic xmlns:a="http://schemas.openxmlformats.org/drawingml/2006/main">
                  <a:graphicData uri="http://schemas.microsoft.com/office/word/2010/wordprocessingShape">
                    <wps:wsp>
                      <wps:cNvSpPr txBox="1"/>
                      <wps:spPr>
                        <a:xfrm>
                          <a:off x="0" y="0"/>
                          <a:ext cx="3811905" cy="281305"/>
                        </a:xfrm>
                        <a:prstGeom prst="rect">
                          <a:avLst/>
                        </a:prstGeom>
                        <a:noFill/>
                        <a:ln w="6350">
                          <a:noFill/>
                        </a:ln>
                      </wps:spPr>
                      <wps:txbx>
                        <w:txbxContent>
                          <w:p w14:paraId="7CB457CB" w14:textId="77777777" w:rsidR="00307B36" w:rsidRPr="00D04006" w:rsidRDefault="00307B36" w:rsidP="00307B36">
                            <w:pPr>
                              <w:rPr>
                                <w:sz w:val="20"/>
                                <w:szCs w:val="20"/>
                              </w:rPr>
                            </w:pPr>
                            <w:r>
                              <w:rPr>
                                <w:sz w:val="20"/>
                                <w:szCs w:val="20"/>
                              </w:rPr>
                              <w:t xml:space="preserve">Figure 2. </w:t>
                            </w:r>
                            <w:r w:rsidRPr="00D04006">
                              <w:rPr>
                                <w:sz w:val="20"/>
                                <w:szCs w:val="20"/>
                              </w:rPr>
                              <w:t xml:space="preserve">Reporting structure of BioSense </w:t>
                            </w:r>
                            <w:r>
                              <w:rPr>
                                <w:sz w:val="20"/>
                                <w:szCs w:val="20"/>
                              </w:rPr>
                              <w:t>data after the</w:t>
                            </w:r>
                            <w:r w:rsidRPr="00D04006">
                              <w:rPr>
                                <w:sz w:val="20"/>
                                <w:szCs w:val="20"/>
                              </w:rPr>
                              <w:t xml:space="preserve"> redesign.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59F60D" id="Text Box 32" o:spid="_x0000_s1034" type="#_x0000_t202" style="position:absolute;margin-left:94.4pt;margin-top:5.65pt;width:300.15pt;height:22.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" filled="f" stroked="f" strokeweight=".5pt">
                <v:textbox>
                  <w:txbxContent>
                    <w:p w14:paraId="7CB457CB" w14:textId="77777777" w:rsidR="00307B36" w:rsidRPr="00D04006" w:rsidRDefault="00307B36" w:rsidP="00307B36">
                      <w:pPr>
                        <w:rPr>
                          <w:sz w:val="20"/>
                          <w:szCs w:val="20"/>
                        </w:rPr>
                      </w:pPr>
                      <w:r>
                        <w:rPr>
                          <w:sz w:val="20"/>
                          <w:szCs w:val="20"/>
                        </w:rPr>
                        <w:t xml:space="preserve">Figure 2. </w:t>
                      </w:r>
                      <w:r w:rsidRPr="00D04006">
                        <w:rPr>
                          <w:sz w:val="20"/>
                          <w:szCs w:val="20"/>
                        </w:rPr>
                        <w:t xml:space="preserve">Reporting structure of BioSense </w:t>
                      </w:r>
                      <w:r>
                        <w:rPr>
                          <w:sz w:val="20"/>
                          <w:szCs w:val="20"/>
                        </w:rPr>
                        <w:t>data after the</w:t>
                      </w:r>
                      <w:r w:rsidRPr="00D04006">
                        <w:rPr>
                          <w:sz w:val="20"/>
                          <w:szCs w:val="20"/>
                        </w:rPr>
                        <w:t xml:space="preserve"> redesign.</w:t>
                      </w:r>
                    </w:p>
                  </w:txbxContent>
                </v:textbox>
              </v:shape>
            </w:pict>
          </mc:Fallback>
        </mc:AlternateContent>
      </w:r>
    </w:p>
    <w:p w14:paraId="7F7EA717" w14:textId="77777777" w:rsidR="00307B36" w:rsidRPr="00901065" w:rsidRDefault="00307B36" w:rsidP="00307B36">
      <w:pPr>
        <w:pStyle w:val="Heading2"/>
        <w:shd w:val="clear" w:color="auto" w:fill="FFFFFF"/>
        <w:spacing w:before="0" w:beforeAutospacing="0" w:after="0" w:afterAutospacing="0" w:line="276" w:lineRule="auto"/>
        <w:rPr>
          <w:rFonts w:asciiTheme="minorHAnsi" w:hAnsiTheme="minorHAnsi" w:cs="Arial"/>
          <w:b w:val="0"/>
          <w:bCs w:val="0"/>
          <w:color w:val="005493"/>
          <w:sz w:val="24"/>
          <w:szCs w:val="24"/>
        </w:rPr>
      </w:pPr>
      <w:r>
        <w:rPr>
          <w:rFonts w:asciiTheme="minorHAnsi" w:hAnsiTheme="minorHAnsi" w:cs="Arial"/>
          <w:noProof/>
          <w:color w:val="333333"/>
          <w:sz w:val="22"/>
          <w:szCs w:val="22"/>
        </w:rPr>
        <mc:AlternateContent>
          <mc:Choice Requires="wps">
            <w:drawing>
              <wp:anchor distT="0" distB="0" distL="114300" distR="114300" simplePos="0" relativeHeight="251670528" behindDoc="0" locked="0" layoutInCell="1" allowOverlap="1" wp14:anchorId="78DF5E69" wp14:editId="2C35E3D9">
                <wp:simplePos x="0" y="0"/>
                <wp:positionH relativeFrom="column">
                  <wp:posOffset>3095625</wp:posOffset>
                </wp:positionH>
                <wp:positionV relativeFrom="paragraph">
                  <wp:posOffset>467360</wp:posOffset>
                </wp:positionV>
                <wp:extent cx="4445" cy="534035"/>
                <wp:effectExtent l="63500" t="0" r="46355" b="37465"/>
                <wp:wrapNone/>
                <wp:docPr id="29" name="Straight Arrow Connector 29"/>
                <wp:cNvGraphicFramePr/>
                <a:graphic xmlns:a="http://schemas.openxmlformats.org/drawingml/2006/main">
                  <a:graphicData uri="http://schemas.microsoft.com/office/word/2010/wordprocessingShape">
                    <wps:wsp>
                      <wps:cNvCnPr/>
                      <wps:spPr>
                        <a:xfrm>
                          <a:off x="0" y="0"/>
                          <a:ext cx="4445" cy="53403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CE0B264" id="Straight Arrow Connector 29" o:spid="_x0000_s1026" type="#_x0000_t32" style="position:absolute;margin-left:243.75pt;margin-top:36.8pt;width:.35pt;height:42.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" strokecolor="#4472c4 [3204]" strokeweight=".5pt">
                <v:stroke endarrow="block" joinstyle="miter"/>
              </v:shape>
            </w:pict>
          </mc:Fallback>
        </mc:AlternateContent>
      </w:r>
      <w:r>
        <w:rPr>
          <w:rFonts w:asciiTheme="minorHAnsi" w:hAnsiTheme="minorHAnsi" w:cs="Arial"/>
          <w:noProof/>
          <w:color w:val="333333"/>
          <w:sz w:val="22"/>
          <w:szCs w:val="22"/>
        </w:rPr>
        <mc:AlternateContent>
          <mc:Choice Requires="wps">
            <w:drawing>
              <wp:anchor distT="0" distB="0" distL="114300" distR="114300" simplePos="0" relativeHeight="251669504" behindDoc="0" locked="0" layoutInCell="1" allowOverlap="1" wp14:anchorId="2A72BF7E" wp14:editId="0F291F71">
                <wp:simplePos x="0" y="0"/>
                <wp:positionH relativeFrom="column">
                  <wp:posOffset>3940175</wp:posOffset>
                </wp:positionH>
                <wp:positionV relativeFrom="paragraph">
                  <wp:posOffset>451485</wp:posOffset>
                </wp:positionV>
                <wp:extent cx="629920" cy="1539875"/>
                <wp:effectExtent l="25400" t="0" r="17780" b="34925"/>
                <wp:wrapNone/>
                <wp:docPr id="28" name="Straight Arrow Connector 28"/>
                <wp:cNvGraphicFramePr/>
                <a:graphic xmlns:a="http://schemas.openxmlformats.org/drawingml/2006/main">
                  <a:graphicData uri="http://schemas.microsoft.com/office/word/2010/wordprocessingShape">
                    <wps:wsp>
                      <wps:cNvCnPr/>
                      <wps:spPr>
                        <a:xfrm flipH="1">
                          <a:off x="0" y="0"/>
                          <a:ext cx="629920" cy="15398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F65CAA3" id="Straight Arrow Connector 28" o:spid="_x0000_s1026" type="#_x0000_t32" style="position:absolute;margin-left:310.25pt;margin-top:35.55pt;width:49.6pt;height:121.2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" strokecolor="#4472c4 [3204]" strokeweight=".5pt">
                <v:stroke endarrow="block" joinstyle="miter"/>
              </v:shape>
            </w:pict>
          </mc:Fallback>
        </mc:AlternateContent>
      </w:r>
      <w:r>
        <w:rPr>
          <w:rFonts w:asciiTheme="minorHAnsi" w:hAnsiTheme="minorHAnsi" w:cs="Arial"/>
          <w:b w:val="0"/>
          <w:bCs w:val="0"/>
          <w:noProof/>
          <w:color w:val="005493"/>
          <w:sz w:val="24"/>
          <w:szCs w:val="24"/>
        </w:rPr>
        <mc:AlternateContent>
          <mc:Choice Requires="wps">
            <w:drawing>
              <wp:anchor distT="0" distB="0" distL="114300" distR="114300" simplePos="0" relativeHeight="251662336" behindDoc="0" locked="0" layoutInCell="1" allowOverlap="1" wp14:anchorId="37A7DD49" wp14:editId="3DE10BF1">
                <wp:simplePos x="0" y="0"/>
                <wp:positionH relativeFrom="column">
                  <wp:posOffset>1217930</wp:posOffset>
                </wp:positionH>
                <wp:positionV relativeFrom="paragraph">
                  <wp:posOffset>178435</wp:posOffset>
                </wp:positionV>
                <wp:extent cx="977265" cy="288290"/>
                <wp:effectExtent l="0" t="0" r="13335" b="16510"/>
                <wp:wrapNone/>
                <wp:docPr id="20" name="Rounded Rectangle 20"/>
                <wp:cNvGraphicFramePr/>
                <a:graphic xmlns:a="http://schemas.openxmlformats.org/drawingml/2006/main">
                  <a:graphicData uri="http://schemas.microsoft.com/office/word/2010/wordprocessingShape">
                    <wps:wsp>
                      <wps:cNvSpPr/>
                      <wps:spPr>
                        <a:xfrm>
                          <a:off x="0" y="0"/>
                          <a:ext cx="977265" cy="288290"/>
                        </a:xfrm>
                        <a:prstGeom prst="roundRect">
                          <a:avLst/>
                        </a:prstGeom>
                        <a:solidFill>
                          <a:srgbClr val="4472C4">
                            <a:lumMod val="20000"/>
                            <a:lumOff val="80000"/>
                          </a:srgbClr>
                        </a:solidFill>
                        <a:ln w="12700" cap="flat" cmpd="sng" algn="ctr">
                          <a:solidFill>
                            <a:srgbClr val="4472C4">
                              <a:shade val="50000"/>
                            </a:srgbClr>
                          </a:solidFill>
                          <a:prstDash val="solid"/>
                          <a:miter lim="800000"/>
                        </a:ln>
                        <a:effectLst/>
                      </wps:spPr>
                      <wps:txbx>
                        <w:txbxContent>
                          <w:p w14:paraId="2D9910B1" w14:textId="77777777" w:rsidR="00307B36" w:rsidRPr="00D04006" w:rsidRDefault="00307B36" w:rsidP="00307B36">
                            <w:pPr>
                              <w:jc w:val="center"/>
                              <w:rPr>
                                <w:sz w:val="18"/>
                                <w:szCs w:val="18"/>
                              </w:rPr>
                            </w:pPr>
                            <w:r w:rsidRPr="00D04006">
                              <w:rPr>
                                <w:rFonts w:hAnsi="Calibri"/>
                                <w:color w:val="000000"/>
                                <w:kern w:val="24"/>
                                <w:sz w:val="18"/>
                                <w:szCs w:val="18"/>
                              </w:rPr>
                              <w:t>Hospital 1</w:t>
                            </w:r>
                          </w:p>
                        </w:txbxContent>
                      </wps:txbx>
                      <wps:bodyPr rtlCol="0" anchor="ctr"/>
                    </wps:wsp>
                  </a:graphicData>
                </a:graphic>
              </wp:anchor>
            </w:drawing>
          </mc:Choice>
          <mc:Fallback>
            <w:pict>
              <v:roundrect w14:anchorId="37A7DD49" id="Rounded Rectangle 20" o:spid="_x0000_s1035" style="position:absolute;margin-left:95.9pt;margin-top:14.05pt;width:76.95pt;height:22.7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" fillcolor="#dae3f3" strokecolor="#2f528f" strokeweight="1pt">
                <v:stroke joinstyle="miter"/>
                <v:textbox>
                  <w:txbxContent>
                    <w:p w14:paraId="2D9910B1" w14:textId="77777777" w:rsidR="00307B36" w:rsidRPr="00D04006" w:rsidRDefault="00307B36" w:rsidP="00307B36">
                      <w:pPr>
                        <w:jc w:val="center"/>
                        <w:rPr>
                          <w:sz w:val="18"/>
                          <w:szCs w:val="18"/>
                        </w:rPr>
                      </w:pPr>
                      <w:r w:rsidRPr="00D04006">
                        <w:rPr>
                          <w:rFonts w:hAnsi="Calibri"/>
                          <w:color w:val="000000"/>
                          <w:kern w:val="24"/>
                          <w:sz w:val="18"/>
                          <w:szCs w:val="18"/>
                        </w:rPr>
                        <w:t>Hospital 1</w:t>
                      </w:r>
                    </w:p>
                  </w:txbxContent>
                </v:textbox>
              </v:roundrect>
            </w:pict>
          </mc:Fallback>
        </mc:AlternateContent>
      </w:r>
      <w:r>
        <w:rPr>
          <w:rFonts w:asciiTheme="minorHAnsi" w:hAnsiTheme="minorHAnsi" w:cs="Arial"/>
          <w:b w:val="0"/>
          <w:bCs w:val="0"/>
          <w:noProof/>
          <w:color w:val="005493"/>
          <w:sz w:val="24"/>
          <w:szCs w:val="24"/>
        </w:rPr>
        <mc:AlternateContent>
          <mc:Choice Requires="wps">
            <w:drawing>
              <wp:anchor distT="0" distB="0" distL="114300" distR="114300" simplePos="0" relativeHeight="251663360" behindDoc="0" locked="0" layoutInCell="1" allowOverlap="1" wp14:anchorId="7D93EEE5" wp14:editId="2F40B8EF">
                <wp:simplePos x="0" y="0"/>
                <wp:positionH relativeFrom="column">
                  <wp:posOffset>2619375</wp:posOffset>
                </wp:positionH>
                <wp:positionV relativeFrom="paragraph">
                  <wp:posOffset>178435</wp:posOffset>
                </wp:positionV>
                <wp:extent cx="977265" cy="288290"/>
                <wp:effectExtent l="0" t="0" r="13335" b="16510"/>
                <wp:wrapNone/>
                <wp:docPr id="22" name="Rounded Rectangle 22"/>
                <wp:cNvGraphicFramePr/>
                <a:graphic xmlns:a="http://schemas.openxmlformats.org/drawingml/2006/main">
                  <a:graphicData uri="http://schemas.microsoft.com/office/word/2010/wordprocessingShape">
                    <wps:wsp>
                      <wps:cNvSpPr/>
                      <wps:spPr>
                        <a:xfrm>
                          <a:off x="0" y="0"/>
                          <a:ext cx="977265" cy="288290"/>
                        </a:xfrm>
                        <a:prstGeom prst="roundRect">
                          <a:avLst/>
                        </a:prstGeom>
                        <a:solidFill>
                          <a:srgbClr val="4472C4">
                            <a:lumMod val="20000"/>
                            <a:lumOff val="80000"/>
                          </a:srgbClr>
                        </a:solidFill>
                        <a:ln w="12700" cap="flat" cmpd="sng" algn="ctr">
                          <a:solidFill>
                            <a:srgbClr val="4472C4">
                              <a:shade val="50000"/>
                            </a:srgbClr>
                          </a:solidFill>
                          <a:prstDash val="solid"/>
                          <a:miter lim="800000"/>
                        </a:ln>
                        <a:effectLst/>
                      </wps:spPr>
                      <wps:txbx>
                        <w:txbxContent>
                          <w:p w14:paraId="64221936" w14:textId="77777777" w:rsidR="00307B36" w:rsidRPr="00D04006" w:rsidRDefault="00307B36" w:rsidP="00307B36">
                            <w:pPr>
                              <w:jc w:val="center"/>
                              <w:rPr>
                                <w:sz w:val="18"/>
                                <w:szCs w:val="18"/>
                              </w:rPr>
                            </w:pPr>
                            <w:r w:rsidRPr="00D04006">
                              <w:rPr>
                                <w:rFonts w:hAnsi="Calibri"/>
                                <w:color w:val="000000"/>
                                <w:kern w:val="24"/>
                                <w:sz w:val="18"/>
                                <w:szCs w:val="18"/>
                              </w:rPr>
                              <w:t>Hospital 2</w:t>
                            </w:r>
                          </w:p>
                        </w:txbxContent>
                      </wps:txbx>
                      <wps:bodyPr wrap="square" rtlCol="0" anchor="ctr"/>
                    </wps:wsp>
                  </a:graphicData>
                </a:graphic>
                <wp14:sizeRelH relativeFrom="margin">
                  <wp14:pctWidth>0</wp14:pctWidth>
                </wp14:sizeRelH>
              </wp:anchor>
            </w:drawing>
          </mc:Choice>
          <mc:Fallback>
            <w:pict>
              <v:roundrect w14:anchorId="7D93EEE5" id="Rounded Rectangle 22" o:spid="_x0000_s1036" style="position:absolute;margin-left:206.25pt;margin-top:14.05pt;width:76.95pt;height:22.7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" fillcolor="#dae3f3" strokecolor="#2f528f" strokeweight="1pt">
                <v:stroke joinstyle="miter"/>
                <v:textbox>
                  <w:txbxContent>
                    <w:p w14:paraId="64221936" w14:textId="77777777" w:rsidR="00307B36" w:rsidRPr="00D04006" w:rsidRDefault="00307B36" w:rsidP="00307B36">
                      <w:pPr>
                        <w:jc w:val="center"/>
                        <w:rPr>
                          <w:sz w:val="18"/>
                          <w:szCs w:val="18"/>
                        </w:rPr>
                      </w:pPr>
                      <w:r w:rsidRPr="00D04006">
                        <w:rPr>
                          <w:rFonts w:hAnsi="Calibri"/>
                          <w:color w:val="000000"/>
                          <w:kern w:val="24"/>
                          <w:sz w:val="18"/>
                          <w:szCs w:val="18"/>
                        </w:rPr>
                        <w:t>Hospital 2</w:t>
                      </w:r>
                    </w:p>
                  </w:txbxContent>
                </v:textbox>
              </v:roundrect>
            </w:pict>
          </mc:Fallback>
        </mc:AlternateContent>
      </w:r>
      <w:r>
        <w:rPr>
          <w:rFonts w:asciiTheme="minorHAnsi" w:hAnsiTheme="minorHAnsi" w:cs="Arial"/>
          <w:b w:val="0"/>
          <w:bCs w:val="0"/>
          <w:noProof/>
          <w:color w:val="005493"/>
          <w:sz w:val="24"/>
          <w:szCs w:val="24"/>
        </w:rPr>
        <mc:AlternateContent>
          <mc:Choice Requires="wps">
            <w:drawing>
              <wp:anchor distT="0" distB="0" distL="114300" distR="114300" simplePos="0" relativeHeight="251664384" behindDoc="0" locked="0" layoutInCell="1" allowOverlap="1" wp14:anchorId="61037879" wp14:editId="5D319704">
                <wp:simplePos x="0" y="0"/>
                <wp:positionH relativeFrom="column">
                  <wp:posOffset>4065221</wp:posOffset>
                </wp:positionH>
                <wp:positionV relativeFrom="paragraph">
                  <wp:posOffset>186055</wp:posOffset>
                </wp:positionV>
                <wp:extent cx="977265" cy="280670"/>
                <wp:effectExtent l="0" t="0" r="13335" b="11430"/>
                <wp:wrapNone/>
                <wp:docPr id="23" name="Rounded Rectangle 23"/>
                <wp:cNvGraphicFramePr/>
                <a:graphic xmlns:a="http://schemas.openxmlformats.org/drawingml/2006/main">
                  <a:graphicData uri="http://schemas.microsoft.com/office/word/2010/wordprocessingShape">
                    <wps:wsp>
                      <wps:cNvSpPr/>
                      <wps:spPr>
                        <a:xfrm>
                          <a:off x="0" y="0"/>
                          <a:ext cx="977265" cy="280670"/>
                        </a:xfrm>
                        <a:prstGeom prst="roundRect">
                          <a:avLst/>
                        </a:prstGeom>
                        <a:solidFill>
                          <a:srgbClr val="4472C4">
                            <a:lumMod val="20000"/>
                            <a:lumOff val="80000"/>
                          </a:srgbClr>
                        </a:solidFill>
                        <a:ln w="12700" cap="flat" cmpd="sng" algn="ctr">
                          <a:solidFill>
                            <a:srgbClr val="4472C4">
                              <a:shade val="50000"/>
                            </a:srgbClr>
                          </a:solidFill>
                          <a:prstDash val="solid"/>
                          <a:miter lim="800000"/>
                        </a:ln>
                        <a:effectLst/>
                      </wps:spPr>
                      <wps:txbx>
                        <w:txbxContent>
                          <w:p w14:paraId="0B2E0E54" w14:textId="77777777" w:rsidR="00307B36" w:rsidRPr="00D04006" w:rsidRDefault="00307B36" w:rsidP="00307B36">
                            <w:pPr>
                              <w:jc w:val="center"/>
                              <w:rPr>
                                <w:sz w:val="18"/>
                                <w:szCs w:val="18"/>
                              </w:rPr>
                            </w:pPr>
                            <w:r w:rsidRPr="00D04006">
                              <w:rPr>
                                <w:rFonts w:hAnsi="Calibri"/>
                                <w:color w:val="000000"/>
                                <w:kern w:val="24"/>
                                <w:sz w:val="18"/>
                                <w:szCs w:val="18"/>
                              </w:rPr>
                              <w:t>Hospital 3</w:t>
                            </w:r>
                          </w:p>
                        </w:txbxContent>
                      </wps:txbx>
                      <wps:bodyPr rtlCol="0" anchor="ctr">
                        <a:noAutofit/>
                      </wps:bodyPr>
                    </wps:wsp>
                  </a:graphicData>
                </a:graphic>
                <wp14:sizeRelV relativeFrom="margin">
                  <wp14:pctHeight>0</wp14:pctHeight>
                </wp14:sizeRelV>
              </wp:anchor>
            </w:drawing>
          </mc:Choice>
          <mc:Fallback>
            <w:pict>
              <v:roundrect w14:anchorId="61037879" id="Rounded Rectangle 23" o:spid="_x0000_s1037" style="position:absolute;margin-left:320.1pt;margin-top:14.65pt;width:76.95pt;height:22.1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" fillcolor="#dae3f3" strokecolor="#2f528f" strokeweight="1pt">
                <v:stroke joinstyle="miter"/>
                <v:textbox>
                  <w:txbxContent>
                    <w:p w14:paraId="0B2E0E54" w14:textId="77777777" w:rsidR="00307B36" w:rsidRPr="00D04006" w:rsidRDefault="00307B36" w:rsidP="00307B36">
                      <w:pPr>
                        <w:jc w:val="center"/>
                        <w:rPr>
                          <w:sz w:val="18"/>
                          <w:szCs w:val="18"/>
                        </w:rPr>
                      </w:pPr>
                      <w:r w:rsidRPr="00D04006">
                        <w:rPr>
                          <w:rFonts w:hAnsi="Calibri"/>
                          <w:color w:val="000000"/>
                          <w:kern w:val="24"/>
                          <w:sz w:val="18"/>
                          <w:szCs w:val="18"/>
                        </w:rPr>
                        <w:t>Hospital 3</w:t>
                      </w:r>
                    </w:p>
                  </w:txbxContent>
                </v:textbox>
              </v:roundrect>
            </w:pict>
          </mc:Fallback>
        </mc:AlternateContent>
      </w:r>
    </w:p>
    <w:p w14:paraId="38DD0C1A" w14:textId="77777777" w:rsidR="00307B36" w:rsidRDefault="00307B36" w:rsidP="00307B36">
      <w:pPr>
        <w:pStyle w:val="NormalWeb"/>
        <w:shd w:val="clear" w:color="auto" w:fill="FFFFFF"/>
        <w:spacing w:line="276" w:lineRule="auto"/>
        <w:rPr>
          <w:rFonts w:asciiTheme="minorHAnsi" w:hAnsiTheme="minorHAnsi" w:cs="Arial"/>
          <w:color w:val="333333"/>
          <w:sz w:val="22"/>
          <w:szCs w:val="22"/>
        </w:rPr>
      </w:pPr>
      <w:r>
        <w:rPr>
          <w:rFonts w:asciiTheme="minorHAnsi" w:hAnsiTheme="minorHAnsi" w:cs="Arial"/>
          <w:noProof/>
          <w:color w:val="333333"/>
          <w:sz w:val="22"/>
          <w:szCs w:val="22"/>
        </w:rPr>
        <mc:AlternateContent>
          <mc:Choice Requires="wps">
            <w:drawing>
              <wp:anchor distT="0" distB="0" distL="114300" distR="114300" simplePos="0" relativeHeight="251668480" behindDoc="0" locked="0" layoutInCell="1" allowOverlap="1" wp14:anchorId="527B6538" wp14:editId="62E6FD58">
                <wp:simplePos x="0" y="0"/>
                <wp:positionH relativeFrom="column">
                  <wp:posOffset>1680894</wp:posOffset>
                </wp:positionH>
                <wp:positionV relativeFrom="paragraph">
                  <wp:posOffset>259080</wp:posOffset>
                </wp:positionV>
                <wp:extent cx="555674" cy="1525807"/>
                <wp:effectExtent l="0" t="0" r="41275" b="36830"/>
                <wp:wrapNone/>
                <wp:docPr id="27" name="Straight Arrow Connector 27"/>
                <wp:cNvGraphicFramePr/>
                <a:graphic xmlns:a="http://schemas.openxmlformats.org/drawingml/2006/main">
                  <a:graphicData uri="http://schemas.microsoft.com/office/word/2010/wordprocessingShape">
                    <wps:wsp>
                      <wps:cNvCnPr/>
                      <wps:spPr>
                        <a:xfrm>
                          <a:off x="0" y="0"/>
                          <a:ext cx="555674" cy="152580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3E8AFEE" id="Straight Arrow Connector 27" o:spid="_x0000_s1026" type="#_x0000_t32" style="position:absolute;margin-left:132.35pt;margin-top:20.4pt;width:43.75pt;height:120.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" strokecolor="#4472c4 [3204]" strokeweight=".5pt">
                <v:stroke endarrow="block" joinstyle="miter"/>
              </v:shape>
            </w:pict>
          </mc:Fallback>
        </mc:AlternateContent>
      </w:r>
    </w:p>
    <w:p w14:paraId="132606E8" w14:textId="77777777" w:rsidR="00307B36" w:rsidRDefault="00307B36" w:rsidP="00307B36">
      <w:pPr>
        <w:pStyle w:val="NormalWeb"/>
        <w:shd w:val="clear" w:color="auto" w:fill="FFFFFF"/>
        <w:spacing w:line="276" w:lineRule="auto"/>
        <w:rPr>
          <w:rFonts w:asciiTheme="minorHAnsi" w:hAnsiTheme="minorHAnsi" w:cs="Arial"/>
          <w:color w:val="333333"/>
          <w:sz w:val="22"/>
          <w:szCs w:val="22"/>
        </w:rPr>
      </w:pPr>
      <w:r>
        <w:rPr>
          <w:rFonts w:asciiTheme="minorHAnsi" w:hAnsiTheme="minorHAnsi" w:cs="Arial"/>
          <w:noProof/>
          <w:color w:val="333333"/>
          <w:sz w:val="22"/>
          <w:szCs w:val="22"/>
        </w:rPr>
        <mc:AlternateContent>
          <mc:Choice Requires="wps">
            <w:drawing>
              <wp:anchor distT="0" distB="0" distL="114300" distR="114300" simplePos="0" relativeHeight="251666432" behindDoc="0" locked="0" layoutInCell="1" allowOverlap="1" wp14:anchorId="5291F74D" wp14:editId="44C9391D">
                <wp:simplePos x="0" y="0"/>
                <wp:positionH relativeFrom="column">
                  <wp:posOffset>2254836</wp:posOffset>
                </wp:positionH>
                <wp:positionV relativeFrom="paragraph">
                  <wp:posOffset>239395</wp:posOffset>
                </wp:positionV>
                <wp:extent cx="1687830" cy="454660"/>
                <wp:effectExtent l="0" t="0" r="13970" b="15240"/>
                <wp:wrapNone/>
                <wp:docPr id="25" name="Rounded Rectangle 25"/>
                <wp:cNvGraphicFramePr/>
                <a:graphic xmlns:a="http://schemas.openxmlformats.org/drawingml/2006/main">
                  <a:graphicData uri="http://schemas.microsoft.com/office/word/2010/wordprocessingShape">
                    <wps:wsp>
                      <wps:cNvSpPr/>
                      <wps:spPr>
                        <a:xfrm>
                          <a:off x="0" y="0"/>
                          <a:ext cx="1687830" cy="454660"/>
                        </a:xfrm>
                        <a:prstGeom prst="roundRect">
                          <a:avLst/>
                        </a:prstGeom>
                        <a:solidFill>
                          <a:srgbClr val="4472C4">
                            <a:lumMod val="40000"/>
                            <a:lumOff val="60000"/>
                          </a:srgbClr>
                        </a:solidFill>
                        <a:ln w="12700" cap="flat" cmpd="sng" algn="ctr">
                          <a:solidFill>
                            <a:srgbClr val="4472C4">
                              <a:shade val="50000"/>
                            </a:srgbClr>
                          </a:solidFill>
                          <a:prstDash val="solid"/>
                          <a:miter lim="800000"/>
                        </a:ln>
                        <a:effectLst/>
                      </wps:spPr>
                      <wps:txbx>
                        <w:txbxContent>
                          <w:p w14:paraId="00E85A9A" w14:textId="77777777" w:rsidR="00307B36" w:rsidRPr="00D04006" w:rsidRDefault="00307B36" w:rsidP="00307B36">
                            <w:pPr>
                              <w:jc w:val="center"/>
                              <w:rPr>
                                <w:sz w:val="20"/>
                                <w:szCs w:val="20"/>
                              </w:rPr>
                            </w:pPr>
                            <w:r w:rsidRPr="00D04006">
                              <w:rPr>
                                <w:rFonts w:hAnsi="Calibri"/>
                                <w:color w:val="000000"/>
                                <w:kern w:val="24"/>
                                <w:sz w:val="20"/>
                                <w:szCs w:val="20"/>
                              </w:rPr>
                              <w:t>Local Health Department</w:t>
                            </w:r>
                          </w:p>
                        </w:txbxContent>
                      </wps:txbx>
                      <wps:bodyPr wrap="square" rtlCol="0" anchor="ctr"/>
                    </wps:wsp>
                  </a:graphicData>
                </a:graphic>
                <wp14:sizeRelH relativeFrom="margin">
                  <wp14:pctWidth>0</wp14:pctWidth>
                </wp14:sizeRelH>
              </wp:anchor>
            </w:drawing>
          </mc:Choice>
          <mc:Fallback>
            <w:pict>
              <v:roundrect w14:anchorId="5291F74D" id="Rounded Rectangle 25" o:spid="_x0000_s1038" style="position:absolute;margin-left:177.55pt;margin-top:18.85pt;width:132.9pt;height:35.8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" fillcolor="#b4c7e7" strokecolor="#2f528f" strokeweight="1pt">
                <v:stroke joinstyle="miter"/>
                <v:textbox>
                  <w:txbxContent>
                    <w:p w14:paraId="00E85A9A" w14:textId="77777777" w:rsidR="00307B36" w:rsidRPr="00D04006" w:rsidRDefault="00307B36" w:rsidP="00307B36">
                      <w:pPr>
                        <w:jc w:val="center"/>
                        <w:rPr>
                          <w:sz w:val="20"/>
                          <w:szCs w:val="20"/>
                        </w:rPr>
                      </w:pPr>
                      <w:r w:rsidRPr="00D04006">
                        <w:rPr>
                          <w:rFonts w:hAnsi="Calibri"/>
                          <w:color w:val="000000"/>
                          <w:kern w:val="24"/>
                          <w:sz w:val="20"/>
                          <w:szCs w:val="20"/>
                        </w:rPr>
                        <w:t>Local Health Department</w:t>
                      </w:r>
                    </w:p>
                  </w:txbxContent>
                </v:textbox>
              </v:roundrect>
            </w:pict>
          </mc:Fallback>
        </mc:AlternateContent>
      </w:r>
    </w:p>
    <w:p w14:paraId="34E3B45E" w14:textId="77777777" w:rsidR="00307B36" w:rsidRDefault="00307B36" w:rsidP="00307B36">
      <w:pPr>
        <w:pStyle w:val="NormalWeb"/>
        <w:shd w:val="clear" w:color="auto" w:fill="FFFFFF"/>
        <w:spacing w:line="276" w:lineRule="auto"/>
        <w:rPr>
          <w:rFonts w:asciiTheme="minorHAnsi" w:hAnsiTheme="minorHAnsi" w:cs="Arial"/>
          <w:color w:val="333333"/>
          <w:sz w:val="22"/>
          <w:szCs w:val="22"/>
        </w:rPr>
      </w:pPr>
      <w:r>
        <w:rPr>
          <w:rFonts w:asciiTheme="minorHAnsi" w:hAnsiTheme="minorHAnsi" w:cs="Arial"/>
          <w:noProof/>
          <w:color w:val="333333"/>
          <w:sz w:val="22"/>
          <w:szCs w:val="22"/>
        </w:rPr>
        <mc:AlternateContent>
          <mc:Choice Requires="wps">
            <w:drawing>
              <wp:anchor distT="0" distB="0" distL="114300" distR="114300" simplePos="0" relativeHeight="251671552" behindDoc="0" locked="0" layoutInCell="1" allowOverlap="1" wp14:anchorId="76A0D5D7" wp14:editId="13387DD0">
                <wp:simplePos x="0" y="0"/>
                <wp:positionH relativeFrom="column">
                  <wp:posOffset>3082241</wp:posOffset>
                </wp:positionH>
                <wp:positionV relativeFrom="paragraph">
                  <wp:posOffset>312420</wp:posOffset>
                </wp:positionV>
                <wp:extent cx="5521" cy="302455"/>
                <wp:effectExtent l="63500" t="0" r="45720" b="40640"/>
                <wp:wrapNone/>
                <wp:docPr id="30" name="Straight Arrow Connector 30"/>
                <wp:cNvGraphicFramePr/>
                <a:graphic xmlns:a="http://schemas.openxmlformats.org/drawingml/2006/main">
                  <a:graphicData uri="http://schemas.microsoft.com/office/word/2010/wordprocessingShape">
                    <wps:wsp>
                      <wps:cNvCnPr/>
                      <wps:spPr>
                        <a:xfrm flipH="1">
                          <a:off x="0" y="0"/>
                          <a:ext cx="5521" cy="30245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02E103A" id="Straight Arrow Connector 30" o:spid="_x0000_s1026" type="#_x0000_t32" style="position:absolute;margin-left:242.7pt;margin-top:24.6pt;width:.45pt;height:23.8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" strokecolor="#4472c4 [3204]" strokeweight=".5pt">
                <v:stroke endarrow="block" joinstyle="miter"/>
              </v:shape>
            </w:pict>
          </mc:Fallback>
        </mc:AlternateContent>
      </w:r>
    </w:p>
    <w:p w14:paraId="1E8B5BEF" w14:textId="77777777" w:rsidR="00307B36" w:rsidRDefault="00307B36" w:rsidP="00307B36">
      <w:pPr>
        <w:pStyle w:val="NormalWeb"/>
        <w:shd w:val="clear" w:color="auto" w:fill="FFFFFF"/>
        <w:spacing w:line="276" w:lineRule="auto"/>
        <w:rPr>
          <w:rFonts w:asciiTheme="minorHAnsi" w:hAnsiTheme="minorHAnsi" w:cs="Arial"/>
          <w:color w:val="333333"/>
          <w:sz w:val="22"/>
          <w:szCs w:val="22"/>
        </w:rPr>
      </w:pPr>
      <w:r>
        <w:rPr>
          <w:rFonts w:asciiTheme="minorHAnsi" w:hAnsiTheme="minorHAnsi" w:cs="Arial"/>
          <w:noProof/>
          <w:color w:val="333333"/>
          <w:sz w:val="22"/>
          <w:szCs w:val="22"/>
        </w:rPr>
        <mc:AlternateContent>
          <mc:Choice Requires="wps">
            <w:drawing>
              <wp:anchor distT="0" distB="0" distL="114300" distR="114300" simplePos="0" relativeHeight="251667456" behindDoc="0" locked="0" layoutInCell="1" allowOverlap="1" wp14:anchorId="793F4CD5" wp14:editId="0C737108">
                <wp:simplePos x="0" y="0"/>
                <wp:positionH relativeFrom="column">
                  <wp:posOffset>2245946</wp:posOffset>
                </wp:positionH>
                <wp:positionV relativeFrom="paragraph">
                  <wp:posOffset>243840</wp:posOffset>
                </wp:positionV>
                <wp:extent cx="1687830" cy="454660"/>
                <wp:effectExtent l="0" t="0" r="13970" b="15240"/>
                <wp:wrapNone/>
                <wp:docPr id="26" name="Rounded Rectangle 26"/>
                <wp:cNvGraphicFramePr/>
                <a:graphic xmlns:a="http://schemas.openxmlformats.org/drawingml/2006/main">
                  <a:graphicData uri="http://schemas.microsoft.com/office/word/2010/wordprocessingShape">
                    <wps:wsp>
                      <wps:cNvSpPr/>
                      <wps:spPr>
                        <a:xfrm>
                          <a:off x="0" y="0"/>
                          <a:ext cx="1687830" cy="454660"/>
                        </a:xfrm>
                        <a:prstGeom prst="roundRect">
                          <a:avLst/>
                        </a:prstGeom>
                        <a:solidFill>
                          <a:srgbClr val="4472C4">
                            <a:lumMod val="40000"/>
                            <a:lumOff val="60000"/>
                          </a:srgbClr>
                        </a:solidFill>
                        <a:ln w="12700" cap="flat" cmpd="sng" algn="ctr">
                          <a:solidFill>
                            <a:srgbClr val="4472C4">
                              <a:shade val="50000"/>
                            </a:srgbClr>
                          </a:solidFill>
                          <a:prstDash val="solid"/>
                          <a:miter lim="800000"/>
                        </a:ln>
                        <a:effectLst/>
                      </wps:spPr>
                      <wps:txbx>
                        <w:txbxContent>
                          <w:p w14:paraId="6CE86E41" w14:textId="77777777" w:rsidR="00307B36" w:rsidRPr="00D04006" w:rsidRDefault="00307B36" w:rsidP="00307B36">
                            <w:pPr>
                              <w:jc w:val="center"/>
                              <w:rPr>
                                <w:sz w:val="20"/>
                                <w:szCs w:val="20"/>
                              </w:rPr>
                            </w:pPr>
                            <w:r w:rsidRPr="00D04006">
                              <w:rPr>
                                <w:rFonts w:hAnsi="Calibri"/>
                                <w:color w:val="000000"/>
                                <w:kern w:val="24"/>
                                <w:sz w:val="20"/>
                                <w:szCs w:val="20"/>
                              </w:rPr>
                              <w:t>State Health Department</w:t>
                            </w:r>
                          </w:p>
                        </w:txbxContent>
                      </wps:txbx>
                      <wps:bodyPr wrap="square" rtlCol="0" anchor="ctr"/>
                    </wps:wsp>
                  </a:graphicData>
                </a:graphic>
                <wp14:sizeRelH relativeFrom="margin">
                  <wp14:pctWidth>0</wp14:pctWidth>
                </wp14:sizeRelH>
              </wp:anchor>
            </w:drawing>
          </mc:Choice>
          <mc:Fallback>
            <w:pict>
              <v:roundrect w14:anchorId="793F4CD5" id="Rounded Rectangle 26" o:spid="_x0000_s1039" style="position:absolute;margin-left:176.85pt;margin-top:19.2pt;width:132.9pt;height:35.8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" fillcolor="#b4c7e7" strokecolor="#2f528f" strokeweight="1pt">
                <v:stroke joinstyle="miter"/>
                <v:textbox>
                  <w:txbxContent>
                    <w:p w14:paraId="6CE86E41" w14:textId="77777777" w:rsidR="00307B36" w:rsidRPr="00D04006" w:rsidRDefault="00307B36" w:rsidP="00307B36">
                      <w:pPr>
                        <w:jc w:val="center"/>
                        <w:rPr>
                          <w:sz w:val="20"/>
                          <w:szCs w:val="20"/>
                        </w:rPr>
                      </w:pPr>
                      <w:r w:rsidRPr="00D04006">
                        <w:rPr>
                          <w:rFonts w:hAnsi="Calibri"/>
                          <w:color w:val="000000"/>
                          <w:kern w:val="24"/>
                          <w:sz w:val="20"/>
                          <w:szCs w:val="20"/>
                        </w:rPr>
                        <w:t>State Health Department</w:t>
                      </w:r>
                    </w:p>
                  </w:txbxContent>
                </v:textbox>
              </v:roundrect>
            </w:pict>
          </mc:Fallback>
        </mc:AlternateContent>
      </w:r>
    </w:p>
    <w:p w14:paraId="635294DF" w14:textId="77777777" w:rsidR="00307B36" w:rsidRDefault="00307B36" w:rsidP="00307B36">
      <w:pPr>
        <w:pStyle w:val="NormalWeb"/>
        <w:shd w:val="clear" w:color="auto" w:fill="FFFFFF"/>
        <w:spacing w:line="276" w:lineRule="auto"/>
        <w:rPr>
          <w:rFonts w:asciiTheme="minorHAnsi" w:hAnsiTheme="minorHAnsi" w:cs="Arial"/>
          <w:color w:val="333333"/>
          <w:sz w:val="22"/>
          <w:szCs w:val="22"/>
        </w:rPr>
      </w:pPr>
      <w:r>
        <w:rPr>
          <w:rFonts w:asciiTheme="minorHAnsi" w:hAnsiTheme="minorHAnsi" w:cs="Arial"/>
          <w:noProof/>
          <w:color w:val="333333"/>
          <w:sz w:val="22"/>
          <w:szCs w:val="22"/>
        </w:rPr>
        <mc:AlternateContent>
          <mc:Choice Requires="wps">
            <w:drawing>
              <wp:anchor distT="0" distB="0" distL="114300" distR="114300" simplePos="0" relativeHeight="251672576" behindDoc="0" locked="0" layoutInCell="1" allowOverlap="1" wp14:anchorId="43C3F7E1" wp14:editId="50094083">
                <wp:simplePos x="0" y="0"/>
                <wp:positionH relativeFrom="column">
                  <wp:posOffset>3066366</wp:posOffset>
                </wp:positionH>
                <wp:positionV relativeFrom="paragraph">
                  <wp:posOffset>328295</wp:posOffset>
                </wp:positionV>
                <wp:extent cx="6178" cy="346662"/>
                <wp:effectExtent l="63500" t="0" r="45085" b="34925"/>
                <wp:wrapNone/>
                <wp:docPr id="31" name="Straight Arrow Connector 31"/>
                <wp:cNvGraphicFramePr/>
                <a:graphic xmlns:a="http://schemas.openxmlformats.org/drawingml/2006/main">
                  <a:graphicData uri="http://schemas.microsoft.com/office/word/2010/wordprocessingShape">
                    <wps:wsp>
                      <wps:cNvCnPr/>
                      <wps:spPr>
                        <a:xfrm flipH="1">
                          <a:off x="0" y="0"/>
                          <a:ext cx="6178" cy="34666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B3153B6" id="Straight Arrow Connector 31" o:spid="_x0000_s1026" type="#_x0000_t32" style="position:absolute;margin-left:241.45pt;margin-top:25.85pt;width:.5pt;height:27.3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" strokecolor="#4472c4 [3204]" strokeweight=".5pt">
                <v:stroke endarrow="block" joinstyle="miter"/>
              </v:shape>
            </w:pict>
          </mc:Fallback>
        </mc:AlternateContent>
      </w:r>
    </w:p>
    <w:p w14:paraId="72261FED" w14:textId="77777777" w:rsidR="00307B36" w:rsidRDefault="00307B36" w:rsidP="00307B36">
      <w:pPr>
        <w:pStyle w:val="NormalWeb"/>
        <w:shd w:val="clear" w:color="auto" w:fill="FFFFFF"/>
        <w:spacing w:line="276" w:lineRule="auto"/>
        <w:rPr>
          <w:rFonts w:asciiTheme="minorHAnsi" w:hAnsiTheme="minorHAnsi" w:cs="Arial"/>
          <w:color w:val="333333"/>
          <w:sz w:val="22"/>
          <w:szCs w:val="22"/>
        </w:rPr>
      </w:pPr>
      <w:r>
        <w:rPr>
          <w:rFonts w:asciiTheme="minorHAnsi" w:hAnsiTheme="minorHAnsi" w:cs="Arial"/>
          <w:noProof/>
          <w:color w:val="333333"/>
          <w:sz w:val="22"/>
          <w:szCs w:val="22"/>
        </w:rPr>
        <mc:AlternateContent>
          <mc:Choice Requires="wps">
            <w:drawing>
              <wp:anchor distT="0" distB="0" distL="114300" distR="114300" simplePos="0" relativeHeight="251665408" behindDoc="0" locked="0" layoutInCell="1" allowOverlap="1" wp14:anchorId="0DFCD043" wp14:editId="36CE58AE">
                <wp:simplePos x="0" y="0"/>
                <wp:positionH relativeFrom="column">
                  <wp:posOffset>2543761</wp:posOffset>
                </wp:positionH>
                <wp:positionV relativeFrom="paragraph">
                  <wp:posOffset>314325</wp:posOffset>
                </wp:positionV>
                <wp:extent cx="1068705" cy="713105"/>
                <wp:effectExtent l="0" t="0" r="10795" b="10795"/>
                <wp:wrapNone/>
                <wp:docPr id="24" name="Rounded Rectangle 24"/>
                <wp:cNvGraphicFramePr/>
                <a:graphic xmlns:a="http://schemas.openxmlformats.org/drawingml/2006/main">
                  <a:graphicData uri="http://schemas.microsoft.com/office/word/2010/wordprocessingShape">
                    <wps:wsp>
                      <wps:cNvSpPr/>
                      <wps:spPr>
                        <a:xfrm>
                          <a:off x="0" y="0"/>
                          <a:ext cx="1068705" cy="713105"/>
                        </a:xfrm>
                        <a:prstGeom prst="roundRect">
                          <a:avLst/>
                        </a:prstGeom>
                        <a:solidFill>
                          <a:srgbClr val="4472C4">
                            <a:lumMod val="60000"/>
                            <a:lumOff val="40000"/>
                          </a:srgbClr>
                        </a:solidFill>
                        <a:ln w="12700" cap="flat" cmpd="sng" algn="ctr">
                          <a:solidFill>
                            <a:srgbClr val="4472C4">
                              <a:shade val="50000"/>
                            </a:srgbClr>
                          </a:solidFill>
                          <a:prstDash val="solid"/>
                          <a:miter lim="800000"/>
                        </a:ln>
                        <a:effectLst/>
                      </wps:spPr>
                      <wps:txbx>
                        <w:txbxContent>
                          <w:p w14:paraId="2BDAA92E" w14:textId="77777777" w:rsidR="00307B36" w:rsidRPr="00D04006" w:rsidRDefault="00307B36" w:rsidP="00307B36">
                            <w:pPr>
                              <w:jc w:val="center"/>
                              <w:rPr>
                                <w:sz w:val="22"/>
                                <w:szCs w:val="22"/>
                              </w:rPr>
                            </w:pPr>
                            <w:r>
                              <w:rPr>
                                <w:rFonts w:hAnsi="Calibri"/>
                                <w:color w:val="000000"/>
                                <w:kern w:val="24"/>
                                <w:sz w:val="22"/>
                                <w:szCs w:val="22"/>
                              </w:rPr>
                              <w:t>BioSense Lockers</w:t>
                            </w:r>
                          </w:p>
                        </w:txbxContent>
                      </wps:txbx>
                      <wps:bodyPr wrap="square" rtlCol="0" anchor="ctr"/>
                    </wps:wsp>
                  </a:graphicData>
                </a:graphic>
                <wp14:sizeRelH relativeFrom="margin">
                  <wp14:pctWidth>0</wp14:pctWidth>
                </wp14:sizeRelH>
              </wp:anchor>
            </w:drawing>
          </mc:Choice>
          <mc:Fallback>
            <w:pict>
              <v:roundrect w14:anchorId="0DFCD043" id="Rounded Rectangle 24" o:spid="_x0000_s1040" style="position:absolute;margin-left:200.3pt;margin-top:24.75pt;width:84.15pt;height:56.1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" fillcolor="#8faadc" strokecolor="#2f528f" strokeweight="1pt">
                <v:stroke joinstyle="miter"/>
                <v:textbox>
                  <w:txbxContent>
                    <w:p w14:paraId="2BDAA92E" w14:textId="77777777" w:rsidR="00307B36" w:rsidRPr="00D04006" w:rsidRDefault="00307B36" w:rsidP="00307B36">
                      <w:pPr>
                        <w:jc w:val="center"/>
                        <w:rPr>
                          <w:sz w:val="22"/>
                          <w:szCs w:val="22"/>
                        </w:rPr>
                      </w:pPr>
                      <w:r>
                        <w:rPr>
                          <w:rFonts w:hAnsi="Calibri"/>
                          <w:color w:val="000000"/>
                          <w:kern w:val="24"/>
                          <w:sz w:val="22"/>
                          <w:szCs w:val="22"/>
                        </w:rPr>
                        <w:t>BioSense Lockers</w:t>
                      </w:r>
                    </w:p>
                  </w:txbxContent>
                </v:textbox>
              </v:roundrect>
            </w:pict>
          </mc:Fallback>
        </mc:AlternateContent>
      </w:r>
    </w:p>
    <w:p w14:paraId="3BA3BD09" w14:textId="77777777" w:rsidR="00307B36" w:rsidRDefault="00307B36" w:rsidP="00307B36">
      <w:pPr>
        <w:pStyle w:val="NormalWeb"/>
        <w:shd w:val="clear" w:color="auto" w:fill="FFFFFF"/>
        <w:spacing w:line="276" w:lineRule="auto"/>
        <w:rPr>
          <w:rFonts w:asciiTheme="minorHAnsi" w:hAnsiTheme="minorHAnsi" w:cs="Arial"/>
          <w:color w:val="333333"/>
          <w:sz w:val="22"/>
          <w:szCs w:val="22"/>
        </w:rPr>
      </w:pPr>
    </w:p>
    <w:p w14:paraId="1397D884" w14:textId="77777777" w:rsidR="00307B36" w:rsidRDefault="00307B36" w:rsidP="00307B36">
      <w:pPr>
        <w:pStyle w:val="NormalWeb"/>
        <w:shd w:val="clear" w:color="auto" w:fill="FFFFFF"/>
        <w:spacing w:line="276" w:lineRule="auto"/>
        <w:rPr>
          <w:rFonts w:asciiTheme="minorHAnsi" w:hAnsiTheme="minorHAnsi" w:cs="Arial"/>
          <w:color w:val="333333"/>
          <w:sz w:val="22"/>
          <w:szCs w:val="22"/>
        </w:rPr>
      </w:pPr>
    </w:p>
    <w:p w14:paraId="0484FB96" w14:textId="77777777" w:rsidR="00307B36" w:rsidRPr="009D04B4" w:rsidRDefault="00307B36" w:rsidP="009D04B4">
      <w:pPr>
        <w:pStyle w:val="NormalWeb"/>
        <w:shd w:val="clear" w:color="auto" w:fill="FFFFFF"/>
        <w:spacing w:line="276" w:lineRule="auto"/>
        <w:rPr>
          <w:rFonts w:asciiTheme="minorHAnsi" w:hAnsiTheme="minorHAnsi" w:cs="Arial"/>
          <w:color w:val="333333"/>
          <w:sz w:val="22"/>
          <w:szCs w:val="22"/>
        </w:rPr>
      </w:pPr>
    </w:p>
    <w:p w14:paraId="5ACDFB22" w14:textId="2B283340" w:rsidR="009B3CDF" w:rsidRDefault="009B3CDF" w:rsidP="00901065">
      <w:pPr>
        <w:pStyle w:val="NormalWeb"/>
        <w:shd w:val="clear" w:color="auto" w:fill="FFFFFF"/>
        <w:spacing w:line="276" w:lineRule="auto"/>
        <w:rPr>
          <w:rFonts w:asciiTheme="minorHAnsi" w:hAnsiTheme="minorHAnsi"/>
          <w:color w:val="005493"/>
        </w:rPr>
      </w:pPr>
      <w:r w:rsidRPr="009B3CDF">
        <w:rPr>
          <w:rFonts w:asciiTheme="minorHAnsi" w:hAnsiTheme="minorHAnsi"/>
          <w:color w:val="005493"/>
        </w:rPr>
        <w:t>Questions for Discussion:</w:t>
      </w:r>
    </w:p>
    <w:p w14:paraId="61B078FF" w14:textId="77777777" w:rsidR="009B3CDF" w:rsidRDefault="009B3CDF" w:rsidP="009B3CDF">
      <w:r>
        <w:t>Q1.</w:t>
      </w:r>
      <w:r>
        <w:tab/>
      </w:r>
      <w:r w:rsidRPr="00303B7E">
        <w:t>Why was stakeholder involvement critical for this project</w:t>
      </w:r>
      <w:r>
        <w:t>’s</w:t>
      </w:r>
      <w:r w:rsidRPr="00303B7E">
        <w:t xml:space="preserve"> goals?</w:t>
      </w:r>
    </w:p>
    <w:p w14:paraId="4A1EAA6C" w14:textId="77777777" w:rsidR="009B3CDF" w:rsidRDefault="009B3CDF" w:rsidP="009B3CDF"/>
    <w:p w14:paraId="7275A7D1" w14:textId="77777777" w:rsidR="009B3CDF" w:rsidRDefault="009B3CDF" w:rsidP="009B3CDF">
      <w:pPr>
        <w:ind w:left="720" w:hanging="720"/>
      </w:pPr>
    </w:p>
    <w:p w14:paraId="26B3FB42" w14:textId="1A69482F" w:rsidR="009B3CDF" w:rsidRDefault="009B3CDF" w:rsidP="009B3CDF">
      <w:pPr>
        <w:ind w:left="720" w:hanging="720"/>
      </w:pPr>
      <w:r>
        <w:t>Q2.</w:t>
      </w:r>
      <w:r>
        <w:tab/>
      </w:r>
      <w:r w:rsidRPr="00303B7E">
        <w:t>How did the broad-based engagement and transparent stakeholder processes influence the success of the project?</w:t>
      </w:r>
    </w:p>
    <w:p w14:paraId="5402E127" w14:textId="77777777" w:rsidR="009B3CDF" w:rsidRDefault="009B3CDF" w:rsidP="009B3CDF">
      <w:pPr>
        <w:ind w:left="720" w:hanging="720"/>
      </w:pPr>
    </w:p>
    <w:p w14:paraId="61BAD00B" w14:textId="77777777" w:rsidR="009B3CDF" w:rsidRDefault="009B3CDF" w:rsidP="009B3CDF">
      <w:pPr>
        <w:ind w:left="720" w:hanging="720"/>
      </w:pPr>
    </w:p>
    <w:p w14:paraId="51A1D5D2" w14:textId="77777777" w:rsidR="009B3CDF" w:rsidRDefault="009B3CDF" w:rsidP="009B3CDF">
      <w:r>
        <w:t>Q3.</w:t>
      </w:r>
      <w:r>
        <w:tab/>
      </w:r>
      <w:r w:rsidRPr="00303B7E">
        <w:t>What specific strategies were used to overcome initial resistance to stakeholder buy-in?</w:t>
      </w:r>
    </w:p>
    <w:p w14:paraId="4894AEA2" w14:textId="77777777" w:rsidR="009B3CDF" w:rsidRDefault="009B3CDF" w:rsidP="009B3CDF"/>
    <w:p w14:paraId="0CF2BD59" w14:textId="77777777" w:rsidR="009B3CDF" w:rsidRDefault="009B3CDF" w:rsidP="009B3CDF"/>
    <w:p w14:paraId="5756B714" w14:textId="7FA8E28B" w:rsidR="009B3CDF" w:rsidRDefault="009B3CDF" w:rsidP="009B3CDF">
      <w:pPr>
        <w:ind w:left="720" w:hanging="720"/>
      </w:pPr>
      <w:r>
        <w:t>Q4.</w:t>
      </w:r>
      <w:r>
        <w:tab/>
      </w:r>
      <w:r w:rsidRPr="00303B7E">
        <w:t xml:space="preserve">If this project was occurring in the current </w:t>
      </w:r>
      <w:r w:rsidR="00E472A6">
        <w:t xml:space="preserve">COVID-19 </w:t>
      </w:r>
      <w:r w:rsidRPr="00303B7E">
        <w:t>climate, what would be important to consider to ensure successful stakeholder engagement?</w:t>
      </w:r>
    </w:p>
    <w:p w14:paraId="34BA5980" w14:textId="0D848A36" w:rsidR="009B3CDF" w:rsidRDefault="009B3CDF" w:rsidP="009B3CDF">
      <w:pPr>
        <w:ind w:left="720" w:hanging="720"/>
      </w:pPr>
    </w:p>
    <w:p w14:paraId="513A533F" w14:textId="77777777" w:rsidR="004919FD" w:rsidRDefault="004919FD" w:rsidP="002663F6">
      <w:pPr>
        <w:rPr>
          <w:color w:val="005493"/>
        </w:rPr>
      </w:pPr>
    </w:p>
    <w:p w14:paraId="0DC4B425" w14:textId="57A432B6" w:rsidR="002663F6" w:rsidRPr="00952291" w:rsidRDefault="00683C3C" w:rsidP="002663F6">
      <w:pPr>
        <w:rPr>
          <w:color w:val="005493"/>
        </w:rPr>
      </w:pPr>
      <w:r>
        <w:rPr>
          <w:color w:val="005493"/>
        </w:rPr>
        <w:lastRenderedPageBreak/>
        <w:t>References</w:t>
      </w:r>
    </w:p>
    <w:p w14:paraId="79E5E1A0" w14:textId="68C39751" w:rsidR="00063894" w:rsidRDefault="00063894" w:rsidP="00063894">
      <w:pPr>
        <w:rPr>
          <w:rFonts w:eastAsia="Times New Roman" w:cs="Times New Roman"/>
        </w:rPr>
      </w:pPr>
    </w:p>
    <w:p w14:paraId="3D73238A" w14:textId="6C1510D8" w:rsidR="00063894" w:rsidRDefault="00063894" w:rsidP="00683C3C">
      <w:pPr>
        <w:rPr>
          <w:rFonts w:eastAsia="Times New Roman" w:cs="Times New Roman"/>
          <w:sz w:val="22"/>
          <w:szCs w:val="22"/>
        </w:rPr>
      </w:pPr>
      <w:r>
        <w:rPr>
          <w:rFonts w:eastAsia="Times New Roman" w:cs="Times New Roman"/>
          <w:sz w:val="22"/>
          <w:szCs w:val="22"/>
        </w:rPr>
        <w:t xml:space="preserve">1.Centers for Disease Control and Prevention. What is syndromic surveillance? </w:t>
      </w:r>
      <w:hyperlink r:id="rId11" w:history="1">
        <w:r>
          <w:rPr>
            <w:rStyle w:val="Hyperlink"/>
            <w:rFonts w:eastAsia="Times New Roman" w:cs="Times New Roman"/>
            <w:sz w:val="22"/>
            <w:szCs w:val="22"/>
          </w:rPr>
          <w:t>https://www.cdc.gov/nssp/overview.html</w:t>
        </w:r>
      </w:hyperlink>
      <w:r>
        <w:rPr>
          <w:rFonts w:eastAsia="Times New Roman" w:cs="Times New Roman"/>
          <w:sz w:val="22"/>
          <w:szCs w:val="22"/>
        </w:rPr>
        <w:t xml:space="preserve"> Accessed July 29, 2020.</w:t>
      </w:r>
    </w:p>
    <w:p w14:paraId="4E3A5889" w14:textId="77777777" w:rsidR="00063894" w:rsidRDefault="00063894" w:rsidP="00683C3C">
      <w:pPr>
        <w:rPr>
          <w:rFonts w:eastAsia="Times New Roman" w:cs="Times New Roman"/>
          <w:sz w:val="22"/>
          <w:szCs w:val="22"/>
        </w:rPr>
      </w:pPr>
    </w:p>
    <w:p w14:paraId="68B1E96F" w14:textId="052742CD" w:rsidR="00683C3C" w:rsidRPr="00801A29" w:rsidRDefault="00063894" w:rsidP="00683C3C">
      <w:pPr>
        <w:rPr>
          <w:rFonts w:eastAsia="Times New Roman" w:cs="Times New Roman"/>
          <w:sz w:val="22"/>
          <w:szCs w:val="22"/>
        </w:rPr>
      </w:pPr>
      <w:r>
        <w:rPr>
          <w:rFonts w:eastAsia="Times New Roman" w:cs="Times New Roman"/>
          <w:sz w:val="22"/>
          <w:szCs w:val="22"/>
        </w:rPr>
        <w:t>2</w:t>
      </w:r>
      <w:r w:rsidR="00683C3C" w:rsidRPr="00683C3C">
        <w:rPr>
          <w:rFonts w:eastAsia="Times New Roman" w:cs="Times New Roman"/>
          <w:sz w:val="22"/>
          <w:szCs w:val="22"/>
        </w:rPr>
        <w:t xml:space="preserve">. Loonsk JW. BioSense: a national initiative for early detection and quantification of public health emergencies. MMWR Morb Mortal Wkly Rep. 2004;53(suppl):53-55. </w:t>
      </w:r>
    </w:p>
    <w:p w14:paraId="3B250011" w14:textId="77777777" w:rsidR="00683C3C" w:rsidRPr="00801A29" w:rsidRDefault="00683C3C" w:rsidP="00683C3C">
      <w:pPr>
        <w:rPr>
          <w:rFonts w:eastAsia="Times New Roman" w:cs="Times New Roman"/>
          <w:sz w:val="22"/>
          <w:szCs w:val="22"/>
        </w:rPr>
      </w:pPr>
    </w:p>
    <w:p w14:paraId="76FC59F9" w14:textId="552A0FBC" w:rsidR="00683C3C" w:rsidRPr="00801A29" w:rsidRDefault="00063894" w:rsidP="00683C3C">
      <w:pPr>
        <w:rPr>
          <w:rFonts w:eastAsia="Times New Roman" w:cs="Times New Roman"/>
          <w:sz w:val="22"/>
          <w:szCs w:val="22"/>
        </w:rPr>
      </w:pPr>
      <w:r>
        <w:rPr>
          <w:rFonts w:eastAsia="Times New Roman" w:cs="Times New Roman"/>
          <w:sz w:val="22"/>
          <w:szCs w:val="22"/>
        </w:rPr>
        <w:t>3</w:t>
      </w:r>
      <w:r w:rsidR="00683C3C" w:rsidRPr="00683C3C">
        <w:rPr>
          <w:rFonts w:eastAsia="Times New Roman" w:cs="Times New Roman"/>
          <w:sz w:val="22"/>
          <w:szCs w:val="22"/>
        </w:rPr>
        <w:t xml:space="preserve">. Bradley CA, Rolka H, Walker D, et al. BioSense: implementation of a national early event detection and situational awareness system. MMWR Morb Mortal Wkly Rep. 2005;54(suppl):11-19. </w:t>
      </w:r>
    </w:p>
    <w:p w14:paraId="10F6C641" w14:textId="77777777" w:rsidR="00683C3C" w:rsidRPr="00801A29" w:rsidRDefault="00683C3C" w:rsidP="00683C3C">
      <w:pPr>
        <w:rPr>
          <w:rFonts w:eastAsia="Times New Roman" w:cs="Times New Roman"/>
          <w:sz w:val="22"/>
          <w:szCs w:val="22"/>
        </w:rPr>
      </w:pPr>
    </w:p>
    <w:p w14:paraId="2CC0A3A1" w14:textId="302ED4C3" w:rsidR="00683C3C" w:rsidRPr="00801A29" w:rsidRDefault="00063894" w:rsidP="00683C3C">
      <w:pPr>
        <w:rPr>
          <w:rFonts w:eastAsia="Times New Roman" w:cs="Times New Roman"/>
          <w:sz w:val="22"/>
          <w:szCs w:val="22"/>
        </w:rPr>
      </w:pPr>
      <w:r>
        <w:rPr>
          <w:rFonts w:eastAsia="Times New Roman" w:cs="Times New Roman"/>
          <w:sz w:val="22"/>
          <w:szCs w:val="22"/>
        </w:rPr>
        <w:t>4</w:t>
      </w:r>
      <w:r w:rsidR="00683C3C" w:rsidRPr="00683C3C">
        <w:rPr>
          <w:rFonts w:eastAsia="Times New Roman" w:cs="Times New Roman"/>
          <w:sz w:val="22"/>
          <w:szCs w:val="22"/>
        </w:rPr>
        <w:t>. Tokars JI, English R, McMurray P, et al. Summary of data reported to CDC’s national automated biosurveillance system, 2008. BMC Med Inform DecisMak. 2010;10:30</w:t>
      </w:r>
      <w:r w:rsidR="00683C3C" w:rsidRPr="00801A29">
        <w:rPr>
          <w:rFonts w:eastAsia="Times New Roman" w:cs="Times New Roman"/>
          <w:sz w:val="22"/>
          <w:szCs w:val="22"/>
        </w:rPr>
        <w:t>.</w:t>
      </w:r>
    </w:p>
    <w:p w14:paraId="2D09E79C" w14:textId="70070CA2" w:rsidR="00683C3C" w:rsidRPr="00801A29" w:rsidRDefault="00683C3C" w:rsidP="00683C3C">
      <w:pPr>
        <w:rPr>
          <w:rFonts w:eastAsia="Times New Roman" w:cs="Times New Roman"/>
          <w:sz w:val="22"/>
          <w:szCs w:val="22"/>
        </w:rPr>
      </w:pPr>
    </w:p>
    <w:p w14:paraId="303F5E3A" w14:textId="4913BD86" w:rsidR="00893A67" w:rsidRPr="00801A29" w:rsidRDefault="00063894" w:rsidP="00893A67">
      <w:pPr>
        <w:rPr>
          <w:rFonts w:eastAsia="Times New Roman" w:cs="Times New Roman"/>
          <w:sz w:val="22"/>
          <w:szCs w:val="22"/>
        </w:rPr>
      </w:pPr>
      <w:r>
        <w:rPr>
          <w:rFonts w:eastAsia="Times New Roman" w:cs="Times New Roman"/>
          <w:sz w:val="22"/>
          <w:szCs w:val="22"/>
        </w:rPr>
        <w:t>5</w:t>
      </w:r>
      <w:r w:rsidR="00893A67" w:rsidRPr="00893A67">
        <w:rPr>
          <w:rFonts w:eastAsia="Times New Roman" w:cs="Times New Roman"/>
          <w:sz w:val="22"/>
          <w:szCs w:val="22"/>
        </w:rPr>
        <w:t xml:space="preserve">. US Department of Homeland Security Digital Library. Hearing of the Subcommittee on Bioterrorism and Public Health Preparedness of the Committee on Health, Education, Labor, and Pensions. </w:t>
      </w:r>
      <w:hyperlink r:id="rId12" w:tgtFrame="_blank" w:history="1">
        <w:r w:rsidR="00893A67" w:rsidRPr="00801A29">
          <w:rPr>
            <w:rStyle w:val="Hyperlink"/>
            <w:rFonts w:eastAsia="Times New Roman" w:cs="Times New Roman"/>
            <w:sz w:val="22"/>
            <w:szCs w:val="22"/>
          </w:rPr>
          <w:t>https://www.hsdl.org/?view&amp;did=481999</w:t>
        </w:r>
      </w:hyperlink>
      <w:r w:rsidR="00893A67" w:rsidRPr="00893A67">
        <w:rPr>
          <w:rFonts w:eastAsia="Times New Roman" w:cs="Times New Roman"/>
          <w:sz w:val="22"/>
          <w:szCs w:val="22"/>
        </w:rPr>
        <w:t>. Accessed Ju</w:t>
      </w:r>
      <w:r w:rsidR="00893A67" w:rsidRPr="00801A29">
        <w:rPr>
          <w:rFonts w:eastAsia="Times New Roman" w:cs="Times New Roman"/>
          <w:sz w:val="22"/>
          <w:szCs w:val="22"/>
        </w:rPr>
        <w:t>ly</w:t>
      </w:r>
      <w:r w:rsidR="00893A67" w:rsidRPr="00893A67">
        <w:rPr>
          <w:rFonts w:eastAsia="Times New Roman" w:cs="Times New Roman"/>
          <w:sz w:val="22"/>
          <w:szCs w:val="22"/>
        </w:rPr>
        <w:t xml:space="preserve"> 2</w:t>
      </w:r>
      <w:r w:rsidR="00893A67" w:rsidRPr="00801A29">
        <w:rPr>
          <w:rFonts w:eastAsia="Times New Roman" w:cs="Times New Roman"/>
          <w:sz w:val="22"/>
          <w:szCs w:val="22"/>
        </w:rPr>
        <w:t>0</w:t>
      </w:r>
      <w:r w:rsidR="00893A67" w:rsidRPr="00893A67">
        <w:rPr>
          <w:rFonts w:eastAsia="Times New Roman" w:cs="Times New Roman"/>
          <w:sz w:val="22"/>
          <w:szCs w:val="22"/>
        </w:rPr>
        <w:t>, 20</w:t>
      </w:r>
      <w:r w:rsidR="00893A67" w:rsidRPr="00801A29">
        <w:rPr>
          <w:rFonts w:eastAsia="Times New Roman" w:cs="Times New Roman"/>
          <w:sz w:val="22"/>
          <w:szCs w:val="22"/>
        </w:rPr>
        <w:t>20</w:t>
      </w:r>
      <w:r w:rsidR="00893A67" w:rsidRPr="00893A67">
        <w:rPr>
          <w:rFonts w:eastAsia="Times New Roman" w:cs="Times New Roman"/>
          <w:sz w:val="22"/>
          <w:szCs w:val="22"/>
        </w:rPr>
        <w:t xml:space="preserve">. </w:t>
      </w:r>
    </w:p>
    <w:p w14:paraId="6C55DDFA" w14:textId="77777777" w:rsidR="00893A67" w:rsidRPr="00801A29" w:rsidRDefault="00893A67" w:rsidP="00893A67">
      <w:pPr>
        <w:rPr>
          <w:rFonts w:eastAsia="Times New Roman" w:cs="Times New Roman"/>
          <w:sz w:val="22"/>
          <w:szCs w:val="22"/>
        </w:rPr>
      </w:pPr>
    </w:p>
    <w:p w14:paraId="4C3F6A5D" w14:textId="62DD9598" w:rsidR="00893A67" w:rsidRPr="00801A29" w:rsidRDefault="00063894" w:rsidP="00893A67">
      <w:pPr>
        <w:rPr>
          <w:rFonts w:eastAsia="Times New Roman" w:cs="Times New Roman"/>
          <w:sz w:val="22"/>
          <w:szCs w:val="22"/>
        </w:rPr>
      </w:pPr>
      <w:r>
        <w:rPr>
          <w:rFonts w:eastAsia="Times New Roman" w:cs="Times New Roman"/>
          <w:sz w:val="22"/>
          <w:szCs w:val="22"/>
        </w:rPr>
        <w:t>6</w:t>
      </w:r>
      <w:r w:rsidR="00893A67" w:rsidRPr="00893A67">
        <w:rPr>
          <w:rFonts w:eastAsia="Times New Roman" w:cs="Times New Roman"/>
          <w:sz w:val="22"/>
          <w:szCs w:val="22"/>
        </w:rPr>
        <w:t xml:space="preserve">. Barlas S. CDC’s BioSense network identifying possible bioterrorism, but skeptics abound. Emerg Med News. 2007;29(9):17. </w:t>
      </w:r>
    </w:p>
    <w:p w14:paraId="3320E688" w14:textId="77777777" w:rsidR="00893A67" w:rsidRPr="00801A29" w:rsidRDefault="00893A67" w:rsidP="00893A67">
      <w:pPr>
        <w:rPr>
          <w:rFonts w:eastAsia="Times New Roman" w:cs="Times New Roman"/>
          <w:sz w:val="22"/>
          <w:szCs w:val="22"/>
        </w:rPr>
      </w:pPr>
    </w:p>
    <w:p w14:paraId="1B9B2F81" w14:textId="6BD3E55D" w:rsidR="00893A67" w:rsidRPr="00801A29" w:rsidRDefault="00063894" w:rsidP="00893A67">
      <w:pPr>
        <w:rPr>
          <w:rFonts w:eastAsia="Times New Roman" w:cs="Times New Roman"/>
          <w:sz w:val="22"/>
          <w:szCs w:val="22"/>
        </w:rPr>
      </w:pPr>
      <w:r>
        <w:rPr>
          <w:rFonts w:eastAsia="Times New Roman" w:cs="Times New Roman"/>
          <w:sz w:val="22"/>
          <w:szCs w:val="22"/>
        </w:rPr>
        <w:t>7</w:t>
      </w:r>
      <w:r w:rsidR="00893A67" w:rsidRPr="00893A67">
        <w:rPr>
          <w:rFonts w:eastAsia="Times New Roman" w:cs="Times New Roman"/>
          <w:sz w:val="22"/>
          <w:szCs w:val="22"/>
        </w:rPr>
        <w:t xml:space="preserve">. Buehler JW, Whitney EA, Smith D, et al. Situational uses of syndromic surveillance. Biosecur Bioterror. 2009;7(2): 165-177. </w:t>
      </w:r>
    </w:p>
    <w:p w14:paraId="05F92FF9" w14:textId="77777777" w:rsidR="00893A67" w:rsidRPr="00801A29" w:rsidRDefault="00893A67" w:rsidP="00893A67">
      <w:pPr>
        <w:rPr>
          <w:rFonts w:eastAsia="Times New Roman" w:cs="Times New Roman"/>
          <w:sz w:val="22"/>
          <w:szCs w:val="22"/>
        </w:rPr>
      </w:pPr>
    </w:p>
    <w:p w14:paraId="2082F361" w14:textId="24939798" w:rsidR="00893A67" w:rsidRPr="00801A29" w:rsidRDefault="00063894" w:rsidP="00893A67">
      <w:pPr>
        <w:rPr>
          <w:rFonts w:eastAsia="Times New Roman" w:cs="Times New Roman"/>
          <w:sz w:val="22"/>
          <w:szCs w:val="22"/>
        </w:rPr>
      </w:pPr>
      <w:r>
        <w:rPr>
          <w:rFonts w:eastAsia="Times New Roman" w:cs="Times New Roman"/>
          <w:sz w:val="22"/>
          <w:szCs w:val="22"/>
        </w:rPr>
        <w:t>8</w:t>
      </w:r>
      <w:r w:rsidR="00893A67" w:rsidRPr="00893A67">
        <w:rPr>
          <w:rFonts w:eastAsia="Times New Roman" w:cs="Times New Roman"/>
          <w:sz w:val="22"/>
          <w:szCs w:val="22"/>
        </w:rPr>
        <w:t xml:space="preserve">. US Government Accountability Office. Health information technology: more detailed plans needed for the Centers for Disease Control and Prevention’s redesigned BioSense program. </w:t>
      </w:r>
      <w:hyperlink r:id="rId13" w:history="1">
        <w:r w:rsidR="00893A67" w:rsidRPr="00893A67">
          <w:rPr>
            <w:rStyle w:val="Hyperlink"/>
            <w:rFonts w:eastAsia="Times New Roman" w:cs="Times New Roman"/>
            <w:sz w:val="22"/>
            <w:szCs w:val="22"/>
          </w:rPr>
          <w:t>http://www.gao.gov/new.items/d09100.pdf</w:t>
        </w:r>
      </w:hyperlink>
      <w:r w:rsidR="00893A67" w:rsidRPr="00801A29">
        <w:rPr>
          <w:rFonts w:eastAsia="Times New Roman" w:cs="Times New Roman"/>
          <w:sz w:val="22"/>
          <w:szCs w:val="22"/>
        </w:rPr>
        <w:t xml:space="preserve">. </w:t>
      </w:r>
      <w:r w:rsidR="00893A67" w:rsidRPr="00893A67">
        <w:rPr>
          <w:rFonts w:eastAsia="Times New Roman" w:cs="Times New Roman"/>
          <w:sz w:val="22"/>
          <w:szCs w:val="22"/>
        </w:rPr>
        <w:t>Published 2008. Accessed Ju</w:t>
      </w:r>
      <w:r w:rsidR="00893A67" w:rsidRPr="00801A29">
        <w:rPr>
          <w:rFonts w:eastAsia="Times New Roman" w:cs="Times New Roman"/>
          <w:sz w:val="22"/>
          <w:szCs w:val="22"/>
        </w:rPr>
        <w:t>ly</w:t>
      </w:r>
      <w:r w:rsidR="00893A67" w:rsidRPr="00893A67">
        <w:rPr>
          <w:rFonts w:eastAsia="Times New Roman" w:cs="Times New Roman"/>
          <w:sz w:val="22"/>
          <w:szCs w:val="22"/>
        </w:rPr>
        <w:t xml:space="preserve"> 2</w:t>
      </w:r>
      <w:r w:rsidR="00893A67" w:rsidRPr="00801A29">
        <w:rPr>
          <w:rFonts w:eastAsia="Times New Roman" w:cs="Times New Roman"/>
          <w:sz w:val="22"/>
          <w:szCs w:val="22"/>
        </w:rPr>
        <w:t>0</w:t>
      </w:r>
      <w:r w:rsidR="00893A67" w:rsidRPr="00893A67">
        <w:rPr>
          <w:rFonts w:eastAsia="Times New Roman" w:cs="Times New Roman"/>
          <w:sz w:val="22"/>
          <w:szCs w:val="22"/>
        </w:rPr>
        <w:t>, 20</w:t>
      </w:r>
      <w:r w:rsidR="00893A67" w:rsidRPr="00801A29">
        <w:rPr>
          <w:rFonts w:eastAsia="Times New Roman" w:cs="Times New Roman"/>
          <w:sz w:val="22"/>
          <w:szCs w:val="22"/>
        </w:rPr>
        <w:t>20</w:t>
      </w:r>
      <w:r w:rsidR="00893A67" w:rsidRPr="00893A67">
        <w:rPr>
          <w:rFonts w:eastAsia="Times New Roman" w:cs="Times New Roman"/>
          <w:sz w:val="22"/>
          <w:szCs w:val="22"/>
        </w:rPr>
        <w:t xml:space="preserve">. </w:t>
      </w:r>
    </w:p>
    <w:p w14:paraId="0409A8AB" w14:textId="77777777" w:rsidR="00893A67" w:rsidRPr="00801A29" w:rsidRDefault="00893A67" w:rsidP="00893A67">
      <w:pPr>
        <w:rPr>
          <w:rFonts w:eastAsia="Times New Roman" w:cs="Times New Roman"/>
          <w:sz w:val="22"/>
          <w:szCs w:val="22"/>
        </w:rPr>
      </w:pPr>
    </w:p>
    <w:p w14:paraId="6E318A7E" w14:textId="16ED0C83" w:rsidR="00893A67" w:rsidRPr="00801A29" w:rsidRDefault="00063894" w:rsidP="00893A67">
      <w:pPr>
        <w:rPr>
          <w:rFonts w:eastAsia="Times New Roman" w:cs="Times New Roman"/>
          <w:sz w:val="22"/>
          <w:szCs w:val="22"/>
        </w:rPr>
      </w:pPr>
      <w:r>
        <w:rPr>
          <w:rFonts w:eastAsia="Times New Roman" w:cs="Times New Roman"/>
          <w:sz w:val="22"/>
          <w:szCs w:val="22"/>
        </w:rPr>
        <w:t>9</w:t>
      </w:r>
      <w:r w:rsidR="00893A67" w:rsidRPr="00893A67">
        <w:rPr>
          <w:rFonts w:eastAsia="Times New Roman" w:cs="Times New Roman"/>
          <w:sz w:val="22"/>
          <w:szCs w:val="22"/>
        </w:rPr>
        <w:t xml:space="preserve">. US Government Accountability Office. Information technology: federal agencies face challenges in implementing initiatives to improve public health infrastructure. </w:t>
      </w:r>
    </w:p>
    <w:p w14:paraId="3AE8A1B1" w14:textId="3F53D837" w:rsidR="00893A67" w:rsidRPr="00801A29" w:rsidRDefault="007B7700" w:rsidP="00893A67">
      <w:pPr>
        <w:rPr>
          <w:rFonts w:eastAsia="Times New Roman" w:cs="Times New Roman"/>
          <w:sz w:val="22"/>
          <w:szCs w:val="22"/>
        </w:rPr>
      </w:pPr>
      <w:hyperlink r:id="rId14" w:history="1">
        <w:r w:rsidR="00893A67" w:rsidRPr="00893A67">
          <w:rPr>
            <w:rStyle w:val="Hyperlink"/>
            <w:rFonts w:eastAsia="Times New Roman" w:cs="Times New Roman"/>
            <w:sz w:val="22"/>
            <w:szCs w:val="22"/>
          </w:rPr>
          <w:t>http://www.gao.gov/new.items/d05308.pdf</w:t>
        </w:r>
      </w:hyperlink>
      <w:r w:rsidR="00893A67" w:rsidRPr="00893A67">
        <w:rPr>
          <w:rFonts w:eastAsia="Times New Roman" w:cs="Times New Roman"/>
          <w:sz w:val="22"/>
          <w:szCs w:val="22"/>
        </w:rPr>
        <w:t>. Published 2005. Accessed Ju</w:t>
      </w:r>
      <w:r w:rsidR="00893A67" w:rsidRPr="00801A29">
        <w:rPr>
          <w:rFonts w:eastAsia="Times New Roman" w:cs="Times New Roman"/>
          <w:sz w:val="22"/>
          <w:szCs w:val="22"/>
        </w:rPr>
        <w:t>ly</w:t>
      </w:r>
      <w:r w:rsidR="00893A67" w:rsidRPr="00893A67">
        <w:rPr>
          <w:rFonts w:eastAsia="Times New Roman" w:cs="Times New Roman"/>
          <w:sz w:val="22"/>
          <w:szCs w:val="22"/>
        </w:rPr>
        <w:t xml:space="preserve"> 2</w:t>
      </w:r>
      <w:r w:rsidR="00893A67" w:rsidRPr="00801A29">
        <w:rPr>
          <w:rFonts w:eastAsia="Times New Roman" w:cs="Times New Roman"/>
          <w:sz w:val="22"/>
          <w:szCs w:val="22"/>
        </w:rPr>
        <w:t>0</w:t>
      </w:r>
      <w:r w:rsidR="00893A67" w:rsidRPr="00893A67">
        <w:rPr>
          <w:rFonts w:eastAsia="Times New Roman" w:cs="Times New Roman"/>
          <w:sz w:val="22"/>
          <w:szCs w:val="22"/>
        </w:rPr>
        <w:t>, 20</w:t>
      </w:r>
      <w:r w:rsidR="00893A67" w:rsidRPr="00801A29">
        <w:rPr>
          <w:rFonts w:eastAsia="Times New Roman" w:cs="Times New Roman"/>
          <w:sz w:val="22"/>
          <w:szCs w:val="22"/>
        </w:rPr>
        <w:t>20</w:t>
      </w:r>
      <w:r w:rsidR="00893A67" w:rsidRPr="00893A67">
        <w:rPr>
          <w:rFonts w:eastAsia="Times New Roman" w:cs="Times New Roman"/>
          <w:sz w:val="22"/>
          <w:szCs w:val="22"/>
        </w:rPr>
        <w:t xml:space="preserve">. </w:t>
      </w:r>
    </w:p>
    <w:p w14:paraId="6F825B7B" w14:textId="77777777" w:rsidR="00893A67" w:rsidRPr="00801A29" w:rsidRDefault="00893A67" w:rsidP="00893A67">
      <w:pPr>
        <w:rPr>
          <w:rFonts w:eastAsia="Times New Roman" w:cs="Times New Roman"/>
          <w:sz w:val="22"/>
          <w:szCs w:val="22"/>
        </w:rPr>
      </w:pPr>
    </w:p>
    <w:p w14:paraId="7FFDEE86" w14:textId="323D5C30" w:rsidR="004919FD" w:rsidRPr="00801A29" w:rsidRDefault="00063894" w:rsidP="004919FD">
      <w:pPr>
        <w:rPr>
          <w:rFonts w:eastAsia="Times New Roman" w:cs="Times New Roman"/>
          <w:sz w:val="22"/>
          <w:szCs w:val="22"/>
        </w:rPr>
      </w:pPr>
      <w:r>
        <w:rPr>
          <w:rFonts w:eastAsia="Times New Roman" w:cs="Times New Roman"/>
          <w:sz w:val="22"/>
          <w:szCs w:val="22"/>
        </w:rPr>
        <w:t>10</w:t>
      </w:r>
      <w:r w:rsidR="00893A67" w:rsidRPr="00893A67">
        <w:rPr>
          <w:rFonts w:eastAsia="Times New Roman" w:cs="Times New Roman"/>
          <w:sz w:val="22"/>
          <w:szCs w:val="22"/>
        </w:rPr>
        <w:t>.</w:t>
      </w:r>
      <w:r w:rsidR="006E6E5F" w:rsidRPr="00801A29">
        <w:rPr>
          <w:rFonts w:eastAsia="Times New Roman" w:cs="Times New Roman"/>
          <w:sz w:val="22"/>
          <w:szCs w:val="22"/>
        </w:rPr>
        <w:t xml:space="preserve"> </w:t>
      </w:r>
      <w:r w:rsidR="004919FD" w:rsidRPr="00801A29">
        <w:rPr>
          <w:rFonts w:eastAsia="Times New Roman" w:cs="Times New Roman"/>
          <w:sz w:val="22"/>
          <w:szCs w:val="22"/>
        </w:rPr>
        <w:t xml:space="preserve">Recker A, Pina JM, and Massoudi BL. Long-term usability testing for public health information. In Proceedings of the International Symposium of Human Factors and Ergonomics in Healthcare. 2013;2:1–5. </w:t>
      </w:r>
      <w:hyperlink r:id="rId15" w:history="1">
        <w:r w:rsidR="004919FD" w:rsidRPr="004919FD">
          <w:rPr>
            <w:rStyle w:val="Hyperlink"/>
            <w:rFonts w:eastAsia="Times New Roman" w:cs="Times New Roman"/>
            <w:sz w:val="22"/>
            <w:szCs w:val="22"/>
          </w:rPr>
          <w:t>doi: 10.1177/2327857913021001</w:t>
        </w:r>
      </w:hyperlink>
      <w:r w:rsidR="004919FD">
        <w:rPr>
          <w:rFonts w:eastAsia="Times New Roman" w:cs="Times New Roman"/>
          <w:sz w:val="22"/>
          <w:szCs w:val="22"/>
        </w:rPr>
        <w:t>.</w:t>
      </w:r>
    </w:p>
    <w:p w14:paraId="052ED350" w14:textId="45B9A600" w:rsidR="00893A67" w:rsidRPr="00801A29" w:rsidRDefault="00893A67" w:rsidP="00893A67">
      <w:pPr>
        <w:rPr>
          <w:rFonts w:eastAsia="Times New Roman" w:cs="Times New Roman"/>
          <w:sz w:val="22"/>
          <w:szCs w:val="22"/>
        </w:rPr>
      </w:pPr>
    </w:p>
    <w:p w14:paraId="01DF9EC1" w14:textId="6F1B5E36" w:rsidR="00E95284" w:rsidRPr="00801A29" w:rsidRDefault="00E95284" w:rsidP="00893A67">
      <w:pPr>
        <w:rPr>
          <w:rFonts w:eastAsia="Times New Roman" w:cs="Times New Roman"/>
          <w:sz w:val="22"/>
          <w:szCs w:val="22"/>
        </w:rPr>
      </w:pPr>
      <w:r w:rsidRPr="00801A29">
        <w:rPr>
          <w:rFonts w:eastAsia="Times New Roman" w:cs="Times New Roman"/>
          <w:sz w:val="22"/>
          <w:szCs w:val="22"/>
        </w:rPr>
        <w:t>1</w:t>
      </w:r>
      <w:r w:rsidR="00063894">
        <w:rPr>
          <w:rFonts w:eastAsia="Times New Roman" w:cs="Times New Roman"/>
          <w:sz w:val="22"/>
          <w:szCs w:val="22"/>
        </w:rPr>
        <w:t>1</w:t>
      </w:r>
      <w:r w:rsidRPr="00801A29">
        <w:rPr>
          <w:rFonts w:eastAsia="Times New Roman" w:cs="Times New Roman"/>
          <w:sz w:val="22"/>
          <w:szCs w:val="22"/>
        </w:rPr>
        <w:t xml:space="preserve">. </w:t>
      </w:r>
      <w:r w:rsidR="004919FD" w:rsidRPr="00801A29">
        <w:rPr>
          <w:rFonts w:eastAsia="Times New Roman" w:cs="Times New Roman"/>
          <w:sz w:val="22"/>
          <w:szCs w:val="22"/>
        </w:rPr>
        <w:t>Centers for Medicare &amp; Medicaid Services. Electronic health records (EHR) incentive programs. </w:t>
      </w:r>
      <w:hyperlink r:id="rId16" w:tgtFrame="_blank" w:history="1">
        <w:r w:rsidR="004919FD" w:rsidRPr="00801A29">
          <w:rPr>
            <w:rStyle w:val="Hyperlink"/>
            <w:rFonts w:eastAsia="Times New Roman" w:cs="Times New Roman"/>
            <w:sz w:val="22"/>
            <w:szCs w:val="22"/>
          </w:rPr>
          <w:t>https://www.cms.gov/Regulations-and-Guidance/Legislation/EHRIncentivePrograms/index.html</w:t>
        </w:r>
      </w:hyperlink>
      <w:r w:rsidR="004919FD" w:rsidRPr="00801A29">
        <w:rPr>
          <w:rFonts w:eastAsia="Times New Roman" w:cs="Times New Roman"/>
          <w:sz w:val="22"/>
          <w:szCs w:val="22"/>
        </w:rPr>
        <w:t>. Accessed July 20, 2020.</w:t>
      </w:r>
    </w:p>
    <w:p w14:paraId="17D631E3" w14:textId="77777777" w:rsidR="00E95284" w:rsidRPr="00801A29" w:rsidRDefault="00E95284" w:rsidP="00893A67">
      <w:pPr>
        <w:rPr>
          <w:rFonts w:eastAsia="Times New Roman" w:cs="Times New Roman"/>
          <w:sz w:val="22"/>
          <w:szCs w:val="22"/>
        </w:rPr>
      </w:pPr>
    </w:p>
    <w:p w14:paraId="02D501DA" w14:textId="11197346" w:rsidR="005D3C37" w:rsidRPr="00801A29" w:rsidRDefault="005D3C37" w:rsidP="00893A67">
      <w:pPr>
        <w:rPr>
          <w:rFonts w:eastAsia="Times New Roman" w:cs="Times New Roman"/>
          <w:sz w:val="22"/>
          <w:szCs w:val="22"/>
        </w:rPr>
      </w:pPr>
      <w:r w:rsidRPr="00801A29">
        <w:rPr>
          <w:rFonts w:eastAsia="Times New Roman" w:cs="Times New Roman"/>
          <w:sz w:val="22"/>
          <w:szCs w:val="22"/>
        </w:rPr>
        <w:t>1</w:t>
      </w:r>
      <w:r w:rsidR="00063894">
        <w:rPr>
          <w:rFonts w:eastAsia="Times New Roman" w:cs="Times New Roman"/>
          <w:sz w:val="22"/>
          <w:szCs w:val="22"/>
        </w:rPr>
        <w:t>2</w:t>
      </w:r>
      <w:r w:rsidRPr="00801A29">
        <w:rPr>
          <w:rFonts w:eastAsia="Times New Roman" w:cs="Times New Roman"/>
          <w:sz w:val="22"/>
          <w:szCs w:val="22"/>
        </w:rPr>
        <w:t xml:space="preserve">. </w:t>
      </w:r>
      <w:r w:rsidR="004919FD" w:rsidRPr="00801A29">
        <w:rPr>
          <w:rFonts w:eastAsia="Times New Roman" w:cs="Times New Roman"/>
          <w:sz w:val="22"/>
          <w:szCs w:val="22"/>
        </w:rPr>
        <w:t xml:space="preserve">Chester K. Overview of the BioSense 2.0 system architecture. Online Journal of Public Health Informatics. 2013;6(1). </w:t>
      </w:r>
      <w:hyperlink r:id="rId17" w:history="1">
        <w:r w:rsidR="004919FD" w:rsidRPr="004919FD">
          <w:rPr>
            <w:rStyle w:val="Hyperlink"/>
            <w:rFonts w:eastAsia="Times New Roman" w:cs="Times New Roman"/>
            <w:sz w:val="22"/>
            <w:szCs w:val="22"/>
          </w:rPr>
          <w:t>https://doi.org/10.5210/ojphi.v6i1.5145</w:t>
        </w:r>
      </w:hyperlink>
      <w:r w:rsidR="004919FD">
        <w:rPr>
          <w:rFonts w:eastAsia="Times New Roman" w:cs="Times New Roman"/>
          <w:sz w:val="22"/>
          <w:szCs w:val="22"/>
        </w:rPr>
        <w:t>.</w:t>
      </w:r>
    </w:p>
    <w:p w14:paraId="4EB15F9F" w14:textId="05AE32C7" w:rsidR="005D3C37" w:rsidRPr="00801A29" w:rsidRDefault="005D3C37" w:rsidP="00893A67">
      <w:pPr>
        <w:rPr>
          <w:rFonts w:eastAsia="Times New Roman" w:cs="Times New Roman"/>
          <w:sz w:val="22"/>
          <w:szCs w:val="22"/>
        </w:rPr>
      </w:pPr>
    </w:p>
    <w:p w14:paraId="597C8F32" w14:textId="77777777" w:rsidR="00683C3C" w:rsidRPr="00683C3C" w:rsidRDefault="00683C3C" w:rsidP="00683C3C">
      <w:pPr>
        <w:rPr>
          <w:rFonts w:eastAsia="Times New Roman" w:cs="Times New Roman"/>
          <w:sz w:val="22"/>
          <w:szCs w:val="22"/>
        </w:rPr>
      </w:pPr>
    </w:p>
    <w:p w14:paraId="52A18050" w14:textId="77777777" w:rsidR="00683C3C" w:rsidRPr="00801A29" w:rsidRDefault="00683C3C" w:rsidP="00F343E0">
      <w:pPr>
        <w:rPr>
          <w:color w:val="005493"/>
          <w:sz w:val="22"/>
          <w:szCs w:val="22"/>
        </w:rPr>
      </w:pPr>
    </w:p>
    <w:sectPr w:rsidR="00683C3C" w:rsidRPr="00801A29" w:rsidSect="009D5A18">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374F94" w14:textId="77777777" w:rsidR="00362C43" w:rsidRDefault="00362C43" w:rsidP="00747460">
      <w:r>
        <w:separator/>
      </w:r>
    </w:p>
  </w:endnote>
  <w:endnote w:type="continuationSeparator" w:id="0">
    <w:p w14:paraId="4CC76811" w14:textId="77777777" w:rsidR="00362C43" w:rsidRDefault="00362C43" w:rsidP="00747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00012" w14:textId="77777777" w:rsidR="00362C43" w:rsidRDefault="00362C43" w:rsidP="00747460">
      <w:r>
        <w:separator/>
      </w:r>
    </w:p>
  </w:footnote>
  <w:footnote w:type="continuationSeparator" w:id="0">
    <w:p w14:paraId="2E6583A4" w14:textId="77777777" w:rsidR="00362C43" w:rsidRDefault="00362C43" w:rsidP="00747460">
      <w:r>
        <w:continuationSeparator/>
      </w:r>
    </w:p>
  </w:footnote>
  <w:footnote w:id="1">
    <w:p w14:paraId="252CE9D9" w14:textId="77777777" w:rsidR="00307B36" w:rsidRPr="00164C59" w:rsidRDefault="00307B36" w:rsidP="00307B36">
      <w:pPr>
        <w:pStyle w:val="FootnoteText"/>
        <w:rPr>
          <w:sz w:val="18"/>
          <w:szCs w:val="18"/>
        </w:rPr>
      </w:pPr>
      <w:r>
        <w:rPr>
          <w:rStyle w:val="FootnoteReference"/>
        </w:rPr>
        <w:footnoteRef/>
      </w:r>
      <w:r>
        <w:t xml:space="preserve"> </w:t>
      </w:r>
      <w:r w:rsidRPr="00747460">
        <w:rPr>
          <w:sz w:val="18"/>
          <w:szCs w:val="18"/>
        </w:rPr>
        <w:t>The HITECH Act</w:t>
      </w:r>
      <w:r>
        <w:rPr>
          <w:sz w:val="18"/>
          <w:szCs w:val="18"/>
        </w:rPr>
        <w:t xml:space="preserve">, part of the </w:t>
      </w:r>
      <w:r w:rsidRPr="00747460">
        <w:rPr>
          <w:sz w:val="18"/>
          <w:szCs w:val="18"/>
        </w:rPr>
        <w:t>American Reinvestment &amp; Recovery Act (ARRA)</w:t>
      </w:r>
      <w:r>
        <w:rPr>
          <w:sz w:val="18"/>
          <w:szCs w:val="18"/>
        </w:rPr>
        <w:t>,</w:t>
      </w:r>
      <w:r w:rsidRPr="00747460">
        <w:rPr>
          <w:sz w:val="18"/>
          <w:szCs w:val="18"/>
        </w:rPr>
        <w:t xml:space="preserve"> </w:t>
      </w:r>
      <w:r>
        <w:rPr>
          <w:sz w:val="18"/>
          <w:szCs w:val="18"/>
        </w:rPr>
        <w:t xml:space="preserve">was </w:t>
      </w:r>
      <w:r w:rsidRPr="00747460">
        <w:rPr>
          <w:sz w:val="18"/>
          <w:szCs w:val="18"/>
        </w:rPr>
        <w:t>an effort led by Centers for Medicare &amp; Medicaid Services and the Office of the National Coordinator for Health IT (ONC). HITECH was enacted on February 17, 2009</w:t>
      </w:r>
      <w:r>
        <w:rPr>
          <w:sz w:val="18"/>
          <w:szCs w:val="18"/>
        </w:rPr>
        <w:t xml:space="preserve"> and </w:t>
      </w:r>
      <w:r w:rsidRPr="00747460">
        <w:rPr>
          <w:sz w:val="18"/>
          <w:szCs w:val="18"/>
        </w:rPr>
        <w:t xml:space="preserve">proposed the meaningful use of interoperable </w:t>
      </w:r>
      <w:r>
        <w:rPr>
          <w:sz w:val="18"/>
          <w:szCs w:val="18"/>
        </w:rPr>
        <w:t>EHRs</w:t>
      </w:r>
      <w:r w:rsidRPr="00747460">
        <w:rPr>
          <w:sz w:val="18"/>
          <w:szCs w:val="18"/>
        </w:rPr>
        <w:t xml:space="preserve"> throughout the </w:t>
      </w:r>
      <w:r>
        <w:rPr>
          <w:sz w:val="18"/>
          <w:szCs w:val="18"/>
        </w:rPr>
        <w:t>US</w:t>
      </w:r>
      <w:r w:rsidRPr="00747460">
        <w:rPr>
          <w:sz w:val="18"/>
          <w:szCs w:val="18"/>
        </w:rPr>
        <w:t xml:space="preserve"> health care delivery system as a critical national goal.</w:t>
      </w:r>
      <w:r>
        <w:rPr>
          <w:sz w:val="18"/>
          <w:szCs w:val="18"/>
        </w:rPr>
        <w:t xml:space="preserve"> One </w:t>
      </w:r>
      <w:r w:rsidRPr="00747460">
        <w:rPr>
          <w:sz w:val="18"/>
          <w:szCs w:val="18"/>
        </w:rPr>
        <w:t>the five pillars of health outcomes policy priorities</w:t>
      </w:r>
      <w:r>
        <w:rPr>
          <w:sz w:val="18"/>
          <w:szCs w:val="18"/>
        </w:rPr>
        <w:t xml:space="preserve"> specified in HITECH included </w:t>
      </w:r>
      <w:r>
        <w:rPr>
          <w:i/>
          <w:iCs/>
          <w:sz w:val="18"/>
          <w:szCs w:val="18"/>
        </w:rPr>
        <w:t>improve population and public health</w:t>
      </w:r>
      <w:r>
        <w:rPr>
          <w:sz w:val="18"/>
          <w:szCs w:val="18"/>
        </w:rPr>
        <w:t>. Syndromic surveillance was one of the required activities in the population and public health area.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E7E83"/>
    <w:multiLevelType w:val="hybridMultilevel"/>
    <w:tmpl w:val="735E75F4"/>
    <w:lvl w:ilvl="0" w:tplc="544AEA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F34E18"/>
    <w:multiLevelType w:val="hybridMultilevel"/>
    <w:tmpl w:val="DA546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605460"/>
    <w:multiLevelType w:val="hybridMultilevel"/>
    <w:tmpl w:val="3AE617BC"/>
    <w:lvl w:ilvl="0" w:tplc="04090001">
      <w:start w:val="1"/>
      <w:numFmt w:val="bullet"/>
      <w:lvlText w:val=""/>
      <w:lvlJc w:val="left"/>
      <w:pPr>
        <w:ind w:left="1020" w:hanging="360"/>
      </w:pPr>
      <w:rPr>
        <w:rFonts w:ascii="Symbol" w:hAnsi="Symbol" w:hint="default"/>
      </w:rPr>
    </w:lvl>
    <w:lvl w:ilvl="1" w:tplc="04090003">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3" w15:restartNumberingAfterBreak="0">
    <w:nsid w:val="152F5D88"/>
    <w:multiLevelType w:val="hybridMultilevel"/>
    <w:tmpl w:val="4B7A1322"/>
    <w:lvl w:ilvl="0" w:tplc="375896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3C1143"/>
    <w:multiLevelType w:val="hybridMultilevel"/>
    <w:tmpl w:val="048E144C"/>
    <w:lvl w:ilvl="0" w:tplc="FE98AE6C">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5" w15:restartNumberingAfterBreak="0">
    <w:nsid w:val="2E0A7A5B"/>
    <w:multiLevelType w:val="hybridMultilevel"/>
    <w:tmpl w:val="9BBABE26"/>
    <w:lvl w:ilvl="0" w:tplc="FE98AE6C">
      <w:start w:val="1"/>
      <w:numFmt w:val="decimal"/>
      <w:lvlText w:val="%1)"/>
      <w:lvlJc w:val="left"/>
      <w:pPr>
        <w:ind w:left="1014" w:hanging="360"/>
      </w:pPr>
      <w:rPr>
        <w:rFonts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6" w15:restartNumberingAfterBreak="0">
    <w:nsid w:val="2E814B27"/>
    <w:multiLevelType w:val="hybridMultilevel"/>
    <w:tmpl w:val="90DCC02E"/>
    <w:lvl w:ilvl="0" w:tplc="D58E5F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D37474"/>
    <w:multiLevelType w:val="hybridMultilevel"/>
    <w:tmpl w:val="D0CCC912"/>
    <w:lvl w:ilvl="0" w:tplc="0409000F">
      <w:start w:val="1"/>
      <w:numFmt w:val="decimal"/>
      <w:lvlText w:val="%1."/>
      <w:lvlJc w:val="left"/>
      <w:pPr>
        <w:ind w:left="1020" w:hanging="360"/>
      </w:p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8" w15:restartNumberingAfterBreak="0">
    <w:nsid w:val="47E60691"/>
    <w:multiLevelType w:val="hybridMultilevel"/>
    <w:tmpl w:val="95684A3A"/>
    <w:lvl w:ilvl="0" w:tplc="A5403398">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9" w15:restartNumberingAfterBreak="0">
    <w:nsid w:val="55933E7F"/>
    <w:multiLevelType w:val="hybridMultilevel"/>
    <w:tmpl w:val="0D9EE286"/>
    <w:lvl w:ilvl="0" w:tplc="C1AEA680">
      <w:start w:val="1"/>
      <w:numFmt w:val="decimal"/>
      <w:lvlText w:val="%1."/>
      <w:lvlJc w:val="left"/>
      <w:pPr>
        <w:ind w:left="720" w:hanging="360"/>
      </w:pPr>
      <w:rPr>
        <w:rFonts w:eastAsiaTheme="minorHAnsi" w:cstheme="minorBidi" w:hint="default"/>
        <w:color w:val="00549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754878"/>
    <w:multiLevelType w:val="hybridMultilevel"/>
    <w:tmpl w:val="D7A8D288"/>
    <w:lvl w:ilvl="0" w:tplc="6AC80F78">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C956D8"/>
    <w:multiLevelType w:val="hybridMultilevel"/>
    <w:tmpl w:val="ED06B5C2"/>
    <w:lvl w:ilvl="0" w:tplc="FE98AE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36664CE"/>
    <w:multiLevelType w:val="hybridMultilevel"/>
    <w:tmpl w:val="DF78BB16"/>
    <w:lvl w:ilvl="0" w:tplc="FE98AE6C">
      <w:start w:val="1"/>
      <w:numFmt w:val="decimal"/>
      <w:lvlText w:val="%1)"/>
      <w:lvlJc w:val="left"/>
      <w:pPr>
        <w:ind w:left="6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D0923A9"/>
    <w:multiLevelType w:val="hybridMultilevel"/>
    <w:tmpl w:val="7D546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5"/>
  </w:num>
  <w:num w:numId="4">
    <w:abstractNumId w:val="8"/>
  </w:num>
  <w:num w:numId="5">
    <w:abstractNumId w:val="12"/>
  </w:num>
  <w:num w:numId="6">
    <w:abstractNumId w:val="11"/>
  </w:num>
  <w:num w:numId="7">
    <w:abstractNumId w:val="0"/>
  </w:num>
  <w:num w:numId="8">
    <w:abstractNumId w:val="6"/>
  </w:num>
  <w:num w:numId="9">
    <w:abstractNumId w:val="9"/>
  </w:num>
  <w:num w:numId="10">
    <w:abstractNumId w:val="3"/>
  </w:num>
  <w:num w:numId="11">
    <w:abstractNumId w:val="2"/>
  </w:num>
  <w:num w:numId="12">
    <w:abstractNumId w:val="13"/>
  </w:num>
  <w:num w:numId="13">
    <w:abstractNumId w:val="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3E0"/>
    <w:rsid w:val="00063894"/>
    <w:rsid w:val="000C103C"/>
    <w:rsid w:val="000C265F"/>
    <w:rsid w:val="00164C59"/>
    <w:rsid w:val="00212A45"/>
    <w:rsid w:val="00245901"/>
    <w:rsid w:val="002663F6"/>
    <w:rsid w:val="0027410D"/>
    <w:rsid w:val="00307B36"/>
    <w:rsid w:val="00323E04"/>
    <w:rsid w:val="00342B4B"/>
    <w:rsid w:val="00362C43"/>
    <w:rsid w:val="0037001E"/>
    <w:rsid w:val="004919FD"/>
    <w:rsid w:val="00495703"/>
    <w:rsid w:val="004D35F5"/>
    <w:rsid w:val="00586A09"/>
    <w:rsid w:val="005C29AC"/>
    <w:rsid w:val="005D3C37"/>
    <w:rsid w:val="00683C3C"/>
    <w:rsid w:val="006E6E5F"/>
    <w:rsid w:val="00711D07"/>
    <w:rsid w:val="007348E5"/>
    <w:rsid w:val="00747460"/>
    <w:rsid w:val="0077649F"/>
    <w:rsid w:val="007A1FCD"/>
    <w:rsid w:val="007B7700"/>
    <w:rsid w:val="00801A29"/>
    <w:rsid w:val="00807A11"/>
    <w:rsid w:val="008541D3"/>
    <w:rsid w:val="00893A67"/>
    <w:rsid w:val="008A1F68"/>
    <w:rsid w:val="008B521D"/>
    <w:rsid w:val="00901065"/>
    <w:rsid w:val="00952291"/>
    <w:rsid w:val="00967349"/>
    <w:rsid w:val="009B0EFB"/>
    <w:rsid w:val="009B3CDF"/>
    <w:rsid w:val="009D04B4"/>
    <w:rsid w:val="009D5A18"/>
    <w:rsid w:val="00AA0F34"/>
    <w:rsid w:val="00AA2833"/>
    <w:rsid w:val="00AB0A68"/>
    <w:rsid w:val="00AF329D"/>
    <w:rsid w:val="00B5640F"/>
    <w:rsid w:val="00B6490E"/>
    <w:rsid w:val="00C66532"/>
    <w:rsid w:val="00C80D12"/>
    <w:rsid w:val="00CC0430"/>
    <w:rsid w:val="00D02CF5"/>
    <w:rsid w:val="00D04006"/>
    <w:rsid w:val="00D34BC6"/>
    <w:rsid w:val="00D850C7"/>
    <w:rsid w:val="00D94E2C"/>
    <w:rsid w:val="00DC70D6"/>
    <w:rsid w:val="00E472A6"/>
    <w:rsid w:val="00E52482"/>
    <w:rsid w:val="00E57EC0"/>
    <w:rsid w:val="00E94AB4"/>
    <w:rsid w:val="00E95284"/>
    <w:rsid w:val="00F343E0"/>
    <w:rsid w:val="00F449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0D1E0"/>
  <w15:chartTrackingRefBased/>
  <w15:docId w15:val="{3FBA5473-7E58-B641-A179-C5EE91833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63F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DC70D6"/>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70D6"/>
    <w:rPr>
      <w:color w:val="0563C1" w:themeColor="hyperlink"/>
      <w:u w:val="single"/>
    </w:rPr>
  </w:style>
  <w:style w:type="character" w:styleId="UnresolvedMention">
    <w:name w:val="Unresolved Mention"/>
    <w:basedOn w:val="DefaultParagraphFont"/>
    <w:uiPriority w:val="99"/>
    <w:semiHidden/>
    <w:unhideWhenUsed/>
    <w:rsid w:val="00DC70D6"/>
    <w:rPr>
      <w:color w:val="605E5C"/>
      <w:shd w:val="clear" w:color="auto" w:fill="E1DFDD"/>
    </w:rPr>
  </w:style>
  <w:style w:type="paragraph" w:styleId="NormalWeb">
    <w:name w:val="Normal (Web)"/>
    <w:basedOn w:val="Normal"/>
    <w:uiPriority w:val="99"/>
    <w:unhideWhenUsed/>
    <w:rsid w:val="00DC70D6"/>
    <w:pPr>
      <w:spacing w:before="100" w:beforeAutospacing="1" w:after="100" w:afterAutospacing="1"/>
    </w:pPr>
    <w:rPr>
      <w:rFonts w:ascii="Times New Roman" w:eastAsia="Times New Roman" w:hAnsi="Times New Roman" w:cs="Times New Roman"/>
    </w:rPr>
  </w:style>
  <w:style w:type="character" w:customStyle="1" w:styleId="Heading2Char">
    <w:name w:val="Heading 2 Char"/>
    <w:basedOn w:val="DefaultParagraphFont"/>
    <w:link w:val="Heading2"/>
    <w:uiPriority w:val="9"/>
    <w:rsid w:val="00DC70D6"/>
    <w:rPr>
      <w:rFonts w:ascii="Times New Roman" w:eastAsia="Times New Roman" w:hAnsi="Times New Roman" w:cs="Times New Roman"/>
      <w:b/>
      <w:bCs/>
      <w:sz w:val="36"/>
      <w:szCs w:val="36"/>
    </w:rPr>
  </w:style>
  <w:style w:type="character" w:customStyle="1" w:styleId="figure">
    <w:name w:val="figure"/>
    <w:basedOn w:val="DefaultParagraphFont"/>
    <w:rsid w:val="00DC70D6"/>
  </w:style>
  <w:style w:type="character" w:styleId="FollowedHyperlink">
    <w:name w:val="FollowedHyperlink"/>
    <w:basedOn w:val="DefaultParagraphFont"/>
    <w:uiPriority w:val="99"/>
    <w:semiHidden/>
    <w:unhideWhenUsed/>
    <w:rsid w:val="00DC70D6"/>
    <w:rPr>
      <w:color w:val="954F72" w:themeColor="followedHyperlink"/>
      <w:u w:val="single"/>
    </w:rPr>
  </w:style>
  <w:style w:type="paragraph" w:styleId="ListParagraph">
    <w:name w:val="List Paragraph"/>
    <w:basedOn w:val="Normal"/>
    <w:uiPriority w:val="34"/>
    <w:qFormat/>
    <w:rsid w:val="00495703"/>
    <w:pPr>
      <w:ind w:left="720"/>
      <w:contextualSpacing/>
    </w:pPr>
  </w:style>
  <w:style w:type="character" w:customStyle="1" w:styleId="Heading1Char">
    <w:name w:val="Heading 1 Char"/>
    <w:basedOn w:val="DefaultParagraphFont"/>
    <w:link w:val="Heading1"/>
    <w:uiPriority w:val="9"/>
    <w:rsid w:val="002663F6"/>
    <w:rPr>
      <w:rFonts w:asciiTheme="majorHAnsi" w:eastAsiaTheme="majorEastAsia" w:hAnsiTheme="majorHAnsi" w:cstheme="majorBidi"/>
      <w:color w:val="2F5496" w:themeColor="accent1" w:themeShade="BF"/>
      <w:sz w:val="32"/>
      <w:szCs w:val="32"/>
    </w:rPr>
  </w:style>
  <w:style w:type="paragraph" w:styleId="FootnoteText">
    <w:name w:val="footnote text"/>
    <w:basedOn w:val="Normal"/>
    <w:link w:val="FootnoteTextChar"/>
    <w:uiPriority w:val="99"/>
    <w:semiHidden/>
    <w:unhideWhenUsed/>
    <w:rsid w:val="00747460"/>
    <w:rPr>
      <w:sz w:val="20"/>
      <w:szCs w:val="20"/>
    </w:rPr>
  </w:style>
  <w:style w:type="character" w:customStyle="1" w:styleId="FootnoteTextChar">
    <w:name w:val="Footnote Text Char"/>
    <w:basedOn w:val="DefaultParagraphFont"/>
    <w:link w:val="FootnoteText"/>
    <w:uiPriority w:val="99"/>
    <w:semiHidden/>
    <w:rsid w:val="00747460"/>
    <w:rPr>
      <w:sz w:val="20"/>
      <w:szCs w:val="20"/>
    </w:rPr>
  </w:style>
  <w:style w:type="character" w:styleId="FootnoteReference">
    <w:name w:val="footnote reference"/>
    <w:basedOn w:val="DefaultParagraphFont"/>
    <w:uiPriority w:val="99"/>
    <w:semiHidden/>
    <w:unhideWhenUsed/>
    <w:rsid w:val="0074746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85528">
      <w:bodyDiv w:val="1"/>
      <w:marLeft w:val="0"/>
      <w:marRight w:val="0"/>
      <w:marTop w:val="0"/>
      <w:marBottom w:val="0"/>
      <w:divBdr>
        <w:top w:val="none" w:sz="0" w:space="0" w:color="auto"/>
        <w:left w:val="none" w:sz="0" w:space="0" w:color="auto"/>
        <w:bottom w:val="none" w:sz="0" w:space="0" w:color="auto"/>
        <w:right w:val="none" w:sz="0" w:space="0" w:color="auto"/>
      </w:divBdr>
    </w:div>
    <w:div w:id="182746521">
      <w:bodyDiv w:val="1"/>
      <w:marLeft w:val="0"/>
      <w:marRight w:val="0"/>
      <w:marTop w:val="0"/>
      <w:marBottom w:val="0"/>
      <w:divBdr>
        <w:top w:val="none" w:sz="0" w:space="0" w:color="auto"/>
        <w:left w:val="none" w:sz="0" w:space="0" w:color="auto"/>
        <w:bottom w:val="none" w:sz="0" w:space="0" w:color="auto"/>
        <w:right w:val="none" w:sz="0" w:space="0" w:color="auto"/>
      </w:divBdr>
    </w:div>
    <w:div w:id="243532646">
      <w:bodyDiv w:val="1"/>
      <w:marLeft w:val="0"/>
      <w:marRight w:val="0"/>
      <w:marTop w:val="0"/>
      <w:marBottom w:val="0"/>
      <w:divBdr>
        <w:top w:val="none" w:sz="0" w:space="0" w:color="auto"/>
        <w:left w:val="none" w:sz="0" w:space="0" w:color="auto"/>
        <w:bottom w:val="none" w:sz="0" w:space="0" w:color="auto"/>
        <w:right w:val="none" w:sz="0" w:space="0" w:color="auto"/>
      </w:divBdr>
    </w:div>
    <w:div w:id="263071285">
      <w:bodyDiv w:val="1"/>
      <w:marLeft w:val="0"/>
      <w:marRight w:val="0"/>
      <w:marTop w:val="0"/>
      <w:marBottom w:val="0"/>
      <w:divBdr>
        <w:top w:val="none" w:sz="0" w:space="0" w:color="auto"/>
        <w:left w:val="none" w:sz="0" w:space="0" w:color="auto"/>
        <w:bottom w:val="none" w:sz="0" w:space="0" w:color="auto"/>
        <w:right w:val="none" w:sz="0" w:space="0" w:color="auto"/>
      </w:divBdr>
    </w:div>
    <w:div w:id="462310662">
      <w:bodyDiv w:val="1"/>
      <w:marLeft w:val="0"/>
      <w:marRight w:val="0"/>
      <w:marTop w:val="0"/>
      <w:marBottom w:val="0"/>
      <w:divBdr>
        <w:top w:val="none" w:sz="0" w:space="0" w:color="auto"/>
        <w:left w:val="none" w:sz="0" w:space="0" w:color="auto"/>
        <w:bottom w:val="none" w:sz="0" w:space="0" w:color="auto"/>
        <w:right w:val="none" w:sz="0" w:space="0" w:color="auto"/>
      </w:divBdr>
    </w:div>
    <w:div w:id="517233943">
      <w:bodyDiv w:val="1"/>
      <w:marLeft w:val="0"/>
      <w:marRight w:val="0"/>
      <w:marTop w:val="0"/>
      <w:marBottom w:val="0"/>
      <w:divBdr>
        <w:top w:val="none" w:sz="0" w:space="0" w:color="auto"/>
        <w:left w:val="none" w:sz="0" w:space="0" w:color="auto"/>
        <w:bottom w:val="none" w:sz="0" w:space="0" w:color="auto"/>
        <w:right w:val="none" w:sz="0" w:space="0" w:color="auto"/>
      </w:divBdr>
    </w:div>
    <w:div w:id="585774522">
      <w:bodyDiv w:val="1"/>
      <w:marLeft w:val="0"/>
      <w:marRight w:val="0"/>
      <w:marTop w:val="0"/>
      <w:marBottom w:val="0"/>
      <w:divBdr>
        <w:top w:val="none" w:sz="0" w:space="0" w:color="auto"/>
        <w:left w:val="none" w:sz="0" w:space="0" w:color="auto"/>
        <w:bottom w:val="none" w:sz="0" w:space="0" w:color="auto"/>
        <w:right w:val="none" w:sz="0" w:space="0" w:color="auto"/>
      </w:divBdr>
    </w:div>
    <w:div w:id="959411955">
      <w:bodyDiv w:val="1"/>
      <w:marLeft w:val="0"/>
      <w:marRight w:val="0"/>
      <w:marTop w:val="0"/>
      <w:marBottom w:val="0"/>
      <w:divBdr>
        <w:top w:val="none" w:sz="0" w:space="0" w:color="auto"/>
        <w:left w:val="none" w:sz="0" w:space="0" w:color="auto"/>
        <w:bottom w:val="none" w:sz="0" w:space="0" w:color="auto"/>
        <w:right w:val="none" w:sz="0" w:space="0" w:color="auto"/>
      </w:divBdr>
    </w:div>
    <w:div w:id="1090741379">
      <w:bodyDiv w:val="1"/>
      <w:marLeft w:val="0"/>
      <w:marRight w:val="0"/>
      <w:marTop w:val="0"/>
      <w:marBottom w:val="0"/>
      <w:divBdr>
        <w:top w:val="none" w:sz="0" w:space="0" w:color="auto"/>
        <w:left w:val="none" w:sz="0" w:space="0" w:color="auto"/>
        <w:bottom w:val="none" w:sz="0" w:space="0" w:color="auto"/>
        <w:right w:val="none" w:sz="0" w:space="0" w:color="auto"/>
      </w:divBdr>
    </w:div>
    <w:div w:id="1109742247">
      <w:bodyDiv w:val="1"/>
      <w:marLeft w:val="0"/>
      <w:marRight w:val="0"/>
      <w:marTop w:val="0"/>
      <w:marBottom w:val="0"/>
      <w:divBdr>
        <w:top w:val="none" w:sz="0" w:space="0" w:color="auto"/>
        <w:left w:val="none" w:sz="0" w:space="0" w:color="auto"/>
        <w:bottom w:val="none" w:sz="0" w:space="0" w:color="auto"/>
        <w:right w:val="none" w:sz="0" w:space="0" w:color="auto"/>
      </w:divBdr>
    </w:div>
    <w:div w:id="1236932866">
      <w:bodyDiv w:val="1"/>
      <w:marLeft w:val="0"/>
      <w:marRight w:val="0"/>
      <w:marTop w:val="0"/>
      <w:marBottom w:val="0"/>
      <w:divBdr>
        <w:top w:val="none" w:sz="0" w:space="0" w:color="auto"/>
        <w:left w:val="none" w:sz="0" w:space="0" w:color="auto"/>
        <w:bottom w:val="none" w:sz="0" w:space="0" w:color="auto"/>
        <w:right w:val="none" w:sz="0" w:space="0" w:color="auto"/>
      </w:divBdr>
    </w:div>
    <w:div w:id="1330980855">
      <w:bodyDiv w:val="1"/>
      <w:marLeft w:val="0"/>
      <w:marRight w:val="0"/>
      <w:marTop w:val="0"/>
      <w:marBottom w:val="0"/>
      <w:divBdr>
        <w:top w:val="none" w:sz="0" w:space="0" w:color="auto"/>
        <w:left w:val="none" w:sz="0" w:space="0" w:color="auto"/>
        <w:bottom w:val="none" w:sz="0" w:space="0" w:color="auto"/>
        <w:right w:val="none" w:sz="0" w:space="0" w:color="auto"/>
      </w:divBdr>
    </w:div>
    <w:div w:id="1461995935">
      <w:bodyDiv w:val="1"/>
      <w:marLeft w:val="0"/>
      <w:marRight w:val="0"/>
      <w:marTop w:val="0"/>
      <w:marBottom w:val="0"/>
      <w:divBdr>
        <w:top w:val="none" w:sz="0" w:space="0" w:color="auto"/>
        <w:left w:val="none" w:sz="0" w:space="0" w:color="auto"/>
        <w:bottom w:val="none" w:sz="0" w:space="0" w:color="auto"/>
        <w:right w:val="none" w:sz="0" w:space="0" w:color="auto"/>
      </w:divBdr>
    </w:div>
    <w:div w:id="1552570454">
      <w:bodyDiv w:val="1"/>
      <w:marLeft w:val="0"/>
      <w:marRight w:val="0"/>
      <w:marTop w:val="0"/>
      <w:marBottom w:val="0"/>
      <w:divBdr>
        <w:top w:val="none" w:sz="0" w:space="0" w:color="auto"/>
        <w:left w:val="none" w:sz="0" w:space="0" w:color="auto"/>
        <w:bottom w:val="none" w:sz="0" w:space="0" w:color="auto"/>
        <w:right w:val="none" w:sz="0" w:space="0" w:color="auto"/>
      </w:divBdr>
    </w:div>
    <w:div w:id="1568685193">
      <w:bodyDiv w:val="1"/>
      <w:marLeft w:val="0"/>
      <w:marRight w:val="0"/>
      <w:marTop w:val="0"/>
      <w:marBottom w:val="0"/>
      <w:divBdr>
        <w:top w:val="none" w:sz="0" w:space="0" w:color="auto"/>
        <w:left w:val="none" w:sz="0" w:space="0" w:color="auto"/>
        <w:bottom w:val="none" w:sz="0" w:space="0" w:color="auto"/>
        <w:right w:val="none" w:sz="0" w:space="0" w:color="auto"/>
      </w:divBdr>
      <w:divsChild>
        <w:div w:id="438381577">
          <w:marLeft w:val="0"/>
          <w:marRight w:val="0"/>
          <w:marTop w:val="0"/>
          <w:marBottom w:val="0"/>
          <w:divBdr>
            <w:top w:val="none" w:sz="0" w:space="0" w:color="auto"/>
            <w:left w:val="none" w:sz="0" w:space="0" w:color="auto"/>
            <w:bottom w:val="none" w:sz="0" w:space="0" w:color="auto"/>
            <w:right w:val="none" w:sz="0" w:space="0" w:color="auto"/>
          </w:divBdr>
        </w:div>
      </w:divsChild>
    </w:div>
    <w:div w:id="1581524221">
      <w:bodyDiv w:val="1"/>
      <w:marLeft w:val="0"/>
      <w:marRight w:val="0"/>
      <w:marTop w:val="0"/>
      <w:marBottom w:val="0"/>
      <w:divBdr>
        <w:top w:val="none" w:sz="0" w:space="0" w:color="auto"/>
        <w:left w:val="none" w:sz="0" w:space="0" w:color="auto"/>
        <w:bottom w:val="none" w:sz="0" w:space="0" w:color="auto"/>
        <w:right w:val="none" w:sz="0" w:space="0" w:color="auto"/>
      </w:divBdr>
    </w:div>
    <w:div w:id="1649477359">
      <w:bodyDiv w:val="1"/>
      <w:marLeft w:val="0"/>
      <w:marRight w:val="0"/>
      <w:marTop w:val="0"/>
      <w:marBottom w:val="0"/>
      <w:divBdr>
        <w:top w:val="none" w:sz="0" w:space="0" w:color="auto"/>
        <w:left w:val="none" w:sz="0" w:space="0" w:color="auto"/>
        <w:bottom w:val="none" w:sz="0" w:space="0" w:color="auto"/>
        <w:right w:val="none" w:sz="0" w:space="0" w:color="auto"/>
      </w:divBdr>
    </w:div>
    <w:div w:id="1697609739">
      <w:bodyDiv w:val="1"/>
      <w:marLeft w:val="0"/>
      <w:marRight w:val="0"/>
      <w:marTop w:val="0"/>
      <w:marBottom w:val="0"/>
      <w:divBdr>
        <w:top w:val="none" w:sz="0" w:space="0" w:color="auto"/>
        <w:left w:val="none" w:sz="0" w:space="0" w:color="auto"/>
        <w:bottom w:val="none" w:sz="0" w:space="0" w:color="auto"/>
        <w:right w:val="none" w:sz="0" w:space="0" w:color="auto"/>
      </w:divBdr>
    </w:div>
    <w:div w:id="1724058957">
      <w:bodyDiv w:val="1"/>
      <w:marLeft w:val="0"/>
      <w:marRight w:val="0"/>
      <w:marTop w:val="0"/>
      <w:marBottom w:val="0"/>
      <w:divBdr>
        <w:top w:val="none" w:sz="0" w:space="0" w:color="auto"/>
        <w:left w:val="none" w:sz="0" w:space="0" w:color="auto"/>
        <w:bottom w:val="none" w:sz="0" w:space="0" w:color="auto"/>
        <w:right w:val="none" w:sz="0" w:space="0" w:color="auto"/>
      </w:divBdr>
    </w:div>
    <w:div w:id="1771004305">
      <w:bodyDiv w:val="1"/>
      <w:marLeft w:val="0"/>
      <w:marRight w:val="0"/>
      <w:marTop w:val="0"/>
      <w:marBottom w:val="0"/>
      <w:divBdr>
        <w:top w:val="none" w:sz="0" w:space="0" w:color="auto"/>
        <w:left w:val="none" w:sz="0" w:space="0" w:color="auto"/>
        <w:bottom w:val="none" w:sz="0" w:space="0" w:color="auto"/>
        <w:right w:val="none" w:sz="0" w:space="0" w:color="auto"/>
      </w:divBdr>
    </w:div>
    <w:div w:id="1802923276">
      <w:bodyDiv w:val="1"/>
      <w:marLeft w:val="0"/>
      <w:marRight w:val="0"/>
      <w:marTop w:val="0"/>
      <w:marBottom w:val="0"/>
      <w:divBdr>
        <w:top w:val="none" w:sz="0" w:space="0" w:color="auto"/>
        <w:left w:val="none" w:sz="0" w:space="0" w:color="auto"/>
        <w:bottom w:val="none" w:sz="0" w:space="0" w:color="auto"/>
        <w:right w:val="none" w:sz="0" w:space="0" w:color="auto"/>
      </w:divBdr>
    </w:div>
    <w:div w:id="1997605198">
      <w:bodyDiv w:val="1"/>
      <w:marLeft w:val="0"/>
      <w:marRight w:val="0"/>
      <w:marTop w:val="0"/>
      <w:marBottom w:val="0"/>
      <w:divBdr>
        <w:top w:val="none" w:sz="0" w:space="0" w:color="auto"/>
        <w:left w:val="none" w:sz="0" w:space="0" w:color="auto"/>
        <w:bottom w:val="none" w:sz="0" w:space="0" w:color="auto"/>
        <w:right w:val="none" w:sz="0" w:space="0" w:color="auto"/>
      </w:divBdr>
    </w:div>
    <w:div w:id="2090301765">
      <w:bodyDiv w:val="1"/>
      <w:marLeft w:val="0"/>
      <w:marRight w:val="0"/>
      <w:marTop w:val="0"/>
      <w:marBottom w:val="0"/>
      <w:divBdr>
        <w:top w:val="none" w:sz="0" w:space="0" w:color="auto"/>
        <w:left w:val="none" w:sz="0" w:space="0" w:color="auto"/>
        <w:bottom w:val="none" w:sz="0" w:space="0" w:color="auto"/>
        <w:right w:val="none" w:sz="0" w:space="0" w:color="auto"/>
      </w:divBdr>
    </w:div>
    <w:div w:id="2108571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ao.gov/new.items/d09100.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sdl.org/?view&amp;did=481999" TargetMode="External"/><Relationship Id="rId17" Type="http://schemas.openxmlformats.org/officeDocument/2006/relationships/hyperlink" Target="https://doi.org/10.5210/ojphi.v6i1.5145" TargetMode="External"/><Relationship Id="rId2" Type="http://schemas.openxmlformats.org/officeDocument/2006/relationships/customXml" Target="../customXml/item2.xml"/><Relationship Id="rId16" Type="http://schemas.openxmlformats.org/officeDocument/2006/relationships/hyperlink" Target="https://www.cms.gov/Regulations-and-Guidance/Legislation/EHRIncentivePrograms/index.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dc.gov/nssp/overview.html" TargetMode="External"/><Relationship Id="rId5" Type="http://schemas.openxmlformats.org/officeDocument/2006/relationships/numbering" Target="numbering.xml"/><Relationship Id="rId15" Type="http://schemas.openxmlformats.org/officeDocument/2006/relationships/hyperlink" Target="https://doi.org/10.1177/232785791302100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ao.gov/new.items/d0530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e25dbc5b-beff-41d2-a104-7c4260a7e8f9">
      <UserInfo>
        <DisplayName/>
        <AccountId xsi:nil="true"/>
        <AccountType/>
      </UserInfo>
    </SharedWithUsers>
    <TaxCatchAll xmlns="e25dbc5b-beff-41d2-a104-7c4260a7e8f9" xsi:nil="true"/>
    <lcf76f155ced4ddcb4097134ff3c332f xmlns="80a892e5-57af-4b8b-986c-c6d258abfee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170AF5F30D7404F9CCA083EB2143B17" ma:contentTypeVersion="15" ma:contentTypeDescription="Create a new document." ma:contentTypeScope="" ma:versionID="2df504225cf9c66ee5bc758e86265fe5">
  <xsd:schema xmlns:xsd="http://www.w3.org/2001/XMLSchema" xmlns:xs="http://www.w3.org/2001/XMLSchema" xmlns:p="http://schemas.microsoft.com/office/2006/metadata/properties" xmlns:ns2="80a892e5-57af-4b8b-986c-c6d258abfeed" xmlns:ns3="e25dbc5b-beff-41d2-a104-7c4260a7e8f9" targetNamespace="http://schemas.microsoft.com/office/2006/metadata/properties" ma:root="true" ma:fieldsID="b7e76bf212c6979d28ff69542f1a1d51" ns2:_="" ns3:_="">
    <xsd:import namespace="80a892e5-57af-4b8b-986c-c6d258abfeed"/>
    <xsd:import namespace="e25dbc5b-beff-41d2-a104-7c4260a7e8f9"/>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892e5-57af-4b8b-986c-c6d258abf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ace28af-2bc3-4da0-8f41-6064386be0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25dbc5b-beff-41d2-a104-7c4260a7e8f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0baa0a9-b197-4f6e-aae1-ee45a2678f5e}" ma:internalName="TaxCatchAll" ma:showField="CatchAllData" ma:web="e25dbc5b-beff-41d2-a104-7c4260a7e8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6A07A6-D866-CD4F-A8FC-0922D97A0B39}">
  <ds:schemaRefs>
    <ds:schemaRef ds:uri="http://schemas.openxmlformats.org/officeDocument/2006/bibliography"/>
  </ds:schemaRefs>
</ds:datastoreItem>
</file>

<file path=customXml/itemProps2.xml><?xml version="1.0" encoding="utf-8"?>
<ds:datastoreItem xmlns:ds="http://schemas.openxmlformats.org/officeDocument/2006/customXml" ds:itemID="{E554A0C8-6F2B-40E5-B11C-C05958E2989C}">
  <ds:schemaRefs>
    <ds:schemaRef ds:uri="http://schemas.microsoft.com/office/2006/metadata/properties"/>
    <ds:schemaRef ds:uri="http://schemas.microsoft.com/office/infopath/2007/PartnerControls"/>
    <ds:schemaRef ds:uri="e25dbc5b-beff-41d2-a104-7c4260a7e8f9"/>
  </ds:schemaRefs>
</ds:datastoreItem>
</file>

<file path=customXml/itemProps3.xml><?xml version="1.0" encoding="utf-8"?>
<ds:datastoreItem xmlns:ds="http://schemas.openxmlformats.org/officeDocument/2006/customXml" ds:itemID="{80B70075-E008-46C0-B6BA-825AEBE58061}">
  <ds:schemaRefs>
    <ds:schemaRef ds:uri="http://schemas.microsoft.com/sharepoint/v3/contenttype/forms"/>
  </ds:schemaRefs>
</ds:datastoreItem>
</file>

<file path=customXml/itemProps4.xml><?xml version="1.0" encoding="utf-8"?>
<ds:datastoreItem xmlns:ds="http://schemas.openxmlformats.org/officeDocument/2006/customXml" ds:itemID="{D622A22E-CFEC-4E5B-B7D9-44EF437673BD}"/>
</file>

<file path=docProps/app.xml><?xml version="1.0" encoding="utf-8"?>
<Properties xmlns="http://schemas.openxmlformats.org/officeDocument/2006/extended-properties" xmlns:vt="http://schemas.openxmlformats.org/officeDocument/2006/docPropsVTypes">
  <Template>Normal.dotm</Template>
  <TotalTime>1</TotalTime>
  <Pages>5</Pages>
  <Words>1868</Words>
  <Characters>10650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L. Massoudi</dc:creator>
  <cp:keywords/>
  <dc:description/>
  <cp:lastModifiedBy>Jessica Arrazola</cp:lastModifiedBy>
  <cp:revision>3</cp:revision>
  <dcterms:created xsi:type="dcterms:W3CDTF">2020-07-30T19:58:00Z</dcterms:created>
  <dcterms:modified xsi:type="dcterms:W3CDTF">2021-06-21T18:48:00Z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791800</vt:r8>
  </property>
  <property fmtid="{D5CDD505-2E9C-101B-9397-08002B2CF9AE}" pid="3" name="ContentTypeId">
    <vt:lpwstr>0x0101001170AF5F30D7404F9CCA083EB2143B17</vt:lpwstr>
  </property>
  <property fmtid="{D5CDD505-2E9C-101B-9397-08002B2CF9AE}" pid="4" name="ComplianceAssetId">
    <vt:lpwstr/>
  </property>
  <property fmtid="{D5CDD505-2E9C-101B-9397-08002B2CF9AE}" pid="5" name="_ExtendedDescription">
    <vt:lpwstr/>
  </property>
  <property fmtid="{D5CDD505-2E9C-101B-9397-08002B2CF9AE}" pid="6" name="MediaServiceImageTags">
    <vt:lpwstr/>
  </property>
</Properties>
</file>