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63DA3C" w14:textId="77777777" w:rsidR="00CD137B" w:rsidRDefault="00CD137B" w:rsidP="00CD137B">
      <w:pPr>
        <w:jc w:val="center"/>
        <w:rPr>
          <w:rFonts w:ascii="Arial" w:hAnsi="Arial" w:cs="Arial"/>
          <w:b/>
          <w:bCs/>
          <w:sz w:val="32"/>
          <w:szCs w:val="32"/>
        </w:rPr>
      </w:pPr>
    </w:p>
    <w:p w14:paraId="5F8F9BE2" w14:textId="6000B8E1" w:rsidR="00E46238" w:rsidRDefault="00E46238" w:rsidP="00CD137B">
      <w:pPr>
        <w:jc w:val="center"/>
        <w:rPr>
          <w:rFonts w:ascii="Arial" w:hAnsi="Arial" w:cs="Arial"/>
          <w:b/>
          <w:bCs/>
          <w:sz w:val="32"/>
          <w:szCs w:val="32"/>
        </w:rPr>
      </w:pPr>
    </w:p>
    <w:p w14:paraId="16C186BA" w14:textId="77777777" w:rsidR="00CE54D5" w:rsidRDefault="00CE54D5" w:rsidP="00CD137B">
      <w:pPr>
        <w:jc w:val="center"/>
        <w:rPr>
          <w:rFonts w:ascii="Arial" w:hAnsi="Arial" w:cs="Arial"/>
          <w:b/>
          <w:bCs/>
          <w:sz w:val="32"/>
          <w:szCs w:val="32"/>
        </w:rPr>
      </w:pPr>
    </w:p>
    <w:p w14:paraId="1E072BC4" w14:textId="77777777" w:rsidR="00E46238" w:rsidRDefault="00E46238" w:rsidP="00CD137B">
      <w:pPr>
        <w:jc w:val="center"/>
        <w:rPr>
          <w:rFonts w:ascii="Arial" w:hAnsi="Arial" w:cs="Arial"/>
          <w:b/>
          <w:bCs/>
          <w:sz w:val="32"/>
          <w:szCs w:val="32"/>
        </w:rPr>
      </w:pPr>
    </w:p>
    <w:p w14:paraId="20552942" w14:textId="235C110F" w:rsidR="00CD137B" w:rsidRPr="00AF4E52" w:rsidRDefault="00CD137B" w:rsidP="00CD137B">
      <w:pPr>
        <w:jc w:val="center"/>
        <w:rPr>
          <w:rFonts w:ascii="Arial" w:hAnsi="Arial" w:cs="Arial"/>
          <w:b/>
          <w:bCs/>
          <w:sz w:val="32"/>
          <w:szCs w:val="32"/>
        </w:rPr>
      </w:pPr>
      <w:r w:rsidRPr="00AF4E52">
        <w:rPr>
          <w:rFonts w:ascii="Arial" w:hAnsi="Arial" w:cs="Arial"/>
          <w:b/>
          <w:bCs/>
          <w:sz w:val="32"/>
          <w:szCs w:val="32"/>
        </w:rPr>
        <w:t>Legionnaires’ Disease</w:t>
      </w:r>
      <w:r>
        <w:rPr>
          <w:rFonts w:ascii="Arial" w:hAnsi="Arial" w:cs="Arial"/>
          <w:b/>
          <w:bCs/>
          <w:sz w:val="32"/>
          <w:szCs w:val="32"/>
        </w:rPr>
        <w:t xml:space="preserve"> </w:t>
      </w:r>
      <w:r w:rsidRPr="00AF4E52">
        <w:rPr>
          <w:rFonts w:ascii="Arial" w:hAnsi="Arial" w:cs="Arial"/>
          <w:b/>
          <w:bCs/>
          <w:sz w:val="32"/>
          <w:szCs w:val="32"/>
        </w:rPr>
        <w:t>Risk Communication</w:t>
      </w:r>
    </w:p>
    <w:p w14:paraId="7E1C92B4" w14:textId="77777777" w:rsidR="00CD137B" w:rsidRPr="00AF4E52" w:rsidRDefault="00CD137B" w:rsidP="00CD137B">
      <w:pPr>
        <w:jc w:val="center"/>
        <w:rPr>
          <w:rFonts w:ascii="Arial" w:hAnsi="Arial" w:cs="Arial"/>
          <w:b/>
          <w:bCs/>
          <w:sz w:val="32"/>
          <w:szCs w:val="32"/>
        </w:rPr>
      </w:pPr>
      <w:r w:rsidRPr="00AF4E52">
        <w:rPr>
          <w:rFonts w:ascii="Arial" w:hAnsi="Arial" w:cs="Arial"/>
          <w:b/>
          <w:bCs/>
          <w:sz w:val="32"/>
          <w:szCs w:val="32"/>
        </w:rPr>
        <w:t>Toolkit</w:t>
      </w:r>
    </w:p>
    <w:p w14:paraId="2934F968" w14:textId="77777777" w:rsidR="00CD137B" w:rsidRPr="00A27FB5" w:rsidRDefault="00CD137B" w:rsidP="00CD137B">
      <w:pPr>
        <w:jc w:val="center"/>
        <w:rPr>
          <w:rFonts w:ascii="Arial" w:hAnsi="Arial" w:cs="Arial"/>
          <w:sz w:val="28"/>
          <w:szCs w:val="28"/>
        </w:rPr>
      </w:pPr>
    </w:p>
    <w:p w14:paraId="7050C18D" w14:textId="77777777" w:rsidR="00CD137B" w:rsidRDefault="00CD137B" w:rsidP="00CD137B">
      <w:pPr>
        <w:jc w:val="center"/>
        <w:rPr>
          <w:rFonts w:ascii="Arial" w:hAnsi="Arial" w:cs="Arial"/>
          <w:sz w:val="28"/>
          <w:szCs w:val="28"/>
        </w:rPr>
      </w:pPr>
    </w:p>
    <w:p w14:paraId="651E35F5" w14:textId="77777777" w:rsidR="00CD137B" w:rsidRDefault="00CD137B" w:rsidP="00CD137B">
      <w:pPr>
        <w:jc w:val="center"/>
        <w:rPr>
          <w:rFonts w:ascii="Arial" w:hAnsi="Arial" w:cs="Arial"/>
          <w:sz w:val="28"/>
          <w:szCs w:val="28"/>
        </w:rPr>
      </w:pPr>
    </w:p>
    <w:p w14:paraId="5308DC08" w14:textId="2CE1C530" w:rsidR="00CD137B" w:rsidRDefault="00CD137B" w:rsidP="00CD137B">
      <w:pPr>
        <w:jc w:val="center"/>
        <w:rPr>
          <w:rFonts w:ascii="Arial" w:hAnsi="Arial" w:cs="Arial"/>
          <w:sz w:val="28"/>
          <w:szCs w:val="28"/>
        </w:rPr>
      </w:pPr>
    </w:p>
    <w:p w14:paraId="6C56832C" w14:textId="4DF32CCA" w:rsidR="00CE54D5" w:rsidRDefault="00CE54D5" w:rsidP="00CD137B">
      <w:pPr>
        <w:jc w:val="center"/>
        <w:rPr>
          <w:rFonts w:ascii="Arial" w:hAnsi="Arial" w:cs="Arial"/>
          <w:sz w:val="28"/>
          <w:szCs w:val="28"/>
        </w:rPr>
      </w:pPr>
    </w:p>
    <w:p w14:paraId="050A1A54" w14:textId="77777777" w:rsidR="00CE54D5" w:rsidRDefault="00CE54D5" w:rsidP="00CD137B">
      <w:pPr>
        <w:jc w:val="center"/>
        <w:rPr>
          <w:rFonts w:ascii="Arial" w:hAnsi="Arial" w:cs="Arial"/>
          <w:sz w:val="28"/>
          <w:szCs w:val="28"/>
        </w:rPr>
      </w:pPr>
    </w:p>
    <w:p w14:paraId="15EE0B8E" w14:textId="77777777" w:rsidR="00CD137B" w:rsidRPr="00A27FB5" w:rsidRDefault="00CD137B" w:rsidP="00CD137B">
      <w:pPr>
        <w:jc w:val="center"/>
        <w:rPr>
          <w:rFonts w:ascii="Arial" w:hAnsi="Arial" w:cs="Arial"/>
          <w:sz w:val="28"/>
          <w:szCs w:val="28"/>
        </w:rPr>
      </w:pPr>
    </w:p>
    <w:p w14:paraId="683E0898" w14:textId="77777777" w:rsidR="00CD137B" w:rsidRPr="00A27FB5" w:rsidRDefault="00CD137B" w:rsidP="00CD137B">
      <w:pPr>
        <w:jc w:val="center"/>
        <w:rPr>
          <w:rFonts w:ascii="Arial" w:hAnsi="Arial" w:cs="Arial"/>
          <w:sz w:val="28"/>
          <w:szCs w:val="28"/>
        </w:rPr>
      </w:pPr>
    </w:p>
    <w:p w14:paraId="2EDCB066" w14:textId="77777777" w:rsidR="00CD137B" w:rsidRPr="00A27FB5" w:rsidRDefault="00CD137B" w:rsidP="00CD137B">
      <w:pPr>
        <w:jc w:val="center"/>
        <w:rPr>
          <w:rFonts w:ascii="Arial" w:hAnsi="Arial" w:cs="Arial"/>
          <w:sz w:val="28"/>
          <w:szCs w:val="28"/>
        </w:rPr>
      </w:pPr>
    </w:p>
    <w:p w14:paraId="6367F239" w14:textId="77777777" w:rsidR="00CD137B" w:rsidRPr="00A27FB5" w:rsidRDefault="00CD137B" w:rsidP="00CD137B">
      <w:pPr>
        <w:jc w:val="center"/>
        <w:rPr>
          <w:rFonts w:ascii="Arial" w:hAnsi="Arial" w:cs="Arial"/>
          <w:sz w:val="28"/>
          <w:szCs w:val="28"/>
        </w:rPr>
      </w:pPr>
      <w:r w:rsidRPr="00A27FB5">
        <w:rPr>
          <w:rFonts w:ascii="Arial" w:hAnsi="Arial" w:cs="Arial"/>
          <w:sz w:val="28"/>
          <w:szCs w:val="28"/>
        </w:rPr>
        <w:t>Council of State and Territorial Epidemiologists</w:t>
      </w:r>
    </w:p>
    <w:p w14:paraId="25C46540" w14:textId="77777777" w:rsidR="00CD137B" w:rsidRPr="00A27FB5" w:rsidRDefault="00CD137B" w:rsidP="00CD137B">
      <w:pPr>
        <w:jc w:val="center"/>
        <w:rPr>
          <w:rFonts w:ascii="Arial" w:hAnsi="Arial" w:cs="Arial"/>
          <w:sz w:val="28"/>
          <w:szCs w:val="28"/>
        </w:rPr>
      </w:pPr>
    </w:p>
    <w:p w14:paraId="7A6D1B58" w14:textId="77777777" w:rsidR="00CD137B" w:rsidRDefault="00CD137B" w:rsidP="00CD137B">
      <w:pPr>
        <w:jc w:val="center"/>
        <w:rPr>
          <w:rFonts w:ascii="Arial" w:hAnsi="Arial" w:cs="Arial"/>
          <w:sz w:val="28"/>
          <w:szCs w:val="28"/>
        </w:rPr>
      </w:pPr>
    </w:p>
    <w:p w14:paraId="46BEE9AB" w14:textId="77777777" w:rsidR="00CD137B" w:rsidRDefault="00CD137B" w:rsidP="00CD137B">
      <w:pPr>
        <w:jc w:val="center"/>
        <w:rPr>
          <w:rFonts w:ascii="Arial" w:hAnsi="Arial" w:cs="Arial"/>
          <w:sz w:val="28"/>
          <w:szCs w:val="28"/>
        </w:rPr>
      </w:pPr>
    </w:p>
    <w:p w14:paraId="251711C6" w14:textId="195A5222" w:rsidR="00CD137B" w:rsidRDefault="00CD137B" w:rsidP="00CD137B">
      <w:pPr>
        <w:jc w:val="center"/>
        <w:rPr>
          <w:rFonts w:ascii="Arial" w:hAnsi="Arial" w:cs="Arial"/>
          <w:sz w:val="28"/>
          <w:szCs w:val="28"/>
        </w:rPr>
      </w:pPr>
    </w:p>
    <w:p w14:paraId="390D9D8C" w14:textId="5A61CA5E" w:rsidR="00CE54D5" w:rsidRDefault="00CE54D5" w:rsidP="00CD137B">
      <w:pPr>
        <w:jc w:val="center"/>
        <w:rPr>
          <w:rFonts w:ascii="Arial" w:hAnsi="Arial" w:cs="Arial"/>
          <w:sz w:val="28"/>
          <w:szCs w:val="28"/>
        </w:rPr>
      </w:pPr>
    </w:p>
    <w:p w14:paraId="749D4F10" w14:textId="51EF0DA0" w:rsidR="00CE54D5" w:rsidRDefault="00CE54D5" w:rsidP="00CD137B">
      <w:pPr>
        <w:jc w:val="center"/>
        <w:rPr>
          <w:rFonts w:ascii="Arial" w:hAnsi="Arial" w:cs="Arial"/>
          <w:sz w:val="28"/>
          <w:szCs w:val="28"/>
        </w:rPr>
      </w:pPr>
    </w:p>
    <w:p w14:paraId="5AEA93DB" w14:textId="77777777" w:rsidR="00CE54D5" w:rsidRDefault="00CE54D5" w:rsidP="00CD137B">
      <w:pPr>
        <w:jc w:val="center"/>
        <w:rPr>
          <w:rFonts w:ascii="Arial" w:hAnsi="Arial" w:cs="Arial"/>
          <w:sz w:val="28"/>
          <w:szCs w:val="28"/>
        </w:rPr>
      </w:pPr>
    </w:p>
    <w:p w14:paraId="0111ABCE" w14:textId="77777777" w:rsidR="00CD137B" w:rsidRDefault="00CD137B" w:rsidP="00CD137B">
      <w:pPr>
        <w:jc w:val="center"/>
        <w:rPr>
          <w:rFonts w:ascii="Arial" w:hAnsi="Arial" w:cs="Arial"/>
          <w:sz w:val="28"/>
          <w:szCs w:val="28"/>
        </w:rPr>
      </w:pPr>
    </w:p>
    <w:p w14:paraId="1DF8AD45" w14:textId="77777777" w:rsidR="00CD137B" w:rsidRDefault="00CD137B" w:rsidP="00CD137B">
      <w:pPr>
        <w:jc w:val="center"/>
        <w:rPr>
          <w:rFonts w:ascii="Arial" w:hAnsi="Arial" w:cs="Arial"/>
          <w:sz w:val="28"/>
          <w:szCs w:val="28"/>
        </w:rPr>
      </w:pPr>
    </w:p>
    <w:p w14:paraId="681BE2B8" w14:textId="77777777" w:rsidR="00CD137B" w:rsidRPr="00A27FB5" w:rsidRDefault="00CD137B" w:rsidP="00CD137B">
      <w:pPr>
        <w:jc w:val="center"/>
        <w:rPr>
          <w:rFonts w:ascii="Arial" w:hAnsi="Arial" w:cs="Arial"/>
          <w:sz w:val="28"/>
          <w:szCs w:val="28"/>
        </w:rPr>
      </w:pPr>
    </w:p>
    <w:p w14:paraId="10D58A18" w14:textId="77777777" w:rsidR="00CD137B" w:rsidRPr="00A27FB5" w:rsidRDefault="00CD137B" w:rsidP="00CD137B">
      <w:pPr>
        <w:jc w:val="center"/>
        <w:rPr>
          <w:rFonts w:ascii="Arial" w:hAnsi="Arial" w:cs="Arial"/>
          <w:sz w:val="28"/>
          <w:szCs w:val="28"/>
          <w:highlight w:val="yellow"/>
        </w:rPr>
      </w:pPr>
      <w:r w:rsidRPr="00A27FB5">
        <w:rPr>
          <w:rFonts w:ascii="Arial" w:hAnsi="Arial" w:cs="Arial"/>
          <w:sz w:val="28"/>
          <w:szCs w:val="28"/>
          <w:highlight w:val="yellow"/>
        </w:rPr>
        <w:t>Draft 1</w:t>
      </w:r>
    </w:p>
    <w:p w14:paraId="6B1F8366" w14:textId="5C2E746C" w:rsidR="00CD137B" w:rsidRPr="00A27FB5" w:rsidRDefault="00CD137B" w:rsidP="00CD137B">
      <w:pPr>
        <w:jc w:val="center"/>
        <w:rPr>
          <w:rFonts w:ascii="Arial" w:hAnsi="Arial" w:cs="Arial"/>
          <w:sz w:val="28"/>
          <w:szCs w:val="28"/>
        </w:rPr>
      </w:pPr>
      <w:r>
        <w:rPr>
          <w:rFonts w:ascii="Arial" w:hAnsi="Arial" w:cs="Arial"/>
          <w:sz w:val="28"/>
          <w:szCs w:val="28"/>
          <w:highlight w:val="yellow"/>
        </w:rPr>
        <w:t>August</w:t>
      </w:r>
      <w:r w:rsidRPr="00A27FB5">
        <w:rPr>
          <w:rFonts w:ascii="Arial" w:hAnsi="Arial" w:cs="Arial"/>
          <w:sz w:val="28"/>
          <w:szCs w:val="28"/>
          <w:highlight w:val="yellow"/>
        </w:rPr>
        <w:t xml:space="preserve"> 2020</w:t>
      </w:r>
    </w:p>
    <w:p w14:paraId="3300C13D" w14:textId="77777777" w:rsidR="00CD137B" w:rsidRDefault="00CD137B" w:rsidP="00CD137B"/>
    <w:p w14:paraId="3F020B44" w14:textId="77777777" w:rsidR="00CD137B" w:rsidRDefault="00CD137B" w:rsidP="00CD137B"/>
    <w:p w14:paraId="4C76FBD4" w14:textId="77777777" w:rsidR="00CD137B" w:rsidRDefault="00CD137B" w:rsidP="00CD137B">
      <w:r>
        <w:br w:type="page"/>
      </w:r>
    </w:p>
    <w:p w14:paraId="71CA5313" w14:textId="77777777" w:rsidR="00E45CB8" w:rsidRDefault="00E45CB8" w:rsidP="00CD137B">
      <w:pPr>
        <w:jc w:val="center"/>
        <w:rPr>
          <w:rFonts w:ascii="Arial" w:hAnsi="Arial" w:cs="Arial"/>
          <w:b/>
          <w:bCs/>
          <w:sz w:val="24"/>
          <w:szCs w:val="24"/>
        </w:rPr>
      </w:pPr>
    </w:p>
    <w:p w14:paraId="0BA7E2D7" w14:textId="41EE65F6" w:rsidR="00CD137B" w:rsidRPr="00AF4E52" w:rsidRDefault="00CD137B" w:rsidP="00CD137B">
      <w:pPr>
        <w:jc w:val="center"/>
        <w:rPr>
          <w:rFonts w:ascii="Arial" w:hAnsi="Arial" w:cs="Arial"/>
          <w:b/>
          <w:bCs/>
        </w:rPr>
      </w:pPr>
      <w:r w:rsidRPr="00AF4E52">
        <w:rPr>
          <w:rFonts w:ascii="Arial" w:hAnsi="Arial" w:cs="Arial"/>
          <w:b/>
          <w:bCs/>
          <w:sz w:val="24"/>
          <w:szCs w:val="24"/>
        </w:rPr>
        <w:t>Table of Contents</w:t>
      </w:r>
    </w:p>
    <w:p w14:paraId="42B5F805" w14:textId="77777777" w:rsidR="00CD137B" w:rsidRDefault="00CD137B" w:rsidP="00CD137B"/>
    <w:p w14:paraId="59F8AE35" w14:textId="77777777" w:rsidR="00CD137B" w:rsidRDefault="00CD137B" w:rsidP="00CD137B"/>
    <w:p w14:paraId="344011A7" w14:textId="77777777" w:rsidR="00CD137B" w:rsidRDefault="00CD137B" w:rsidP="00CD137B"/>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5"/>
        <w:gridCol w:w="905"/>
      </w:tblGrid>
      <w:tr w:rsidR="00CD137B" w14:paraId="3BF13DE1" w14:textId="77777777" w:rsidTr="00D9314C">
        <w:trPr>
          <w:trHeight w:val="576"/>
          <w:jc w:val="center"/>
        </w:trPr>
        <w:tc>
          <w:tcPr>
            <w:tcW w:w="7825" w:type="dxa"/>
            <w:vAlign w:val="center"/>
          </w:tcPr>
          <w:p w14:paraId="18F20AD0" w14:textId="77777777" w:rsidR="00CD137B" w:rsidRPr="0068642A" w:rsidRDefault="00CD137B" w:rsidP="00D9314C">
            <w:pPr>
              <w:rPr>
                <w:rFonts w:asciiTheme="majorHAnsi" w:hAnsiTheme="majorHAnsi" w:cstheme="majorHAnsi"/>
              </w:rPr>
            </w:pPr>
            <w:r w:rsidRPr="004A2E19">
              <w:rPr>
                <w:rFonts w:asciiTheme="majorHAnsi" w:hAnsiTheme="majorHAnsi" w:cstheme="majorHAnsi"/>
              </w:rPr>
              <w:t>Contributors and Acknowledgements</w:t>
            </w:r>
          </w:p>
        </w:tc>
        <w:tc>
          <w:tcPr>
            <w:tcW w:w="905" w:type="dxa"/>
            <w:vAlign w:val="center"/>
          </w:tcPr>
          <w:p w14:paraId="18958A8F" w14:textId="2EABCF33" w:rsidR="00CD137B" w:rsidRPr="00CD137B" w:rsidRDefault="00CD137B" w:rsidP="00D9314C">
            <w:pPr>
              <w:jc w:val="center"/>
              <w:rPr>
                <w:rFonts w:asciiTheme="majorHAnsi" w:hAnsiTheme="majorHAnsi" w:cstheme="majorHAnsi"/>
              </w:rPr>
            </w:pPr>
          </w:p>
        </w:tc>
      </w:tr>
      <w:tr w:rsidR="00CD137B" w14:paraId="395885BA" w14:textId="77777777" w:rsidTr="00D9314C">
        <w:trPr>
          <w:trHeight w:val="576"/>
          <w:jc w:val="center"/>
        </w:trPr>
        <w:tc>
          <w:tcPr>
            <w:tcW w:w="7825" w:type="dxa"/>
            <w:vAlign w:val="center"/>
          </w:tcPr>
          <w:p w14:paraId="30DFC7D7" w14:textId="77777777" w:rsidR="00CD137B" w:rsidRPr="0068642A" w:rsidRDefault="00CD137B" w:rsidP="00D9314C">
            <w:pPr>
              <w:rPr>
                <w:rFonts w:asciiTheme="majorHAnsi" w:hAnsiTheme="majorHAnsi" w:cstheme="majorHAnsi"/>
              </w:rPr>
            </w:pPr>
            <w:r w:rsidRPr="004A2E19">
              <w:rPr>
                <w:rFonts w:asciiTheme="majorHAnsi" w:hAnsiTheme="majorHAnsi" w:cstheme="majorHAnsi"/>
              </w:rPr>
              <w:t>Introduction</w:t>
            </w:r>
          </w:p>
        </w:tc>
        <w:tc>
          <w:tcPr>
            <w:tcW w:w="905" w:type="dxa"/>
            <w:vAlign w:val="center"/>
          </w:tcPr>
          <w:p w14:paraId="14025A8D" w14:textId="10389B31" w:rsidR="00CD137B" w:rsidRPr="00606AAC" w:rsidRDefault="00CD137B" w:rsidP="00D9314C">
            <w:pPr>
              <w:jc w:val="center"/>
              <w:rPr>
                <w:rFonts w:asciiTheme="majorHAnsi" w:hAnsiTheme="majorHAnsi" w:cstheme="majorHAnsi"/>
              </w:rPr>
            </w:pPr>
          </w:p>
        </w:tc>
      </w:tr>
      <w:tr w:rsidR="00CD137B" w14:paraId="5CCCA275" w14:textId="77777777" w:rsidTr="00D9314C">
        <w:trPr>
          <w:trHeight w:val="576"/>
          <w:jc w:val="center"/>
        </w:trPr>
        <w:tc>
          <w:tcPr>
            <w:tcW w:w="7825" w:type="dxa"/>
            <w:vAlign w:val="center"/>
          </w:tcPr>
          <w:p w14:paraId="140EF462" w14:textId="7554A895" w:rsidR="00CD137B" w:rsidRPr="0068642A" w:rsidRDefault="00A535D6" w:rsidP="00D9314C">
            <w:pPr>
              <w:rPr>
                <w:rFonts w:asciiTheme="majorHAnsi" w:hAnsiTheme="majorHAnsi" w:cstheme="majorHAnsi"/>
              </w:rPr>
            </w:pPr>
            <w:r>
              <w:rPr>
                <w:rFonts w:asciiTheme="majorHAnsi" w:hAnsiTheme="majorHAnsi" w:cstheme="majorHAnsi"/>
              </w:rPr>
              <w:t xml:space="preserve">Chapter 1:  </w:t>
            </w:r>
            <w:r w:rsidR="00CD137B" w:rsidRPr="004A2E19">
              <w:rPr>
                <w:rFonts w:asciiTheme="majorHAnsi" w:hAnsiTheme="majorHAnsi" w:cstheme="majorHAnsi"/>
              </w:rPr>
              <w:t>Legionnaires’ Disease Basics</w:t>
            </w:r>
          </w:p>
        </w:tc>
        <w:tc>
          <w:tcPr>
            <w:tcW w:w="905" w:type="dxa"/>
            <w:vAlign w:val="center"/>
          </w:tcPr>
          <w:p w14:paraId="1CC215D7" w14:textId="66A65B19" w:rsidR="00CD137B" w:rsidRPr="00606AAC" w:rsidRDefault="00CD137B" w:rsidP="00D9314C">
            <w:pPr>
              <w:jc w:val="center"/>
              <w:rPr>
                <w:rFonts w:asciiTheme="majorHAnsi" w:hAnsiTheme="majorHAnsi" w:cstheme="majorHAnsi"/>
              </w:rPr>
            </w:pPr>
          </w:p>
        </w:tc>
      </w:tr>
      <w:tr w:rsidR="00CD137B" w14:paraId="11DADDB9" w14:textId="77777777" w:rsidTr="00D9314C">
        <w:trPr>
          <w:trHeight w:val="576"/>
          <w:jc w:val="center"/>
        </w:trPr>
        <w:tc>
          <w:tcPr>
            <w:tcW w:w="7825" w:type="dxa"/>
            <w:vAlign w:val="center"/>
          </w:tcPr>
          <w:p w14:paraId="31815C0A" w14:textId="090AB9C0" w:rsidR="00CD137B" w:rsidRPr="0068642A" w:rsidRDefault="00A535D6" w:rsidP="00D9314C">
            <w:pPr>
              <w:rPr>
                <w:rFonts w:asciiTheme="majorHAnsi" w:hAnsiTheme="majorHAnsi" w:cstheme="majorHAnsi"/>
              </w:rPr>
            </w:pPr>
            <w:r>
              <w:rPr>
                <w:rFonts w:asciiTheme="majorHAnsi" w:hAnsiTheme="majorHAnsi" w:cstheme="majorHAnsi"/>
              </w:rPr>
              <w:t xml:space="preserve">Chapter </w:t>
            </w:r>
            <w:r>
              <w:rPr>
                <w:rFonts w:asciiTheme="majorHAnsi" w:hAnsiTheme="majorHAnsi" w:cstheme="majorHAnsi"/>
              </w:rPr>
              <w:t>2</w:t>
            </w:r>
            <w:r>
              <w:rPr>
                <w:rFonts w:asciiTheme="majorHAnsi" w:hAnsiTheme="majorHAnsi" w:cstheme="majorHAnsi"/>
              </w:rPr>
              <w:t xml:space="preserve">:  </w:t>
            </w:r>
            <w:r>
              <w:rPr>
                <w:rFonts w:asciiTheme="majorHAnsi" w:hAnsiTheme="majorHAnsi" w:cstheme="majorHAnsi"/>
              </w:rPr>
              <w:t>Legal Authorities for Legionnaires’ Disease Activities</w:t>
            </w:r>
          </w:p>
        </w:tc>
        <w:tc>
          <w:tcPr>
            <w:tcW w:w="905" w:type="dxa"/>
            <w:vAlign w:val="center"/>
          </w:tcPr>
          <w:p w14:paraId="4AB4B6EF" w14:textId="1701C60C" w:rsidR="00CD137B" w:rsidRPr="00606AAC" w:rsidRDefault="00CD137B" w:rsidP="00D9314C">
            <w:pPr>
              <w:jc w:val="center"/>
              <w:rPr>
                <w:rFonts w:asciiTheme="majorHAnsi" w:hAnsiTheme="majorHAnsi" w:cstheme="majorHAnsi"/>
              </w:rPr>
            </w:pPr>
          </w:p>
        </w:tc>
      </w:tr>
      <w:tr w:rsidR="00CD137B" w14:paraId="3A6A2ADE" w14:textId="77777777" w:rsidTr="00D9314C">
        <w:trPr>
          <w:trHeight w:val="576"/>
          <w:jc w:val="center"/>
        </w:trPr>
        <w:tc>
          <w:tcPr>
            <w:tcW w:w="7825" w:type="dxa"/>
            <w:vAlign w:val="center"/>
          </w:tcPr>
          <w:p w14:paraId="45E28A3A" w14:textId="2EC03A5A" w:rsidR="00CD137B" w:rsidRPr="004A2E19" w:rsidRDefault="00A535D6" w:rsidP="00D9314C">
            <w:pPr>
              <w:rPr>
                <w:rFonts w:asciiTheme="majorHAnsi" w:hAnsiTheme="majorHAnsi" w:cstheme="majorHAnsi"/>
              </w:rPr>
            </w:pPr>
            <w:r>
              <w:rPr>
                <w:rFonts w:asciiTheme="majorHAnsi" w:hAnsiTheme="majorHAnsi" w:cstheme="majorHAnsi"/>
              </w:rPr>
              <w:t xml:space="preserve">Chapter </w:t>
            </w:r>
            <w:r>
              <w:rPr>
                <w:rFonts w:asciiTheme="majorHAnsi" w:hAnsiTheme="majorHAnsi" w:cstheme="majorHAnsi"/>
              </w:rPr>
              <w:t>3</w:t>
            </w:r>
            <w:r>
              <w:rPr>
                <w:rFonts w:asciiTheme="majorHAnsi" w:hAnsiTheme="majorHAnsi" w:cstheme="majorHAnsi"/>
              </w:rPr>
              <w:t xml:space="preserve">:  </w:t>
            </w:r>
            <w:r>
              <w:rPr>
                <w:rFonts w:asciiTheme="majorHAnsi" w:hAnsiTheme="majorHAnsi" w:cstheme="majorHAnsi"/>
              </w:rPr>
              <w:t>Access to Information and Confidentiality</w:t>
            </w:r>
          </w:p>
        </w:tc>
        <w:tc>
          <w:tcPr>
            <w:tcW w:w="905" w:type="dxa"/>
            <w:vAlign w:val="center"/>
          </w:tcPr>
          <w:p w14:paraId="1EDDB4B4" w14:textId="77777777" w:rsidR="00CD137B" w:rsidRPr="00606AAC" w:rsidRDefault="00CD137B" w:rsidP="00D9314C">
            <w:pPr>
              <w:jc w:val="center"/>
              <w:rPr>
                <w:rFonts w:asciiTheme="majorHAnsi" w:hAnsiTheme="majorHAnsi" w:cstheme="majorHAnsi"/>
              </w:rPr>
            </w:pPr>
          </w:p>
        </w:tc>
      </w:tr>
      <w:tr w:rsidR="00CD137B" w14:paraId="5E9FF85C" w14:textId="77777777" w:rsidTr="00D9314C">
        <w:trPr>
          <w:trHeight w:val="576"/>
          <w:jc w:val="center"/>
        </w:trPr>
        <w:tc>
          <w:tcPr>
            <w:tcW w:w="7825" w:type="dxa"/>
            <w:vAlign w:val="center"/>
          </w:tcPr>
          <w:p w14:paraId="75B62501" w14:textId="3AEABA1A" w:rsidR="00CD137B" w:rsidRPr="004A2E19" w:rsidRDefault="00A535D6" w:rsidP="00D9314C">
            <w:pPr>
              <w:rPr>
                <w:rFonts w:asciiTheme="majorHAnsi" w:hAnsiTheme="majorHAnsi" w:cstheme="majorHAnsi"/>
              </w:rPr>
            </w:pPr>
            <w:r>
              <w:rPr>
                <w:rFonts w:asciiTheme="majorHAnsi" w:hAnsiTheme="majorHAnsi" w:cstheme="majorHAnsi"/>
              </w:rPr>
              <w:t xml:space="preserve">Chapter </w:t>
            </w:r>
            <w:r>
              <w:rPr>
                <w:rFonts w:asciiTheme="majorHAnsi" w:hAnsiTheme="majorHAnsi" w:cstheme="majorHAnsi"/>
              </w:rPr>
              <w:t>4</w:t>
            </w:r>
            <w:r>
              <w:rPr>
                <w:rFonts w:asciiTheme="majorHAnsi" w:hAnsiTheme="majorHAnsi" w:cstheme="majorHAnsi"/>
              </w:rPr>
              <w:t xml:space="preserve">:  </w:t>
            </w:r>
            <w:r w:rsidR="00625525">
              <w:rPr>
                <w:rFonts w:asciiTheme="majorHAnsi" w:hAnsiTheme="majorHAnsi" w:cstheme="majorHAnsi"/>
              </w:rPr>
              <w:t xml:space="preserve">Potential </w:t>
            </w:r>
            <w:r>
              <w:rPr>
                <w:rFonts w:asciiTheme="majorHAnsi" w:hAnsiTheme="majorHAnsi" w:cstheme="majorHAnsi"/>
              </w:rPr>
              <w:t xml:space="preserve">Liability Issues </w:t>
            </w:r>
          </w:p>
        </w:tc>
        <w:tc>
          <w:tcPr>
            <w:tcW w:w="905" w:type="dxa"/>
            <w:vAlign w:val="center"/>
          </w:tcPr>
          <w:p w14:paraId="67B67B2A" w14:textId="77777777" w:rsidR="00CD137B" w:rsidRPr="00606AAC" w:rsidRDefault="00CD137B" w:rsidP="00D9314C">
            <w:pPr>
              <w:jc w:val="center"/>
              <w:rPr>
                <w:rFonts w:asciiTheme="majorHAnsi" w:hAnsiTheme="majorHAnsi" w:cstheme="majorHAnsi"/>
              </w:rPr>
            </w:pPr>
          </w:p>
        </w:tc>
      </w:tr>
      <w:tr w:rsidR="00CD137B" w14:paraId="1719FFE7" w14:textId="77777777" w:rsidTr="00D9314C">
        <w:trPr>
          <w:trHeight w:val="576"/>
          <w:jc w:val="center"/>
        </w:trPr>
        <w:tc>
          <w:tcPr>
            <w:tcW w:w="7825" w:type="dxa"/>
            <w:vAlign w:val="center"/>
          </w:tcPr>
          <w:p w14:paraId="1478AF18" w14:textId="256CC39E" w:rsidR="00CD137B" w:rsidRPr="0068642A" w:rsidRDefault="00A535D6" w:rsidP="00D9314C">
            <w:pPr>
              <w:rPr>
                <w:rFonts w:asciiTheme="majorHAnsi" w:hAnsiTheme="majorHAnsi" w:cstheme="majorHAnsi"/>
              </w:rPr>
            </w:pPr>
            <w:r>
              <w:rPr>
                <w:rFonts w:asciiTheme="majorHAnsi" w:hAnsiTheme="majorHAnsi" w:cstheme="majorHAnsi"/>
              </w:rPr>
              <w:t xml:space="preserve">Chapter </w:t>
            </w:r>
            <w:r>
              <w:rPr>
                <w:rFonts w:asciiTheme="majorHAnsi" w:hAnsiTheme="majorHAnsi" w:cstheme="majorHAnsi"/>
              </w:rPr>
              <w:t>5</w:t>
            </w:r>
            <w:r>
              <w:rPr>
                <w:rFonts w:asciiTheme="majorHAnsi" w:hAnsiTheme="majorHAnsi" w:cstheme="majorHAnsi"/>
              </w:rPr>
              <w:t xml:space="preserve">:  </w:t>
            </w:r>
            <w:r w:rsidR="00CD137B" w:rsidRPr="004A2E19">
              <w:rPr>
                <w:rFonts w:asciiTheme="majorHAnsi" w:hAnsiTheme="majorHAnsi" w:cstheme="majorHAnsi"/>
              </w:rPr>
              <w:t>Communication Considerations</w:t>
            </w:r>
          </w:p>
        </w:tc>
        <w:tc>
          <w:tcPr>
            <w:tcW w:w="905" w:type="dxa"/>
            <w:vAlign w:val="center"/>
          </w:tcPr>
          <w:p w14:paraId="74E1D7A0" w14:textId="3A17666B" w:rsidR="00CD137B" w:rsidRPr="00606AAC" w:rsidRDefault="00CD137B" w:rsidP="00D9314C">
            <w:pPr>
              <w:jc w:val="center"/>
              <w:rPr>
                <w:rFonts w:asciiTheme="majorHAnsi" w:hAnsiTheme="majorHAnsi" w:cstheme="majorHAnsi"/>
              </w:rPr>
            </w:pPr>
          </w:p>
        </w:tc>
      </w:tr>
      <w:tr w:rsidR="00CD137B" w14:paraId="6D9A1623" w14:textId="77777777" w:rsidTr="00D9314C">
        <w:trPr>
          <w:trHeight w:val="576"/>
          <w:jc w:val="center"/>
        </w:trPr>
        <w:tc>
          <w:tcPr>
            <w:tcW w:w="7825" w:type="dxa"/>
            <w:vAlign w:val="center"/>
          </w:tcPr>
          <w:p w14:paraId="5B7AEE40" w14:textId="77777777" w:rsidR="00CD137B" w:rsidRDefault="00CD137B" w:rsidP="00D9314C">
            <w:r w:rsidRPr="004A2E19">
              <w:rPr>
                <w:rFonts w:asciiTheme="majorHAnsi" w:hAnsiTheme="majorHAnsi" w:cstheme="majorHAnsi"/>
              </w:rPr>
              <w:t>Overview of Legionnaires’ Disease Risk Communication Modules</w:t>
            </w:r>
          </w:p>
        </w:tc>
        <w:tc>
          <w:tcPr>
            <w:tcW w:w="905" w:type="dxa"/>
            <w:vAlign w:val="center"/>
          </w:tcPr>
          <w:p w14:paraId="1612E2F9" w14:textId="2EC0E938" w:rsidR="00CD137B" w:rsidRPr="00606AAC" w:rsidRDefault="00CD137B" w:rsidP="00D9314C">
            <w:pPr>
              <w:jc w:val="center"/>
              <w:rPr>
                <w:rFonts w:asciiTheme="majorHAnsi" w:hAnsiTheme="majorHAnsi" w:cstheme="majorHAnsi"/>
              </w:rPr>
            </w:pPr>
          </w:p>
        </w:tc>
      </w:tr>
      <w:tr w:rsidR="00CD137B" w14:paraId="6A94B3EB" w14:textId="77777777" w:rsidTr="00D9314C">
        <w:trPr>
          <w:trHeight w:val="576"/>
          <w:jc w:val="center"/>
        </w:trPr>
        <w:tc>
          <w:tcPr>
            <w:tcW w:w="7825" w:type="dxa"/>
            <w:vAlign w:val="center"/>
          </w:tcPr>
          <w:p w14:paraId="4B5038F2" w14:textId="77777777" w:rsidR="00CD137B" w:rsidRPr="0068642A" w:rsidRDefault="00CD137B" w:rsidP="00D9314C">
            <w:pPr>
              <w:rPr>
                <w:rFonts w:asciiTheme="majorHAnsi" w:hAnsiTheme="majorHAnsi" w:cstheme="majorHAnsi"/>
              </w:rPr>
            </w:pPr>
            <w:r w:rsidRPr="004A2E19">
              <w:rPr>
                <w:rFonts w:asciiTheme="majorHAnsi" w:hAnsiTheme="majorHAnsi" w:cstheme="majorHAnsi"/>
              </w:rPr>
              <w:t>Module:  Healthcare Facilities</w:t>
            </w:r>
          </w:p>
        </w:tc>
        <w:tc>
          <w:tcPr>
            <w:tcW w:w="905" w:type="dxa"/>
            <w:vAlign w:val="center"/>
          </w:tcPr>
          <w:p w14:paraId="5FA57C0C" w14:textId="39BFD4B9" w:rsidR="00CD137B" w:rsidRPr="00606AAC" w:rsidRDefault="00CD137B" w:rsidP="00D9314C">
            <w:pPr>
              <w:jc w:val="center"/>
              <w:rPr>
                <w:rFonts w:asciiTheme="majorHAnsi" w:hAnsiTheme="majorHAnsi" w:cstheme="majorHAnsi"/>
              </w:rPr>
            </w:pPr>
          </w:p>
        </w:tc>
      </w:tr>
      <w:tr w:rsidR="00CD137B" w14:paraId="2630C343" w14:textId="77777777" w:rsidTr="00D9314C">
        <w:trPr>
          <w:trHeight w:val="576"/>
          <w:jc w:val="center"/>
        </w:trPr>
        <w:tc>
          <w:tcPr>
            <w:tcW w:w="7825" w:type="dxa"/>
            <w:vAlign w:val="center"/>
          </w:tcPr>
          <w:p w14:paraId="65C73D39" w14:textId="61294811" w:rsidR="00CD137B" w:rsidRPr="0068642A" w:rsidRDefault="00CD137B" w:rsidP="00D9314C">
            <w:pPr>
              <w:rPr>
                <w:rFonts w:asciiTheme="majorHAnsi" w:hAnsiTheme="majorHAnsi" w:cstheme="majorHAnsi"/>
              </w:rPr>
            </w:pPr>
            <w:r w:rsidRPr="004A2E19">
              <w:rPr>
                <w:rFonts w:asciiTheme="majorHAnsi" w:hAnsiTheme="majorHAnsi" w:cstheme="majorHAnsi"/>
              </w:rPr>
              <w:t xml:space="preserve">Module:  Congregate Residential </w:t>
            </w:r>
            <w:r w:rsidR="008F7998">
              <w:rPr>
                <w:rFonts w:asciiTheme="majorHAnsi" w:hAnsiTheme="majorHAnsi" w:cstheme="majorHAnsi"/>
              </w:rPr>
              <w:t>Facilities</w:t>
            </w:r>
          </w:p>
        </w:tc>
        <w:tc>
          <w:tcPr>
            <w:tcW w:w="905" w:type="dxa"/>
            <w:vAlign w:val="center"/>
          </w:tcPr>
          <w:p w14:paraId="2784A167" w14:textId="0F508CB6" w:rsidR="00CD137B" w:rsidRPr="00606AAC" w:rsidRDefault="00CD137B" w:rsidP="00D9314C">
            <w:pPr>
              <w:jc w:val="center"/>
              <w:rPr>
                <w:rFonts w:asciiTheme="majorHAnsi" w:hAnsiTheme="majorHAnsi" w:cstheme="majorHAnsi"/>
              </w:rPr>
            </w:pPr>
          </w:p>
        </w:tc>
      </w:tr>
      <w:tr w:rsidR="00CD137B" w14:paraId="2C7E22C8" w14:textId="77777777" w:rsidTr="00D9314C">
        <w:trPr>
          <w:trHeight w:val="576"/>
          <w:jc w:val="center"/>
        </w:trPr>
        <w:tc>
          <w:tcPr>
            <w:tcW w:w="7825" w:type="dxa"/>
            <w:vAlign w:val="center"/>
          </w:tcPr>
          <w:p w14:paraId="37BFA8D3" w14:textId="235F4B76" w:rsidR="00CD137B" w:rsidRPr="0068642A" w:rsidRDefault="00CD137B" w:rsidP="00D9314C">
            <w:pPr>
              <w:rPr>
                <w:rFonts w:asciiTheme="majorHAnsi" w:hAnsiTheme="majorHAnsi" w:cstheme="majorHAnsi"/>
              </w:rPr>
            </w:pPr>
            <w:r w:rsidRPr="004A2E19">
              <w:rPr>
                <w:rFonts w:asciiTheme="majorHAnsi" w:hAnsiTheme="majorHAnsi" w:cstheme="majorHAnsi"/>
              </w:rPr>
              <w:t>Module:  Hotels and Hospitality</w:t>
            </w:r>
            <w:r w:rsidR="008F7998">
              <w:rPr>
                <w:rFonts w:asciiTheme="majorHAnsi" w:hAnsiTheme="majorHAnsi" w:cstheme="majorHAnsi"/>
              </w:rPr>
              <w:t xml:space="preserve"> Facilities</w:t>
            </w:r>
          </w:p>
        </w:tc>
        <w:tc>
          <w:tcPr>
            <w:tcW w:w="905" w:type="dxa"/>
            <w:vAlign w:val="center"/>
          </w:tcPr>
          <w:p w14:paraId="4EBC6511" w14:textId="2032CAE1" w:rsidR="00CD137B" w:rsidRPr="00606AAC" w:rsidRDefault="00CD137B" w:rsidP="00D9314C">
            <w:pPr>
              <w:jc w:val="center"/>
              <w:rPr>
                <w:rFonts w:asciiTheme="majorHAnsi" w:hAnsiTheme="majorHAnsi" w:cstheme="majorHAnsi"/>
              </w:rPr>
            </w:pPr>
          </w:p>
        </w:tc>
      </w:tr>
      <w:tr w:rsidR="00CD137B" w14:paraId="64B7FEA9" w14:textId="77777777" w:rsidTr="00D9314C">
        <w:trPr>
          <w:trHeight w:val="576"/>
          <w:jc w:val="center"/>
        </w:trPr>
        <w:tc>
          <w:tcPr>
            <w:tcW w:w="7825" w:type="dxa"/>
            <w:vAlign w:val="center"/>
          </w:tcPr>
          <w:p w14:paraId="7E0911D1" w14:textId="77777777" w:rsidR="00CD137B" w:rsidRPr="0068642A" w:rsidRDefault="00CD137B" w:rsidP="00D9314C">
            <w:pPr>
              <w:rPr>
                <w:rFonts w:asciiTheme="majorHAnsi" w:hAnsiTheme="majorHAnsi" w:cstheme="majorHAnsi"/>
              </w:rPr>
            </w:pPr>
            <w:r w:rsidRPr="004A2E19">
              <w:rPr>
                <w:rFonts w:asciiTheme="majorHAnsi" w:hAnsiTheme="majorHAnsi" w:cstheme="majorHAnsi"/>
              </w:rPr>
              <w:t>Module:  Community Settings</w:t>
            </w:r>
          </w:p>
        </w:tc>
        <w:tc>
          <w:tcPr>
            <w:tcW w:w="905" w:type="dxa"/>
            <w:vAlign w:val="center"/>
          </w:tcPr>
          <w:p w14:paraId="3CFD83D9" w14:textId="579DEC62" w:rsidR="00CD137B" w:rsidRPr="00606AAC" w:rsidRDefault="00CD137B" w:rsidP="00D9314C">
            <w:pPr>
              <w:jc w:val="center"/>
              <w:rPr>
                <w:rFonts w:asciiTheme="majorHAnsi" w:hAnsiTheme="majorHAnsi" w:cstheme="majorHAnsi"/>
              </w:rPr>
            </w:pPr>
          </w:p>
        </w:tc>
      </w:tr>
      <w:tr w:rsidR="00CD137B" w14:paraId="1E3D004C" w14:textId="77777777" w:rsidTr="00D9314C">
        <w:trPr>
          <w:trHeight w:val="576"/>
          <w:jc w:val="center"/>
        </w:trPr>
        <w:tc>
          <w:tcPr>
            <w:tcW w:w="7825" w:type="dxa"/>
            <w:vAlign w:val="center"/>
          </w:tcPr>
          <w:p w14:paraId="01B189A4" w14:textId="77777777" w:rsidR="00CD137B" w:rsidRPr="0068642A" w:rsidRDefault="00CD137B" w:rsidP="00D9314C">
            <w:pPr>
              <w:rPr>
                <w:rFonts w:asciiTheme="majorHAnsi" w:hAnsiTheme="majorHAnsi" w:cstheme="majorHAnsi"/>
              </w:rPr>
            </w:pPr>
            <w:r w:rsidRPr="004A2E19">
              <w:rPr>
                <w:rFonts w:asciiTheme="majorHAnsi" w:hAnsiTheme="majorHAnsi" w:cstheme="majorHAnsi"/>
              </w:rPr>
              <w:t>Module:  Recreational Settings</w:t>
            </w:r>
          </w:p>
        </w:tc>
        <w:tc>
          <w:tcPr>
            <w:tcW w:w="905" w:type="dxa"/>
            <w:vAlign w:val="center"/>
          </w:tcPr>
          <w:p w14:paraId="12FA0FCE" w14:textId="608252DA" w:rsidR="00CD137B" w:rsidRPr="00606AAC" w:rsidRDefault="00CD137B" w:rsidP="00D9314C">
            <w:pPr>
              <w:jc w:val="center"/>
              <w:rPr>
                <w:rFonts w:asciiTheme="majorHAnsi" w:hAnsiTheme="majorHAnsi" w:cstheme="majorHAnsi"/>
              </w:rPr>
            </w:pPr>
          </w:p>
        </w:tc>
      </w:tr>
      <w:tr w:rsidR="00CD137B" w14:paraId="1BECD503" w14:textId="77777777" w:rsidTr="00D9314C">
        <w:trPr>
          <w:trHeight w:val="576"/>
          <w:jc w:val="center"/>
        </w:trPr>
        <w:tc>
          <w:tcPr>
            <w:tcW w:w="7825" w:type="dxa"/>
            <w:vAlign w:val="center"/>
          </w:tcPr>
          <w:p w14:paraId="25411F67" w14:textId="77777777" w:rsidR="00CD137B" w:rsidRPr="004A2E19" w:rsidRDefault="00CD137B" w:rsidP="00D9314C">
            <w:pPr>
              <w:rPr>
                <w:rFonts w:asciiTheme="majorHAnsi" w:hAnsiTheme="majorHAnsi" w:cstheme="majorHAnsi"/>
              </w:rPr>
            </w:pPr>
            <w:r w:rsidRPr="004A2E19">
              <w:rPr>
                <w:rFonts w:asciiTheme="majorHAnsi" w:hAnsiTheme="majorHAnsi" w:cstheme="majorHAnsi"/>
              </w:rPr>
              <w:t>Module:  Occupational Settings</w:t>
            </w:r>
          </w:p>
        </w:tc>
        <w:tc>
          <w:tcPr>
            <w:tcW w:w="905" w:type="dxa"/>
            <w:vAlign w:val="center"/>
          </w:tcPr>
          <w:p w14:paraId="4E5E8A4F" w14:textId="02B15A94" w:rsidR="00CD137B" w:rsidRPr="00606AAC" w:rsidRDefault="00CD137B" w:rsidP="00D9314C">
            <w:pPr>
              <w:jc w:val="center"/>
              <w:rPr>
                <w:rFonts w:asciiTheme="majorHAnsi" w:hAnsiTheme="majorHAnsi" w:cstheme="majorHAnsi"/>
              </w:rPr>
            </w:pPr>
          </w:p>
        </w:tc>
      </w:tr>
    </w:tbl>
    <w:p w14:paraId="67B4A589" w14:textId="77777777" w:rsidR="00CD137B" w:rsidRDefault="00CD137B" w:rsidP="00CD137B"/>
    <w:p w14:paraId="183F639F" w14:textId="77777777" w:rsidR="00CD137B" w:rsidRDefault="00CD137B" w:rsidP="00CD137B">
      <w:r>
        <w:br w:type="page"/>
      </w:r>
    </w:p>
    <w:p w14:paraId="52DD7EFC" w14:textId="77777777" w:rsidR="00CD137B" w:rsidRDefault="00CD137B" w:rsidP="00CD137B"/>
    <w:p w14:paraId="165D7A8B" w14:textId="77777777" w:rsidR="00CD137B" w:rsidRPr="002034A2" w:rsidRDefault="00CD137B" w:rsidP="00CD137B">
      <w:pPr>
        <w:jc w:val="center"/>
        <w:rPr>
          <w:rFonts w:ascii="Arial" w:hAnsi="Arial" w:cs="Arial"/>
          <w:b/>
          <w:bCs/>
          <w:sz w:val="32"/>
          <w:szCs w:val="32"/>
        </w:rPr>
      </w:pPr>
      <w:r>
        <w:rPr>
          <w:rFonts w:ascii="Arial" w:hAnsi="Arial" w:cs="Arial"/>
          <w:b/>
          <w:bCs/>
          <w:sz w:val="24"/>
          <w:szCs w:val="24"/>
        </w:rPr>
        <w:t>Contributors and Acknowledgements</w:t>
      </w:r>
    </w:p>
    <w:p w14:paraId="1B32D6AD" w14:textId="77777777" w:rsidR="00CD137B" w:rsidRPr="00883C68" w:rsidRDefault="00CD137B" w:rsidP="00CD137B">
      <w:pPr>
        <w:spacing w:line="360" w:lineRule="auto"/>
        <w:rPr>
          <w:rFonts w:asciiTheme="majorHAnsi" w:hAnsiTheme="majorHAnsi" w:cstheme="majorHAnsi"/>
        </w:rPr>
      </w:pPr>
    </w:p>
    <w:p w14:paraId="08627CD3" w14:textId="77777777" w:rsidR="00CD137B" w:rsidRPr="00883C68" w:rsidRDefault="00CD137B" w:rsidP="00CD137B">
      <w:pPr>
        <w:spacing w:line="360" w:lineRule="auto"/>
        <w:rPr>
          <w:rFonts w:asciiTheme="majorHAnsi" w:hAnsiTheme="majorHAnsi" w:cstheme="majorHAnsi"/>
        </w:rPr>
      </w:pPr>
    </w:p>
    <w:p w14:paraId="455B5330" w14:textId="77777777" w:rsidR="00CD137B" w:rsidRPr="00883C68" w:rsidRDefault="00CD137B" w:rsidP="00CD137B">
      <w:pPr>
        <w:rPr>
          <w:rFonts w:asciiTheme="majorHAnsi" w:hAnsiTheme="majorHAnsi" w:cstheme="majorHAnsi"/>
          <w:b/>
          <w:bCs/>
        </w:rPr>
      </w:pPr>
      <w:r w:rsidRPr="00883C68">
        <w:rPr>
          <w:rFonts w:asciiTheme="majorHAnsi" w:hAnsiTheme="majorHAnsi" w:cstheme="majorHAnsi"/>
          <w:b/>
          <w:bCs/>
        </w:rPr>
        <w:t xml:space="preserve">The Council of State and Territorial Epidemiologists (CSTE) thanks the </w:t>
      </w:r>
      <w:r>
        <w:rPr>
          <w:rFonts w:asciiTheme="majorHAnsi" w:hAnsiTheme="majorHAnsi" w:cstheme="majorHAnsi"/>
          <w:b/>
          <w:bCs/>
        </w:rPr>
        <w:t xml:space="preserve">members of the </w:t>
      </w:r>
      <w:r w:rsidRPr="000E05B1">
        <w:rPr>
          <w:rFonts w:asciiTheme="majorHAnsi" w:hAnsiTheme="majorHAnsi" w:cstheme="majorHAnsi"/>
          <w:b/>
          <w:bCs/>
        </w:rPr>
        <w:t xml:space="preserve">Legionnaires’ Disease Risk Communication Subgroup </w:t>
      </w:r>
      <w:r>
        <w:rPr>
          <w:rFonts w:asciiTheme="majorHAnsi" w:hAnsiTheme="majorHAnsi" w:cstheme="majorHAnsi"/>
          <w:b/>
          <w:bCs/>
        </w:rPr>
        <w:t xml:space="preserve">and the </w:t>
      </w:r>
      <w:r w:rsidRPr="00883C68">
        <w:rPr>
          <w:rFonts w:asciiTheme="majorHAnsi" w:hAnsiTheme="majorHAnsi" w:cstheme="majorHAnsi"/>
          <w:b/>
          <w:bCs/>
        </w:rPr>
        <w:t xml:space="preserve">following individuals for their </w:t>
      </w:r>
      <w:r>
        <w:rPr>
          <w:rFonts w:asciiTheme="majorHAnsi" w:hAnsiTheme="majorHAnsi" w:cstheme="majorHAnsi"/>
          <w:b/>
          <w:bCs/>
        </w:rPr>
        <w:t>c</w:t>
      </w:r>
      <w:r w:rsidRPr="00883C68">
        <w:rPr>
          <w:rFonts w:asciiTheme="majorHAnsi" w:hAnsiTheme="majorHAnsi" w:cstheme="majorHAnsi"/>
          <w:b/>
          <w:bCs/>
        </w:rPr>
        <w:t>ontributions to this toolkit:</w:t>
      </w:r>
    </w:p>
    <w:p w14:paraId="5B933C8A" w14:textId="77777777" w:rsidR="00CD137B" w:rsidRPr="00883C68" w:rsidRDefault="00CD137B" w:rsidP="00CD137B">
      <w:pPr>
        <w:rPr>
          <w:rFonts w:asciiTheme="majorHAnsi" w:hAnsiTheme="majorHAnsi" w:cstheme="majorHAnsi"/>
          <w:b/>
          <w:bCs/>
        </w:rPr>
      </w:pPr>
    </w:p>
    <w:p w14:paraId="3A866DBF" w14:textId="77777777" w:rsidR="00CD137B" w:rsidRPr="00883C68" w:rsidRDefault="00CD137B" w:rsidP="00CD137B">
      <w:pPr>
        <w:ind w:firstLine="720"/>
        <w:rPr>
          <w:rFonts w:asciiTheme="majorHAnsi" w:hAnsiTheme="majorHAnsi" w:cstheme="majorHAnsi"/>
        </w:rPr>
      </w:pPr>
      <w:r w:rsidRPr="00883C68">
        <w:rPr>
          <w:rFonts w:asciiTheme="majorHAnsi" w:hAnsiTheme="majorHAnsi" w:cstheme="majorHAnsi"/>
        </w:rPr>
        <w:t xml:space="preserve">[insert list of </w:t>
      </w:r>
      <w:r>
        <w:rPr>
          <w:rFonts w:asciiTheme="majorHAnsi" w:hAnsiTheme="majorHAnsi" w:cstheme="majorHAnsi"/>
        </w:rPr>
        <w:t>sub</w:t>
      </w:r>
      <w:r w:rsidRPr="00883C68">
        <w:rPr>
          <w:rFonts w:asciiTheme="majorHAnsi" w:hAnsiTheme="majorHAnsi" w:cstheme="majorHAnsi"/>
        </w:rPr>
        <w:t>group members]</w:t>
      </w:r>
    </w:p>
    <w:p w14:paraId="522D1CA4" w14:textId="77777777" w:rsidR="00CD137B" w:rsidRPr="00883C68" w:rsidRDefault="00CD137B" w:rsidP="00CD137B">
      <w:pPr>
        <w:rPr>
          <w:rFonts w:asciiTheme="majorHAnsi" w:hAnsiTheme="majorHAnsi" w:cstheme="majorHAnsi"/>
        </w:rPr>
      </w:pPr>
    </w:p>
    <w:p w14:paraId="27B09AC5" w14:textId="77777777" w:rsidR="00CD137B" w:rsidRPr="00883C68" w:rsidRDefault="00CD137B" w:rsidP="00CD137B">
      <w:pPr>
        <w:rPr>
          <w:rFonts w:asciiTheme="majorHAnsi" w:hAnsiTheme="majorHAnsi" w:cstheme="majorHAnsi"/>
        </w:rPr>
      </w:pPr>
    </w:p>
    <w:p w14:paraId="3D2E2D37" w14:textId="77777777" w:rsidR="00CD137B" w:rsidRPr="00883C68" w:rsidRDefault="00CD137B" w:rsidP="00CD137B">
      <w:pPr>
        <w:rPr>
          <w:rFonts w:asciiTheme="majorHAnsi" w:hAnsiTheme="majorHAnsi" w:cstheme="majorHAnsi"/>
        </w:rPr>
      </w:pPr>
    </w:p>
    <w:p w14:paraId="2F8972EB" w14:textId="77777777" w:rsidR="00CD137B" w:rsidRPr="00883C68" w:rsidRDefault="00CD137B" w:rsidP="00CD137B">
      <w:pPr>
        <w:rPr>
          <w:rFonts w:asciiTheme="majorHAnsi" w:hAnsiTheme="majorHAnsi" w:cstheme="majorHAnsi"/>
          <w:b/>
          <w:bCs/>
        </w:rPr>
      </w:pPr>
      <w:r w:rsidRPr="00883C68">
        <w:rPr>
          <w:rFonts w:asciiTheme="majorHAnsi" w:hAnsiTheme="majorHAnsi" w:cstheme="majorHAnsi"/>
          <w:b/>
          <w:bCs/>
        </w:rPr>
        <w:t>Acknowledgements:</w:t>
      </w:r>
    </w:p>
    <w:p w14:paraId="470A7657" w14:textId="77777777" w:rsidR="00CD137B" w:rsidRPr="00883C68" w:rsidRDefault="00CD137B" w:rsidP="00CD137B">
      <w:pPr>
        <w:rPr>
          <w:rFonts w:asciiTheme="majorHAnsi" w:hAnsiTheme="majorHAnsi" w:cstheme="majorHAnsi"/>
        </w:rPr>
      </w:pPr>
    </w:p>
    <w:p w14:paraId="776AC0B1" w14:textId="77777777" w:rsidR="00CD137B" w:rsidRPr="00883C68" w:rsidRDefault="00CD137B" w:rsidP="00CD137B">
      <w:pPr>
        <w:ind w:firstLine="720"/>
        <w:rPr>
          <w:rFonts w:asciiTheme="majorHAnsi" w:hAnsiTheme="majorHAnsi" w:cstheme="majorHAnsi"/>
        </w:rPr>
      </w:pPr>
      <w:r w:rsidRPr="00883C68">
        <w:rPr>
          <w:rFonts w:asciiTheme="majorHAnsi" w:hAnsiTheme="majorHAnsi" w:cstheme="majorHAnsi"/>
        </w:rPr>
        <w:t>[Insert list of CDC and other federal/stakeholder representatives to acknowledge]</w:t>
      </w:r>
    </w:p>
    <w:p w14:paraId="556F4561" w14:textId="77777777" w:rsidR="00CD137B" w:rsidRPr="00883C68" w:rsidRDefault="00CD137B" w:rsidP="00CD137B">
      <w:pPr>
        <w:rPr>
          <w:rFonts w:asciiTheme="majorHAnsi" w:hAnsiTheme="majorHAnsi" w:cstheme="majorHAnsi"/>
        </w:rPr>
      </w:pPr>
    </w:p>
    <w:p w14:paraId="28C5767A" w14:textId="77777777" w:rsidR="00CD137B" w:rsidRPr="00883C68" w:rsidRDefault="00CD137B" w:rsidP="00CD137B">
      <w:pPr>
        <w:rPr>
          <w:rFonts w:asciiTheme="majorHAnsi" w:hAnsiTheme="majorHAnsi" w:cstheme="majorHAnsi"/>
        </w:rPr>
      </w:pPr>
    </w:p>
    <w:p w14:paraId="3A5EF0CD" w14:textId="77777777" w:rsidR="00CD137B" w:rsidRPr="00883C68" w:rsidRDefault="00CD137B" w:rsidP="00CD137B">
      <w:pPr>
        <w:rPr>
          <w:rFonts w:asciiTheme="majorHAnsi" w:hAnsiTheme="majorHAnsi" w:cstheme="majorHAnsi"/>
        </w:rPr>
      </w:pPr>
    </w:p>
    <w:p w14:paraId="6748B113" w14:textId="77777777" w:rsidR="00CD137B" w:rsidRPr="00883C68" w:rsidRDefault="00CD137B" w:rsidP="00CD137B">
      <w:pPr>
        <w:rPr>
          <w:rFonts w:asciiTheme="majorHAnsi" w:hAnsiTheme="majorHAnsi" w:cstheme="majorHAnsi"/>
        </w:rPr>
      </w:pPr>
    </w:p>
    <w:p w14:paraId="6ABE267A" w14:textId="588E3827" w:rsidR="00CD137B" w:rsidRDefault="00CD137B" w:rsidP="00CD137B">
      <w:pPr>
        <w:rPr>
          <w:rFonts w:asciiTheme="majorHAnsi" w:hAnsiTheme="majorHAnsi" w:cstheme="majorHAnsi"/>
        </w:rPr>
      </w:pPr>
      <w:r w:rsidRPr="00883C68">
        <w:rPr>
          <w:rFonts w:asciiTheme="majorHAnsi" w:hAnsiTheme="majorHAnsi" w:cstheme="majorHAnsi"/>
        </w:rPr>
        <w:t xml:space="preserve">We also thank the following groups for sharing their materials and expertise: state and local health departments, the Centers for Disease Control and Prevention, </w:t>
      </w:r>
      <w:r>
        <w:rPr>
          <w:rFonts w:asciiTheme="majorHAnsi" w:hAnsiTheme="majorHAnsi" w:cstheme="majorHAnsi"/>
        </w:rPr>
        <w:t xml:space="preserve">and </w:t>
      </w:r>
      <w:r w:rsidRPr="00883C68">
        <w:rPr>
          <w:rFonts w:asciiTheme="majorHAnsi" w:hAnsiTheme="majorHAnsi" w:cstheme="majorHAnsi"/>
        </w:rPr>
        <w:t xml:space="preserve">the CSTE </w:t>
      </w:r>
      <w:r>
        <w:rPr>
          <w:rFonts w:asciiTheme="majorHAnsi" w:hAnsiTheme="majorHAnsi" w:cstheme="majorHAnsi"/>
        </w:rPr>
        <w:t>Legionnaires’ Disease Surveillance Workgroup</w:t>
      </w:r>
      <w:r w:rsidR="00BC7E35">
        <w:rPr>
          <w:rFonts w:asciiTheme="majorHAnsi" w:hAnsiTheme="majorHAnsi" w:cstheme="majorHAnsi"/>
        </w:rPr>
        <w:t>:</w:t>
      </w:r>
      <w:r>
        <w:rPr>
          <w:rFonts w:asciiTheme="majorHAnsi" w:hAnsiTheme="majorHAnsi" w:cstheme="majorHAnsi"/>
        </w:rPr>
        <w:t xml:space="preserve"> </w:t>
      </w:r>
    </w:p>
    <w:p w14:paraId="1BD70AD6" w14:textId="77777777" w:rsidR="00CD137B" w:rsidRDefault="00CD137B" w:rsidP="00CD137B">
      <w:pPr>
        <w:rPr>
          <w:rFonts w:asciiTheme="majorHAnsi" w:hAnsiTheme="majorHAnsi" w:cstheme="majorHAnsi"/>
        </w:rPr>
      </w:pPr>
    </w:p>
    <w:p w14:paraId="23C77887" w14:textId="77777777" w:rsidR="00CD137B" w:rsidRPr="00883C68" w:rsidRDefault="00CD137B" w:rsidP="00CD137B">
      <w:pPr>
        <w:rPr>
          <w:rFonts w:asciiTheme="majorHAnsi" w:hAnsiTheme="majorHAnsi" w:cstheme="majorHAnsi"/>
        </w:rPr>
      </w:pPr>
      <w:r>
        <w:rPr>
          <w:rFonts w:asciiTheme="majorHAnsi" w:hAnsiTheme="majorHAnsi" w:cstheme="majorHAnsi"/>
        </w:rPr>
        <w:tab/>
        <w:t>[insert other groups/individuals to thank]</w:t>
      </w:r>
    </w:p>
    <w:p w14:paraId="3667A324" w14:textId="77777777" w:rsidR="00CD137B" w:rsidRDefault="00CD137B" w:rsidP="00CD137B">
      <w:pPr>
        <w:rPr>
          <w:rFonts w:asciiTheme="majorHAnsi" w:hAnsiTheme="majorHAnsi" w:cstheme="majorHAnsi"/>
        </w:rPr>
      </w:pPr>
    </w:p>
    <w:p w14:paraId="40EA7C96" w14:textId="77777777" w:rsidR="00CD137B" w:rsidRDefault="00CD137B" w:rsidP="00CD137B">
      <w:pPr>
        <w:rPr>
          <w:rFonts w:asciiTheme="majorHAnsi" w:hAnsiTheme="majorHAnsi" w:cstheme="majorHAnsi"/>
        </w:rPr>
      </w:pPr>
    </w:p>
    <w:p w14:paraId="7EBA5E88" w14:textId="77777777" w:rsidR="00CD137B" w:rsidRPr="00883C68" w:rsidRDefault="00CD137B" w:rsidP="00CD137B">
      <w:pPr>
        <w:rPr>
          <w:rFonts w:asciiTheme="majorHAnsi" w:hAnsiTheme="majorHAnsi" w:cstheme="majorHAnsi"/>
        </w:rPr>
      </w:pPr>
    </w:p>
    <w:p w14:paraId="4EC971A7" w14:textId="77777777" w:rsidR="00CD137B" w:rsidRPr="00883C68" w:rsidRDefault="00CD137B" w:rsidP="00CD137B">
      <w:pPr>
        <w:rPr>
          <w:rFonts w:asciiTheme="majorHAnsi" w:hAnsiTheme="majorHAnsi" w:cstheme="majorHAnsi"/>
        </w:rPr>
      </w:pPr>
      <w:r w:rsidRPr="00883C68">
        <w:rPr>
          <w:rFonts w:asciiTheme="majorHAnsi" w:hAnsiTheme="majorHAnsi" w:cstheme="majorHAnsi"/>
        </w:rPr>
        <w:t xml:space="preserve">This project was funded under a cooperative agreement with the Centers for Disease Control and </w:t>
      </w:r>
      <w:r>
        <w:rPr>
          <w:rFonts w:asciiTheme="majorHAnsi" w:hAnsiTheme="majorHAnsi" w:cstheme="majorHAnsi"/>
        </w:rPr>
        <w:t>P</w:t>
      </w:r>
      <w:r w:rsidRPr="00883C68">
        <w:rPr>
          <w:rFonts w:asciiTheme="majorHAnsi" w:hAnsiTheme="majorHAnsi" w:cstheme="majorHAnsi"/>
        </w:rPr>
        <w:t>revention (NU38OT000297-01-00). The toolkit was authored for CSTE by Patricia Elliott JD, MPH under the direction of CSTE staff:</w:t>
      </w:r>
    </w:p>
    <w:p w14:paraId="211A0363" w14:textId="77777777" w:rsidR="00CD137B" w:rsidRPr="00883C68" w:rsidRDefault="00CD137B" w:rsidP="00CD137B">
      <w:pPr>
        <w:rPr>
          <w:rFonts w:asciiTheme="majorHAnsi" w:hAnsiTheme="majorHAnsi" w:cstheme="majorHAnsi"/>
        </w:rPr>
      </w:pPr>
    </w:p>
    <w:p w14:paraId="7E00C022" w14:textId="77777777" w:rsidR="00CD137B" w:rsidRPr="00883C68" w:rsidRDefault="00CD137B" w:rsidP="00CD137B">
      <w:pPr>
        <w:rPr>
          <w:rFonts w:asciiTheme="majorHAnsi" w:hAnsiTheme="majorHAnsi" w:cstheme="majorHAnsi"/>
        </w:rPr>
      </w:pPr>
      <w:r w:rsidRPr="00883C68">
        <w:rPr>
          <w:rFonts w:asciiTheme="majorHAnsi" w:hAnsiTheme="majorHAnsi" w:cstheme="majorHAnsi"/>
        </w:rPr>
        <w:t>Ashley Vineyard, MPH</w:t>
      </w:r>
    </w:p>
    <w:p w14:paraId="7DD7CA04" w14:textId="77777777" w:rsidR="00CD137B" w:rsidRPr="00883C68" w:rsidRDefault="00CD137B" w:rsidP="00CD137B">
      <w:pPr>
        <w:rPr>
          <w:rFonts w:asciiTheme="majorHAnsi" w:hAnsiTheme="majorHAnsi" w:cstheme="majorHAnsi"/>
        </w:rPr>
      </w:pPr>
    </w:p>
    <w:p w14:paraId="5A6DEA6C" w14:textId="77777777" w:rsidR="00CD137B" w:rsidRPr="00883C68" w:rsidRDefault="00CD137B" w:rsidP="00CD137B">
      <w:pPr>
        <w:ind w:firstLine="720"/>
        <w:rPr>
          <w:rFonts w:asciiTheme="majorHAnsi" w:hAnsiTheme="majorHAnsi" w:cstheme="majorHAnsi"/>
        </w:rPr>
      </w:pPr>
      <w:r w:rsidRPr="00883C68">
        <w:rPr>
          <w:rFonts w:asciiTheme="majorHAnsi" w:hAnsiTheme="majorHAnsi" w:cstheme="majorHAnsi"/>
        </w:rPr>
        <w:t>[list other CSTE staff]</w:t>
      </w:r>
      <w:r>
        <w:rPr>
          <w:rFonts w:asciiTheme="majorHAnsi" w:hAnsiTheme="majorHAnsi" w:cstheme="majorHAnsi"/>
        </w:rPr>
        <w:t xml:space="preserve"> </w:t>
      </w:r>
    </w:p>
    <w:p w14:paraId="45C70B86" w14:textId="77777777" w:rsidR="00CD137B" w:rsidRPr="00883C68" w:rsidRDefault="00CD137B" w:rsidP="00CD137B">
      <w:pPr>
        <w:rPr>
          <w:rFonts w:asciiTheme="majorHAnsi" w:hAnsiTheme="majorHAnsi" w:cstheme="majorHAnsi"/>
        </w:rPr>
      </w:pPr>
    </w:p>
    <w:p w14:paraId="0011E8CD" w14:textId="77777777" w:rsidR="00CD137B" w:rsidRPr="00883C68" w:rsidRDefault="00CD137B" w:rsidP="00CD137B">
      <w:pPr>
        <w:rPr>
          <w:rFonts w:asciiTheme="majorHAnsi" w:hAnsiTheme="majorHAnsi" w:cstheme="majorHAnsi"/>
        </w:rPr>
      </w:pPr>
    </w:p>
    <w:p w14:paraId="4A1CC123" w14:textId="77777777" w:rsidR="00CD137B" w:rsidRPr="00883C68" w:rsidRDefault="00CD137B" w:rsidP="00CD137B">
      <w:pPr>
        <w:rPr>
          <w:rFonts w:asciiTheme="majorHAnsi" w:hAnsiTheme="majorHAnsi" w:cstheme="majorHAnsi"/>
        </w:rPr>
      </w:pPr>
      <w:r w:rsidRPr="00883C68">
        <w:rPr>
          <w:rFonts w:asciiTheme="majorHAnsi" w:hAnsiTheme="majorHAnsi" w:cstheme="majorHAnsi"/>
        </w:rPr>
        <w:t>For questions about these guidelines, please contact: Council of State and Territorial Epidemiologists 2635 Century Pkwy NE, Suite 700 Atlanta, GA 30345 Tel: 770.458.3811 | Fax: 770.458.8516</w:t>
      </w:r>
    </w:p>
    <w:p w14:paraId="4C2A2C30" w14:textId="77777777" w:rsidR="00CD137B" w:rsidRPr="00B720A8" w:rsidRDefault="00CD137B" w:rsidP="00CD137B">
      <w:pPr>
        <w:rPr>
          <w:rFonts w:asciiTheme="majorHAnsi" w:hAnsiTheme="majorHAnsi" w:cstheme="majorHAnsi"/>
        </w:rPr>
      </w:pPr>
    </w:p>
    <w:p w14:paraId="08EE1810" w14:textId="77777777" w:rsidR="00CD137B" w:rsidRPr="00B720A8" w:rsidRDefault="00CD137B" w:rsidP="00CD137B">
      <w:pPr>
        <w:rPr>
          <w:rFonts w:asciiTheme="majorHAnsi" w:hAnsiTheme="majorHAnsi" w:cstheme="majorHAnsi"/>
        </w:rPr>
      </w:pPr>
    </w:p>
    <w:p w14:paraId="311DE37F" w14:textId="77777777" w:rsidR="00CD137B" w:rsidRDefault="00CD137B" w:rsidP="00CD137B">
      <w:pPr>
        <w:rPr>
          <w:rFonts w:asciiTheme="majorHAnsi" w:hAnsiTheme="majorHAnsi" w:cstheme="majorHAnsi"/>
        </w:rPr>
      </w:pPr>
    </w:p>
    <w:p w14:paraId="62AD5620" w14:textId="77777777" w:rsidR="00CD137B" w:rsidRDefault="00CD137B" w:rsidP="00CD137B">
      <w:pPr>
        <w:rPr>
          <w:rFonts w:asciiTheme="majorHAnsi" w:hAnsiTheme="majorHAnsi" w:cstheme="majorHAnsi"/>
        </w:rPr>
      </w:pPr>
    </w:p>
    <w:p w14:paraId="2ECE0568" w14:textId="77777777" w:rsidR="00CD137B" w:rsidRDefault="00CD137B" w:rsidP="00CD137B">
      <w:pPr>
        <w:rPr>
          <w:rFonts w:asciiTheme="majorHAnsi" w:hAnsiTheme="majorHAnsi" w:cstheme="majorHAnsi"/>
        </w:rPr>
      </w:pPr>
    </w:p>
    <w:p w14:paraId="30B24352" w14:textId="77777777" w:rsidR="00CD137B" w:rsidRDefault="00CD137B" w:rsidP="00CD137B">
      <w:pPr>
        <w:rPr>
          <w:rFonts w:asciiTheme="majorHAnsi" w:hAnsiTheme="majorHAnsi" w:cstheme="majorHAnsi"/>
        </w:rPr>
      </w:pPr>
    </w:p>
    <w:p w14:paraId="41CD60C7" w14:textId="77777777" w:rsidR="00CD137B" w:rsidRPr="00B720A8" w:rsidRDefault="00CD137B" w:rsidP="00CD137B">
      <w:pPr>
        <w:rPr>
          <w:rFonts w:asciiTheme="majorHAnsi" w:hAnsiTheme="majorHAnsi" w:cstheme="majorHAnsi"/>
        </w:rPr>
      </w:pPr>
    </w:p>
    <w:p w14:paraId="7F0690C6" w14:textId="77777777" w:rsidR="00CD137B" w:rsidRDefault="00CD137B" w:rsidP="00CD137B">
      <w:r>
        <w:br w:type="page"/>
      </w:r>
    </w:p>
    <w:p w14:paraId="39ECFE02" w14:textId="77777777" w:rsidR="00CD137B" w:rsidRPr="00BA2B61" w:rsidRDefault="00CD137B" w:rsidP="00CD137B">
      <w:pPr>
        <w:jc w:val="center"/>
        <w:rPr>
          <w:rFonts w:ascii="Arial" w:hAnsi="Arial" w:cs="Arial"/>
          <w:b/>
          <w:bCs/>
          <w:sz w:val="24"/>
          <w:szCs w:val="24"/>
        </w:rPr>
      </w:pPr>
      <w:r w:rsidRPr="00BA2B61">
        <w:rPr>
          <w:rFonts w:ascii="Arial" w:hAnsi="Arial" w:cs="Arial"/>
          <w:b/>
          <w:bCs/>
          <w:sz w:val="24"/>
          <w:szCs w:val="24"/>
        </w:rPr>
        <w:lastRenderedPageBreak/>
        <w:t>Introduction</w:t>
      </w:r>
    </w:p>
    <w:p w14:paraId="53D952CA" w14:textId="77777777" w:rsidR="00CD137B" w:rsidRPr="00B04461" w:rsidRDefault="00CD137B" w:rsidP="00CD137B">
      <w:pPr>
        <w:spacing w:line="360" w:lineRule="auto"/>
        <w:rPr>
          <w:rFonts w:asciiTheme="majorHAnsi" w:hAnsiTheme="majorHAnsi" w:cstheme="majorHAnsi"/>
        </w:rPr>
      </w:pPr>
    </w:p>
    <w:p w14:paraId="5349F4D6" w14:textId="77777777" w:rsidR="00CD137B" w:rsidRPr="00B04461" w:rsidRDefault="00CD137B" w:rsidP="00CD137B">
      <w:pPr>
        <w:spacing w:line="360" w:lineRule="auto"/>
        <w:rPr>
          <w:rFonts w:asciiTheme="majorHAnsi" w:hAnsiTheme="majorHAnsi" w:cstheme="majorHAnsi"/>
        </w:rPr>
      </w:pPr>
    </w:p>
    <w:p w14:paraId="57428D55" w14:textId="77777777" w:rsidR="00CD137B" w:rsidRPr="00834C67" w:rsidRDefault="00CD137B" w:rsidP="00311D35">
      <w:pPr>
        <w:spacing w:after="120" w:line="360" w:lineRule="auto"/>
        <w:rPr>
          <w:rFonts w:ascii="Arial" w:hAnsi="Arial" w:cs="Arial"/>
          <w:b/>
          <w:bCs/>
        </w:rPr>
      </w:pPr>
      <w:r w:rsidRPr="00834C67">
        <w:rPr>
          <w:rFonts w:ascii="Arial" w:hAnsi="Arial" w:cs="Arial"/>
          <w:b/>
          <w:bCs/>
        </w:rPr>
        <w:t>The Ongoing Challenge of Legionnaires’ Disease</w:t>
      </w:r>
    </w:p>
    <w:p w14:paraId="2F34DCAF" w14:textId="77777777" w:rsidR="00CD137B" w:rsidRDefault="00CD137B" w:rsidP="00CD137B">
      <w:pPr>
        <w:spacing w:line="360" w:lineRule="auto"/>
        <w:rPr>
          <w:rFonts w:asciiTheme="majorHAnsi" w:hAnsiTheme="majorHAnsi" w:cstheme="majorHAnsi"/>
        </w:rPr>
      </w:pPr>
      <w:r>
        <w:rPr>
          <w:rFonts w:asciiTheme="majorHAnsi" w:hAnsiTheme="majorHAnsi" w:cstheme="majorHAnsi"/>
        </w:rPr>
        <w:t>Although some may see Legionnaires’ disease (LD) as occurring infrequently—and then only in limited settings—it is in fact an ongoing public health threat that occurs in multiple types of settings. CDC notes the rate of reported LD cases in the U.S. has increased steadily since 2000. There were almost 10,000 cases reported by health departments in the U.S in 2018, though CDC considers the true incidence of the disease to be higher as LD is likely underdiagnosed.</w:t>
      </w:r>
      <w:r>
        <w:rPr>
          <w:rStyle w:val="FootnoteReference"/>
          <w:rFonts w:asciiTheme="majorHAnsi" w:hAnsiTheme="majorHAnsi" w:cstheme="majorHAnsi"/>
        </w:rPr>
        <w:footnoteReference w:id="1"/>
      </w:r>
      <w:r>
        <w:rPr>
          <w:rFonts w:asciiTheme="majorHAnsi" w:hAnsiTheme="majorHAnsi" w:cstheme="majorHAnsi"/>
        </w:rPr>
        <w:t xml:space="preserve"> While CDC acknowledges uncertainty for the reasons in the increase in LD cases—whether it is from increased awareness and reporting, greater susceptibility in the population, more </w:t>
      </w:r>
      <w:r w:rsidRPr="00C92A0B">
        <w:rPr>
          <w:rFonts w:asciiTheme="majorHAnsi" w:hAnsiTheme="majorHAnsi" w:cstheme="majorHAnsi"/>
          <w:i/>
          <w:iCs/>
        </w:rPr>
        <w:t>Legionella</w:t>
      </w:r>
      <w:r>
        <w:rPr>
          <w:rFonts w:asciiTheme="majorHAnsi" w:hAnsiTheme="majorHAnsi" w:cstheme="majorHAnsi"/>
        </w:rPr>
        <w:t xml:space="preserve"> in the environment, or a combination of these</w:t>
      </w:r>
      <w:r>
        <w:rPr>
          <w:rStyle w:val="FootnoteReference"/>
          <w:rFonts w:asciiTheme="majorHAnsi" w:hAnsiTheme="majorHAnsi" w:cstheme="majorHAnsi"/>
        </w:rPr>
        <w:footnoteReference w:id="2"/>
      </w:r>
      <w:r>
        <w:rPr>
          <w:rFonts w:asciiTheme="majorHAnsi" w:hAnsiTheme="majorHAnsi" w:cstheme="majorHAnsi"/>
        </w:rPr>
        <w:t>—it is clear that state, tribal, local, and territorial (STLT) health agencies need to emphasize timely and appropriate communications with key audiences and the general public as part of the process of identifying and responding to cases and outbreaks of LD.</w:t>
      </w:r>
    </w:p>
    <w:p w14:paraId="1A02E125" w14:textId="77777777" w:rsidR="00CD137B" w:rsidRDefault="00CD137B" w:rsidP="00CD137B">
      <w:pPr>
        <w:spacing w:line="360" w:lineRule="auto"/>
        <w:rPr>
          <w:rFonts w:asciiTheme="majorHAnsi" w:hAnsiTheme="majorHAnsi" w:cstheme="majorHAnsi"/>
        </w:rPr>
      </w:pPr>
    </w:p>
    <w:p w14:paraId="7B840B6D" w14:textId="77777777" w:rsidR="00CD137B" w:rsidRPr="00834C67" w:rsidRDefault="00CD137B" w:rsidP="00311D35">
      <w:pPr>
        <w:spacing w:after="120" w:line="360" w:lineRule="auto"/>
        <w:rPr>
          <w:rFonts w:ascii="Arial" w:hAnsi="Arial" w:cs="Arial"/>
          <w:b/>
          <w:bCs/>
        </w:rPr>
      </w:pPr>
      <w:r w:rsidRPr="00834C67">
        <w:rPr>
          <w:rFonts w:ascii="Arial" w:hAnsi="Arial" w:cs="Arial"/>
          <w:b/>
          <w:bCs/>
        </w:rPr>
        <w:t>Varying Risk Communication Approaches and Development of this Toolkit</w:t>
      </w:r>
    </w:p>
    <w:p w14:paraId="13B73D47" w14:textId="77777777" w:rsidR="00CD137B" w:rsidRDefault="00CD137B" w:rsidP="00CD137B">
      <w:pPr>
        <w:spacing w:line="360" w:lineRule="auto"/>
        <w:rPr>
          <w:rFonts w:asciiTheme="majorHAnsi" w:hAnsiTheme="majorHAnsi" w:cstheme="majorHAnsi"/>
        </w:rPr>
      </w:pPr>
      <w:r>
        <w:rPr>
          <w:rFonts w:asciiTheme="majorHAnsi" w:hAnsiTheme="majorHAnsi" w:cstheme="majorHAnsi"/>
        </w:rPr>
        <w:t>Individual STLT health agencies have employed a variety of approaches to communicate about the risks of LD. Agencies may have developed their own guidelines internally as well as used existing resources about surveillance, reporting, investigation, and communication. As a result, guidelines and protocols for communicating LD risks and mitigation information can vary across and within jurisdictions. For this reason, the CSTE</w:t>
      </w:r>
      <w:r w:rsidRPr="00883C68">
        <w:rPr>
          <w:rFonts w:asciiTheme="majorHAnsi" w:hAnsiTheme="majorHAnsi" w:cstheme="majorHAnsi"/>
        </w:rPr>
        <w:t xml:space="preserve"> </w:t>
      </w:r>
      <w:r>
        <w:rPr>
          <w:rFonts w:asciiTheme="majorHAnsi" w:hAnsiTheme="majorHAnsi" w:cstheme="majorHAnsi"/>
        </w:rPr>
        <w:t xml:space="preserve">Legionnaires’ Disease Surveillance Workgroup (the Workgroup) initiated a project to develop cohesive risk communication guidance available to all STLT health agencies. The Workgroup tasked the CSTE </w:t>
      </w:r>
      <w:r w:rsidRPr="008E411F">
        <w:rPr>
          <w:rFonts w:asciiTheme="majorHAnsi" w:hAnsiTheme="majorHAnsi" w:cstheme="majorHAnsi"/>
        </w:rPr>
        <w:t>Legionnaires’ Disease Risk Communication Subgroup</w:t>
      </w:r>
      <w:r>
        <w:rPr>
          <w:rFonts w:asciiTheme="majorHAnsi" w:hAnsiTheme="majorHAnsi" w:cstheme="majorHAnsi"/>
        </w:rPr>
        <w:t xml:space="preserve"> with collecting and distilling a range of range of LD risk communication resources and materials created by STLT and federal agencies and organizations with the goal of producing cohesive risk guidance. </w:t>
      </w:r>
    </w:p>
    <w:p w14:paraId="77B676D3" w14:textId="77777777" w:rsidR="00CD137B" w:rsidRDefault="00CD137B" w:rsidP="00CD137B">
      <w:pPr>
        <w:spacing w:line="360" w:lineRule="auto"/>
        <w:rPr>
          <w:rFonts w:asciiTheme="majorHAnsi" w:hAnsiTheme="majorHAnsi" w:cstheme="majorHAnsi"/>
        </w:rPr>
      </w:pPr>
    </w:p>
    <w:p w14:paraId="2DF97909" w14:textId="205B66A3" w:rsidR="00CD137B" w:rsidRPr="00834C67" w:rsidRDefault="00CD137B" w:rsidP="00AF10C2">
      <w:pPr>
        <w:keepNext/>
        <w:keepLines/>
        <w:spacing w:after="120" w:line="360" w:lineRule="auto"/>
        <w:rPr>
          <w:rFonts w:ascii="Arial" w:hAnsi="Arial" w:cs="Arial"/>
          <w:b/>
          <w:bCs/>
        </w:rPr>
      </w:pPr>
      <w:r w:rsidRPr="00834C67">
        <w:rPr>
          <w:rFonts w:ascii="Arial" w:hAnsi="Arial" w:cs="Arial"/>
          <w:b/>
          <w:bCs/>
        </w:rPr>
        <w:lastRenderedPageBreak/>
        <w:t>Using th</w:t>
      </w:r>
      <w:r w:rsidR="00673412">
        <w:rPr>
          <w:rFonts w:ascii="Arial" w:hAnsi="Arial" w:cs="Arial"/>
          <w:b/>
          <w:bCs/>
        </w:rPr>
        <w:t>e</w:t>
      </w:r>
      <w:r w:rsidRPr="00834C67">
        <w:rPr>
          <w:rFonts w:ascii="Arial" w:hAnsi="Arial" w:cs="Arial"/>
          <w:b/>
          <w:bCs/>
        </w:rPr>
        <w:t xml:space="preserve"> Toolkit</w:t>
      </w:r>
    </w:p>
    <w:p w14:paraId="56A515D3" w14:textId="47436FEC" w:rsidR="00CD137B" w:rsidRDefault="00CD137B" w:rsidP="00CD137B">
      <w:pPr>
        <w:spacing w:after="80" w:line="360" w:lineRule="auto"/>
        <w:rPr>
          <w:rFonts w:asciiTheme="majorHAnsi" w:hAnsiTheme="majorHAnsi" w:cstheme="majorHAnsi"/>
        </w:rPr>
      </w:pPr>
      <w:r>
        <w:rPr>
          <w:rFonts w:asciiTheme="majorHAnsi" w:hAnsiTheme="majorHAnsi" w:cstheme="majorHAnsi"/>
        </w:rPr>
        <w:t xml:space="preserve">This toolkit opens by providing foundational information about LD, identifying key legal considerations, and discussing important considerations when communicating about LD with stakeholders and the public. The information in these initial </w:t>
      </w:r>
      <w:r w:rsidR="007E23B4">
        <w:rPr>
          <w:rFonts w:asciiTheme="majorHAnsi" w:hAnsiTheme="majorHAnsi" w:cstheme="majorHAnsi"/>
        </w:rPr>
        <w:t>chapters</w:t>
      </w:r>
      <w:r>
        <w:rPr>
          <w:rFonts w:asciiTheme="majorHAnsi" w:hAnsiTheme="majorHAnsi" w:cstheme="majorHAnsi"/>
        </w:rPr>
        <w:t xml:space="preserve"> applies to all settings in which LD can occur. The toolkit next provides a series of setting-specific modules that address LD-related information and messaging targeted for that setting. The setting-specific modules are:</w:t>
      </w:r>
    </w:p>
    <w:p w14:paraId="16432B67" w14:textId="77777777" w:rsidR="00CD137B" w:rsidRPr="005D3A69" w:rsidRDefault="00CD137B" w:rsidP="00CD137B">
      <w:pPr>
        <w:pStyle w:val="ListParagraph"/>
        <w:numPr>
          <w:ilvl w:val="0"/>
          <w:numId w:val="1"/>
        </w:numPr>
        <w:spacing w:after="80" w:line="360" w:lineRule="auto"/>
        <w:rPr>
          <w:rFonts w:asciiTheme="majorHAnsi" w:hAnsiTheme="majorHAnsi" w:cstheme="majorHAnsi"/>
        </w:rPr>
      </w:pPr>
      <w:r w:rsidRPr="005D3A69">
        <w:rPr>
          <w:rFonts w:asciiTheme="majorHAnsi" w:hAnsiTheme="majorHAnsi" w:cstheme="majorHAnsi"/>
        </w:rPr>
        <w:t>Healthcare Facilities</w:t>
      </w:r>
    </w:p>
    <w:p w14:paraId="29E4C98A" w14:textId="66B20F78" w:rsidR="00CD137B" w:rsidRPr="005D3A69" w:rsidRDefault="00CD137B" w:rsidP="00CD137B">
      <w:pPr>
        <w:pStyle w:val="ListParagraph"/>
        <w:numPr>
          <w:ilvl w:val="0"/>
          <w:numId w:val="1"/>
        </w:numPr>
        <w:spacing w:after="80" w:line="360" w:lineRule="auto"/>
        <w:rPr>
          <w:rFonts w:asciiTheme="majorHAnsi" w:hAnsiTheme="majorHAnsi" w:cstheme="majorHAnsi"/>
        </w:rPr>
      </w:pPr>
      <w:r w:rsidRPr="005D3A69">
        <w:rPr>
          <w:rFonts w:asciiTheme="majorHAnsi" w:hAnsiTheme="majorHAnsi" w:cstheme="majorHAnsi"/>
        </w:rPr>
        <w:t xml:space="preserve">Congregate Residential </w:t>
      </w:r>
      <w:r w:rsidR="006C4BE6">
        <w:rPr>
          <w:rFonts w:asciiTheme="majorHAnsi" w:hAnsiTheme="majorHAnsi" w:cstheme="majorHAnsi"/>
        </w:rPr>
        <w:t>Facilities</w:t>
      </w:r>
    </w:p>
    <w:p w14:paraId="491472AC" w14:textId="694511FC" w:rsidR="00CD137B" w:rsidRPr="005D3A69" w:rsidRDefault="00CD137B" w:rsidP="00CD137B">
      <w:pPr>
        <w:pStyle w:val="ListParagraph"/>
        <w:numPr>
          <w:ilvl w:val="0"/>
          <w:numId w:val="1"/>
        </w:numPr>
        <w:spacing w:after="80" w:line="360" w:lineRule="auto"/>
        <w:rPr>
          <w:rFonts w:asciiTheme="majorHAnsi" w:hAnsiTheme="majorHAnsi" w:cstheme="majorHAnsi"/>
        </w:rPr>
      </w:pPr>
      <w:r w:rsidRPr="005D3A69">
        <w:rPr>
          <w:rFonts w:asciiTheme="majorHAnsi" w:hAnsiTheme="majorHAnsi" w:cstheme="majorHAnsi"/>
        </w:rPr>
        <w:t>Hotels and Hospitality</w:t>
      </w:r>
      <w:r w:rsidR="006C4BE6">
        <w:rPr>
          <w:rFonts w:asciiTheme="majorHAnsi" w:hAnsiTheme="majorHAnsi" w:cstheme="majorHAnsi"/>
        </w:rPr>
        <w:t xml:space="preserve"> Facilities</w:t>
      </w:r>
    </w:p>
    <w:p w14:paraId="30800B86" w14:textId="77777777" w:rsidR="00CD137B" w:rsidRPr="005D3A69" w:rsidRDefault="00CD137B" w:rsidP="00CD137B">
      <w:pPr>
        <w:pStyle w:val="ListParagraph"/>
        <w:numPr>
          <w:ilvl w:val="0"/>
          <w:numId w:val="1"/>
        </w:numPr>
        <w:spacing w:after="80" w:line="360" w:lineRule="auto"/>
        <w:rPr>
          <w:rFonts w:asciiTheme="majorHAnsi" w:hAnsiTheme="majorHAnsi" w:cstheme="majorHAnsi"/>
        </w:rPr>
      </w:pPr>
      <w:r w:rsidRPr="005D3A69">
        <w:rPr>
          <w:rFonts w:asciiTheme="majorHAnsi" w:hAnsiTheme="majorHAnsi" w:cstheme="majorHAnsi"/>
        </w:rPr>
        <w:t>Community Settings</w:t>
      </w:r>
    </w:p>
    <w:p w14:paraId="3B46E1C1" w14:textId="77777777" w:rsidR="00CD137B" w:rsidRPr="005D3A69" w:rsidRDefault="00CD137B" w:rsidP="00CD137B">
      <w:pPr>
        <w:pStyle w:val="ListParagraph"/>
        <w:numPr>
          <w:ilvl w:val="0"/>
          <w:numId w:val="1"/>
        </w:numPr>
        <w:spacing w:after="80" w:line="360" w:lineRule="auto"/>
        <w:rPr>
          <w:rFonts w:asciiTheme="majorHAnsi" w:hAnsiTheme="majorHAnsi" w:cstheme="majorHAnsi"/>
        </w:rPr>
      </w:pPr>
      <w:r w:rsidRPr="005D3A69">
        <w:rPr>
          <w:rFonts w:asciiTheme="majorHAnsi" w:hAnsiTheme="majorHAnsi" w:cstheme="majorHAnsi"/>
        </w:rPr>
        <w:t>Recreational Settings</w:t>
      </w:r>
    </w:p>
    <w:p w14:paraId="294F8D4B" w14:textId="77777777" w:rsidR="00CD137B" w:rsidRPr="005D3A69" w:rsidRDefault="00CD137B" w:rsidP="00CD137B">
      <w:pPr>
        <w:pStyle w:val="ListParagraph"/>
        <w:numPr>
          <w:ilvl w:val="0"/>
          <w:numId w:val="1"/>
        </w:numPr>
        <w:spacing w:after="80" w:line="360" w:lineRule="auto"/>
        <w:rPr>
          <w:rFonts w:asciiTheme="majorHAnsi" w:hAnsiTheme="majorHAnsi" w:cstheme="majorHAnsi"/>
        </w:rPr>
      </w:pPr>
      <w:r w:rsidRPr="005D3A69">
        <w:rPr>
          <w:rFonts w:asciiTheme="majorHAnsi" w:hAnsiTheme="majorHAnsi" w:cstheme="majorHAnsi"/>
        </w:rPr>
        <w:t>Occupational Settings</w:t>
      </w:r>
    </w:p>
    <w:p w14:paraId="6BEC4A77" w14:textId="18B3930F" w:rsidR="00CD137B" w:rsidRDefault="00CD137B" w:rsidP="00CD137B">
      <w:pPr>
        <w:spacing w:after="80" w:line="360" w:lineRule="auto"/>
        <w:rPr>
          <w:rFonts w:asciiTheme="majorHAnsi" w:hAnsiTheme="majorHAnsi" w:cstheme="majorHAnsi"/>
        </w:rPr>
      </w:pPr>
      <w:r>
        <w:rPr>
          <w:rFonts w:asciiTheme="majorHAnsi" w:hAnsiTheme="majorHAnsi" w:cstheme="majorHAnsi"/>
        </w:rPr>
        <w:t>Each module also provides templates and/or samples for key communication items such as n</w:t>
      </w:r>
      <w:r w:rsidRPr="00CA5F91">
        <w:rPr>
          <w:rFonts w:asciiTheme="majorHAnsi" w:hAnsiTheme="majorHAnsi" w:cstheme="majorHAnsi"/>
        </w:rPr>
        <w:t xml:space="preserve">otification letters, health officer orders, press releases, </w:t>
      </w:r>
      <w:r>
        <w:rPr>
          <w:rFonts w:asciiTheme="majorHAnsi" w:hAnsiTheme="majorHAnsi" w:cstheme="majorHAnsi"/>
        </w:rPr>
        <w:t xml:space="preserve">and </w:t>
      </w:r>
      <w:r w:rsidRPr="00CA5F91">
        <w:rPr>
          <w:rFonts w:asciiTheme="majorHAnsi" w:hAnsiTheme="majorHAnsi" w:cstheme="majorHAnsi"/>
        </w:rPr>
        <w:t>health department advisories</w:t>
      </w:r>
      <w:r>
        <w:rPr>
          <w:rFonts w:asciiTheme="majorHAnsi" w:hAnsiTheme="majorHAnsi" w:cstheme="majorHAnsi"/>
        </w:rPr>
        <w:t>. The modules also identify practice tips and other resources to help STLT health agency staff communicate the risks of LD in these specific settings and with target audiences. More detailed information about using the modules is contained in the “</w:t>
      </w:r>
      <w:r w:rsidRPr="00080F2A">
        <w:rPr>
          <w:rFonts w:asciiTheme="majorHAnsi" w:hAnsiTheme="majorHAnsi" w:cstheme="majorHAnsi"/>
        </w:rPr>
        <w:t>Overview of Legionnaires’ Disease Risk Communication Modules</w:t>
      </w:r>
      <w:r>
        <w:rPr>
          <w:rFonts w:asciiTheme="majorHAnsi" w:hAnsiTheme="majorHAnsi" w:cstheme="majorHAnsi"/>
        </w:rPr>
        <w:t>” section below.</w:t>
      </w:r>
    </w:p>
    <w:p w14:paraId="62F1975D" w14:textId="77777777" w:rsidR="00CD137B" w:rsidRPr="009A6799" w:rsidRDefault="00CD137B" w:rsidP="00CD137B">
      <w:pPr>
        <w:spacing w:line="360" w:lineRule="auto"/>
        <w:rPr>
          <w:rFonts w:asciiTheme="majorHAnsi" w:hAnsiTheme="majorHAnsi" w:cstheme="majorHAnsi"/>
        </w:rPr>
      </w:pPr>
    </w:p>
    <w:p w14:paraId="6948A66C" w14:textId="77777777" w:rsidR="00CD137B" w:rsidRDefault="00CD137B" w:rsidP="00CD137B">
      <w:pPr>
        <w:spacing w:line="360" w:lineRule="auto"/>
        <w:rPr>
          <w:rFonts w:asciiTheme="majorHAnsi" w:hAnsiTheme="majorHAnsi" w:cstheme="majorHAnsi"/>
        </w:rPr>
      </w:pPr>
    </w:p>
    <w:p w14:paraId="23255CB2" w14:textId="77777777" w:rsidR="00CD137B" w:rsidRDefault="00CD137B" w:rsidP="00CD137B">
      <w:pPr>
        <w:spacing w:line="360" w:lineRule="auto"/>
        <w:rPr>
          <w:rFonts w:asciiTheme="majorHAnsi" w:hAnsiTheme="majorHAnsi" w:cstheme="majorHAnsi"/>
        </w:rPr>
      </w:pPr>
    </w:p>
    <w:p w14:paraId="6B61DBDF" w14:textId="77777777" w:rsidR="00CD137B" w:rsidRDefault="00CD137B" w:rsidP="00CD137B">
      <w:pPr>
        <w:spacing w:line="360" w:lineRule="auto"/>
        <w:rPr>
          <w:rFonts w:asciiTheme="majorHAnsi" w:hAnsiTheme="majorHAnsi" w:cstheme="majorHAnsi"/>
        </w:rPr>
      </w:pPr>
    </w:p>
    <w:p w14:paraId="243CF798" w14:textId="77777777" w:rsidR="00CD137B" w:rsidRDefault="00CD137B" w:rsidP="00CD137B">
      <w:pPr>
        <w:spacing w:line="360" w:lineRule="auto"/>
        <w:rPr>
          <w:rFonts w:asciiTheme="majorHAnsi" w:hAnsiTheme="majorHAnsi" w:cstheme="majorHAnsi"/>
        </w:rPr>
      </w:pPr>
    </w:p>
    <w:p w14:paraId="51F3462E" w14:textId="77777777" w:rsidR="00CD137B" w:rsidRPr="009A6799" w:rsidRDefault="00CD137B" w:rsidP="00CD137B">
      <w:pPr>
        <w:spacing w:line="360" w:lineRule="auto"/>
        <w:rPr>
          <w:rFonts w:asciiTheme="majorHAnsi" w:hAnsiTheme="majorHAnsi" w:cstheme="majorHAnsi"/>
        </w:rPr>
      </w:pPr>
    </w:p>
    <w:p w14:paraId="7FE4011D" w14:textId="77777777" w:rsidR="00CD137B" w:rsidRDefault="00CD137B"/>
    <w:sectPr w:rsidR="00CD137B" w:rsidSect="00CD137B">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64A7B0" w14:textId="77777777" w:rsidR="00FB2426" w:rsidRDefault="00FB2426" w:rsidP="00CD137B">
      <w:r>
        <w:separator/>
      </w:r>
    </w:p>
  </w:endnote>
  <w:endnote w:type="continuationSeparator" w:id="0">
    <w:p w14:paraId="637D601C" w14:textId="77777777" w:rsidR="00FB2426" w:rsidRDefault="00FB2426" w:rsidP="00CD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7397481"/>
      <w:docPartObj>
        <w:docPartGallery w:val="Page Numbers (Bottom of Page)"/>
        <w:docPartUnique/>
      </w:docPartObj>
    </w:sdtPr>
    <w:sdtEndPr>
      <w:rPr>
        <w:noProof/>
      </w:rPr>
    </w:sdtEndPr>
    <w:sdtContent>
      <w:p w14:paraId="6009812A" w14:textId="4ED72311" w:rsidR="00DF6AB7" w:rsidRDefault="00DF6AB7" w:rsidP="00DF6AB7">
        <w:pPr>
          <w:pStyle w:val="Footer"/>
          <w:jc w:val="center"/>
        </w:pPr>
        <w:r w:rsidRPr="00DF6AB7">
          <w:rPr>
            <w:rFonts w:asciiTheme="majorHAnsi" w:hAnsiTheme="majorHAnsi" w:cstheme="majorHAnsi"/>
          </w:rPr>
          <w:fldChar w:fldCharType="begin"/>
        </w:r>
        <w:r w:rsidRPr="00DF6AB7">
          <w:rPr>
            <w:rFonts w:asciiTheme="majorHAnsi" w:hAnsiTheme="majorHAnsi" w:cstheme="majorHAnsi"/>
          </w:rPr>
          <w:instrText xml:space="preserve"> PAGE   \* MERGEFORMAT </w:instrText>
        </w:r>
        <w:r w:rsidRPr="00DF6AB7">
          <w:rPr>
            <w:rFonts w:asciiTheme="majorHAnsi" w:hAnsiTheme="majorHAnsi" w:cstheme="majorHAnsi"/>
          </w:rPr>
          <w:fldChar w:fldCharType="separate"/>
        </w:r>
        <w:r w:rsidRPr="00DF6AB7">
          <w:rPr>
            <w:rFonts w:asciiTheme="majorHAnsi" w:hAnsiTheme="majorHAnsi" w:cstheme="majorHAnsi"/>
            <w:noProof/>
          </w:rPr>
          <w:t>2</w:t>
        </w:r>
        <w:r w:rsidRPr="00DF6AB7">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7DDFC5" w14:textId="77777777" w:rsidR="00FB2426" w:rsidRDefault="00FB2426" w:rsidP="00CD137B">
      <w:r>
        <w:separator/>
      </w:r>
    </w:p>
  </w:footnote>
  <w:footnote w:type="continuationSeparator" w:id="0">
    <w:p w14:paraId="65BB42CD" w14:textId="77777777" w:rsidR="00FB2426" w:rsidRDefault="00FB2426" w:rsidP="00CD137B">
      <w:r>
        <w:continuationSeparator/>
      </w:r>
    </w:p>
  </w:footnote>
  <w:footnote w:id="1">
    <w:p w14:paraId="0ABF1F95" w14:textId="77777777" w:rsidR="00CD137B" w:rsidRPr="00414A5E" w:rsidRDefault="00CD137B" w:rsidP="00CD137B">
      <w:pPr>
        <w:pStyle w:val="FootnoteText"/>
        <w:rPr>
          <w:rFonts w:asciiTheme="majorHAnsi" w:hAnsiTheme="majorHAnsi" w:cstheme="majorHAnsi"/>
          <w:b/>
          <w:bCs/>
          <w:i/>
          <w:iCs/>
        </w:rPr>
      </w:pPr>
      <w:r w:rsidRPr="00414A5E">
        <w:rPr>
          <w:rFonts w:asciiTheme="majorHAnsi" w:hAnsiTheme="majorHAnsi" w:cstheme="majorHAnsi"/>
          <w:b/>
          <w:bCs/>
          <w:i/>
          <w:iCs/>
          <w:highlight w:val="yellow"/>
        </w:rPr>
        <w:t>Note: Footnotes will be streamlined and edited to a style guide once the text is finalized</w:t>
      </w:r>
    </w:p>
    <w:p w14:paraId="612B44C2" w14:textId="72B46A89" w:rsidR="00CD137B" w:rsidRPr="00414A5E" w:rsidRDefault="00CD137B" w:rsidP="00CD137B">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(2019). </w:t>
      </w:r>
      <w:r w:rsidRPr="00414A5E">
        <w:rPr>
          <w:rFonts w:asciiTheme="majorHAnsi" w:hAnsiTheme="majorHAnsi" w:cstheme="majorHAnsi"/>
          <w:i/>
          <w:iCs/>
        </w:rPr>
        <w:t>Legionella</w:t>
      </w:r>
      <w:r w:rsidRPr="00414A5E">
        <w:rPr>
          <w:rFonts w:asciiTheme="majorHAnsi" w:hAnsiTheme="majorHAnsi" w:cstheme="majorHAnsi"/>
        </w:rPr>
        <w:t xml:space="preserve">: History, Burden, and Trends. Webpage last reviewed by CDC April 20, 2018. Retrieved from </w:t>
      </w:r>
      <w:hyperlink r:id="rId1" w:history="1">
        <w:r w:rsidRPr="00414A5E">
          <w:rPr>
            <w:rStyle w:val="Hyperlink"/>
            <w:rFonts w:asciiTheme="majorHAnsi" w:hAnsiTheme="majorHAnsi" w:cstheme="majorHAnsi"/>
          </w:rPr>
          <w:t>https://www.cdc.gov</w:t>
        </w:r>
        <w:r w:rsidRPr="00414A5E">
          <w:rPr>
            <w:rStyle w:val="Hyperlink"/>
            <w:rFonts w:asciiTheme="majorHAnsi" w:hAnsiTheme="majorHAnsi" w:cstheme="majorHAnsi"/>
          </w:rPr>
          <w:t>/</w:t>
        </w:r>
        <w:r w:rsidRPr="00414A5E">
          <w:rPr>
            <w:rStyle w:val="Hyperlink"/>
            <w:rFonts w:asciiTheme="majorHAnsi" w:hAnsiTheme="majorHAnsi" w:cstheme="majorHAnsi"/>
          </w:rPr>
          <w:t>legionella/about/history.html</w:t>
        </w:r>
      </w:hyperlink>
      <w:r w:rsidRPr="00414A5E">
        <w:rPr>
          <w:rFonts w:asciiTheme="majorHAnsi" w:hAnsiTheme="majorHAnsi" w:cstheme="majorHAnsi"/>
        </w:rPr>
        <w:t xml:space="preserve">. Accessed </w:t>
      </w:r>
      <w:r w:rsidR="0058029F">
        <w:rPr>
          <w:rFonts w:asciiTheme="majorHAnsi" w:hAnsiTheme="majorHAnsi" w:cstheme="majorHAnsi"/>
        </w:rPr>
        <w:t>August 17, 2020</w:t>
      </w:r>
      <w:r w:rsidRPr="00414A5E">
        <w:rPr>
          <w:rFonts w:asciiTheme="majorHAnsi" w:hAnsiTheme="majorHAnsi" w:cstheme="majorHAnsi"/>
        </w:rPr>
        <w:t>.</w:t>
      </w:r>
    </w:p>
  </w:footnote>
  <w:footnote w:id="2">
    <w:p w14:paraId="53F9B811" w14:textId="6141A7EA" w:rsidR="00CD137B" w:rsidRPr="00414A5E" w:rsidRDefault="00CD137B" w:rsidP="00CD137B">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(2019). </w:t>
      </w:r>
      <w:r w:rsidRPr="00414A5E">
        <w:rPr>
          <w:rFonts w:asciiTheme="majorHAnsi" w:hAnsiTheme="majorHAnsi" w:cstheme="majorHAnsi"/>
          <w:i/>
          <w:iCs/>
        </w:rPr>
        <w:t>Legionella</w:t>
      </w:r>
      <w:r w:rsidRPr="00414A5E">
        <w:rPr>
          <w:rFonts w:asciiTheme="majorHAnsi" w:hAnsiTheme="majorHAnsi" w:cstheme="majorHAnsi"/>
        </w:rPr>
        <w:t xml:space="preserve">: History, Burden, and Trends. Webpage last reviewed by CDC April 20, 2018. Retrieved from </w:t>
      </w:r>
      <w:hyperlink r:id="rId2" w:history="1">
        <w:r w:rsidRPr="00414A5E">
          <w:rPr>
            <w:rStyle w:val="Hyperlink"/>
            <w:rFonts w:asciiTheme="majorHAnsi" w:hAnsiTheme="majorHAnsi" w:cstheme="majorHAnsi"/>
          </w:rPr>
          <w:t>https://www.cdc.gov/legionella/about/history.html</w:t>
        </w:r>
      </w:hyperlink>
      <w:r w:rsidRPr="00414A5E">
        <w:rPr>
          <w:rFonts w:asciiTheme="majorHAnsi" w:hAnsiTheme="majorHAnsi" w:cstheme="majorHAnsi"/>
        </w:rPr>
        <w:t xml:space="preserve">. Accessed </w:t>
      </w:r>
      <w:r w:rsidR="0058029F">
        <w:rPr>
          <w:rFonts w:asciiTheme="majorHAnsi" w:hAnsiTheme="majorHAnsi" w:cstheme="majorHAnsi"/>
        </w:rPr>
        <w:t>August 17, 2020</w:t>
      </w:r>
      <w:r w:rsidR="0058029F">
        <w:rPr>
          <w:rFonts w:asciiTheme="majorHAnsi" w:hAnsiTheme="majorHAnsi" w:cstheme="maj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66632" w14:textId="2405DE02" w:rsidR="00CD137B" w:rsidRDefault="00CD137B" w:rsidP="00CD137B">
    <w:pPr>
      <w:pStyle w:val="Header"/>
      <w:jc w:val="center"/>
    </w:pPr>
    <w:r>
      <w:rPr>
        <w:highlight w:val="yellow"/>
      </w:rPr>
      <w:t xml:space="preserve">DRAFT </w:t>
    </w:r>
    <w:r>
      <w:rPr>
        <w:highlight w:val="yellow"/>
      </w:rPr>
      <w:t xml:space="preserve">1 </w:t>
    </w:r>
    <w:r>
      <w:rPr>
        <w:highlight w:val="yellow"/>
      </w:rPr>
      <w:t xml:space="preserve">– </w:t>
    </w:r>
    <w:r w:rsidRPr="00AF4E52">
      <w:rPr>
        <w:highlight w:val="yellow"/>
      </w:rPr>
      <w:t>DO NOT CITE OR CIRCULATE BEYOND CSTE REVIEWERS</w:t>
    </w:r>
  </w:p>
  <w:p w14:paraId="694B8127" w14:textId="77777777" w:rsidR="00CD137B" w:rsidRDefault="00CD1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EFE3EA" w14:textId="77777777" w:rsidR="00CD137B" w:rsidRDefault="00CD137B" w:rsidP="00CD137B">
    <w:pPr>
      <w:pStyle w:val="Header"/>
      <w:jc w:val="center"/>
    </w:pPr>
    <w:r>
      <w:rPr>
        <w:highlight w:val="yellow"/>
      </w:rPr>
      <w:t xml:space="preserve">DRAFT – </w:t>
    </w:r>
    <w:r w:rsidRPr="00AF4E52">
      <w:rPr>
        <w:highlight w:val="yellow"/>
      </w:rPr>
      <w:t>DO NOT CITE OR CIRCULATE BEYOND CSTE REVIEWERS</w:t>
    </w:r>
  </w:p>
  <w:p w14:paraId="5B79D130" w14:textId="77777777" w:rsidR="00CD137B" w:rsidRDefault="00CD1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610EAF"/>
    <w:multiLevelType w:val="hybridMultilevel"/>
    <w:tmpl w:val="E0A823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37B"/>
    <w:rsid w:val="00080F2A"/>
    <w:rsid w:val="00151278"/>
    <w:rsid w:val="001B2291"/>
    <w:rsid w:val="00252D14"/>
    <w:rsid w:val="002B665E"/>
    <w:rsid w:val="002E0A49"/>
    <w:rsid w:val="00311D35"/>
    <w:rsid w:val="00471E97"/>
    <w:rsid w:val="00476446"/>
    <w:rsid w:val="0058029F"/>
    <w:rsid w:val="005B3445"/>
    <w:rsid w:val="005E0B46"/>
    <w:rsid w:val="00625525"/>
    <w:rsid w:val="00673412"/>
    <w:rsid w:val="006C4BE6"/>
    <w:rsid w:val="007246C7"/>
    <w:rsid w:val="00763D48"/>
    <w:rsid w:val="007B7F01"/>
    <w:rsid w:val="007E23B4"/>
    <w:rsid w:val="00834C67"/>
    <w:rsid w:val="008F7998"/>
    <w:rsid w:val="009034B8"/>
    <w:rsid w:val="00A535D6"/>
    <w:rsid w:val="00AF10C2"/>
    <w:rsid w:val="00B15CBD"/>
    <w:rsid w:val="00B75B7F"/>
    <w:rsid w:val="00BC7E35"/>
    <w:rsid w:val="00C007B4"/>
    <w:rsid w:val="00CD137B"/>
    <w:rsid w:val="00CE54D5"/>
    <w:rsid w:val="00D766FB"/>
    <w:rsid w:val="00DF6AB7"/>
    <w:rsid w:val="00E45CB8"/>
    <w:rsid w:val="00E46238"/>
    <w:rsid w:val="00F10572"/>
    <w:rsid w:val="00FB2426"/>
    <w:rsid w:val="00FF7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C9C907"/>
  <w15:chartTrackingRefBased/>
  <w15:docId w15:val="{F6C73775-F056-414F-AFC3-012E0A436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CD137B"/>
    <w:pPr>
      <w:ind w:left="720"/>
      <w:contextualSpacing/>
    </w:pPr>
  </w:style>
  <w:style w:type="paragraph" w:styleId="FootnoteText">
    <w:name w:val="footnote text"/>
    <w:basedOn w:val="Normal"/>
    <w:link w:val="FootnoteTextChar"/>
    <w:uiPriority w:val="99"/>
    <w:unhideWhenUsed/>
    <w:rsid w:val="00CD137B"/>
    <w:rPr>
      <w:sz w:val="20"/>
      <w:szCs w:val="20"/>
    </w:rPr>
  </w:style>
  <w:style w:type="character" w:customStyle="1" w:styleId="FootnoteTextChar">
    <w:name w:val="Footnote Text Char"/>
    <w:basedOn w:val="DefaultParagraphFont"/>
    <w:link w:val="FootnoteText"/>
    <w:uiPriority w:val="99"/>
    <w:rsid w:val="00CD137B"/>
    <w:rPr>
      <w:sz w:val="20"/>
      <w:szCs w:val="20"/>
    </w:rPr>
  </w:style>
  <w:style w:type="character" w:styleId="FootnoteReference">
    <w:name w:val="footnote reference"/>
    <w:basedOn w:val="DefaultParagraphFont"/>
    <w:uiPriority w:val="99"/>
    <w:semiHidden/>
    <w:unhideWhenUsed/>
    <w:rsid w:val="00CD137B"/>
    <w:rPr>
      <w:vertAlign w:val="superscript"/>
    </w:rPr>
  </w:style>
  <w:style w:type="character" w:styleId="Hyperlink">
    <w:name w:val="Hyperlink"/>
    <w:basedOn w:val="DefaultParagraphFont"/>
    <w:uiPriority w:val="99"/>
    <w:unhideWhenUsed/>
    <w:rsid w:val="00CD137B"/>
    <w:rPr>
      <w:color w:val="0000FF"/>
      <w:u w:val="single"/>
    </w:rPr>
  </w:style>
  <w:style w:type="table" w:styleId="TableGrid">
    <w:name w:val="Table Grid"/>
    <w:basedOn w:val="TableNormal"/>
    <w:uiPriority w:val="39"/>
    <w:rsid w:val="00CD1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137B"/>
    <w:pPr>
      <w:tabs>
        <w:tab w:val="center" w:pos="4680"/>
        <w:tab w:val="right" w:pos="9360"/>
      </w:tabs>
    </w:pPr>
  </w:style>
  <w:style w:type="character" w:customStyle="1" w:styleId="HeaderChar">
    <w:name w:val="Header Char"/>
    <w:basedOn w:val="DefaultParagraphFont"/>
    <w:link w:val="Header"/>
    <w:uiPriority w:val="99"/>
    <w:rsid w:val="00CD137B"/>
  </w:style>
  <w:style w:type="paragraph" w:styleId="Footer">
    <w:name w:val="footer"/>
    <w:basedOn w:val="Normal"/>
    <w:link w:val="FooterChar"/>
    <w:uiPriority w:val="99"/>
    <w:unhideWhenUsed/>
    <w:rsid w:val="00CD137B"/>
    <w:pPr>
      <w:tabs>
        <w:tab w:val="center" w:pos="4680"/>
        <w:tab w:val="right" w:pos="9360"/>
      </w:tabs>
    </w:pPr>
  </w:style>
  <w:style w:type="character" w:customStyle="1" w:styleId="FooterChar">
    <w:name w:val="Footer Char"/>
    <w:basedOn w:val="DefaultParagraphFont"/>
    <w:link w:val="Footer"/>
    <w:uiPriority w:val="99"/>
    <w:rsid w:val="00CD137B"/>
  </w:style>
  <w:style w:type="character" w:styleId="FollowedHyperlink">
    <w:name w:val="FollowedHyperlink"/>
    <w:basedOn w:val="DefaultParagraphFont"/>
    <w:uiPriority w:val="99"/>
    <w:semiHidden/>
    <w:unhideWhenUsed/>
    <w:rsid w:val="00763D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dc.gov/legionella/about/history.html" TargetMode="External"/><Relationship Id="rId1" Type="http://schemas.openxmlformats.org/officeDocument/2006/relationships/hyperlink" Target="https://www.cdc.gov/legionella/about/hist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AAAB6-12AF-455A-BC4D-0AD482EFA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31</cp:revision>
  <dcterms:created xsi:type="dcterms:W3CDTF">2020-08-17T18:32:00Z</dcterms:created>
  <dcterms:modified xsi:type="dcterms:W3CDTF">2020-08-17T20:40:00Z</dcterms:modified>
</cp:coreProperties>
</file>