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C3D32B" w14:textId="041DAFA6" w:rsidR="004668BF" w:rsidRDefault="009F5579" w:rsidP="00027A25">
      <w:pPr>
        <w:spacing w:after="120"/>
        <w:jc w:val="center"/>
        <w:rPr>
          <w:rFonts w:ascii="Arial" w:hAnsi="Arial" w:cs="Arial"/>
          <w:b/>
          <w:bCs/>
          <w:sz w:val="24"/>
          <w:szCs w:val="24"/>
        </w:rPr>
      </w:pPr>
      <w:r>
        <w:rPr>
          <w:rFonts w:ascii="Arial" w:hAnsi="Arial" w:cs="Arial"/>
          <w:b/>
          <w:bCs/>
          <w:sz w:val="24"/>
          <w:szCs w:val="24"/>
        </w:rPr>
        <w:t>Chapter 3</w:t>
      </w:r>
    </w:p>
    <w:p w14:paraId="01E81327" w14:textId="37B696DC" w:rsidR="009F5579" w:rsidRPr="00104014" w:rsidRDefault="00027A25" w:rsidP="004668BF">
      <w:pPr>
        <w:jc w:val="center"/>
        <w:rPr>
          <w:rFonts w:ascii="Arial" w:hAnsi="Arial" w:cs="Arial"/>
          <w:b/>
          <w:bCs/>
          <w:sz w:val="24"/>
          <w:szCs w:val="24"/>
        </w:rPr>
      </w:pPr>
      <w:r w:rsidRPr="00027A25">
        <w:rPr>
          <w:rFonts w:ascii="Arial" w:hAnsi="Arial" w:cs="Arial"/>
          <w:b/>
          <w:bCs/>
          <w:sz w:val="24"/>
          <w:szCs w:val="24"/>
        </w:rPr>
        <w:t>Access to Information and Confidentiality</w:t>
      </w:r>
    </w:p>
    <w:p w14:paraId="0888C6B5" w14:textId="77777777" w:rsidR="004668BF" w:rsidRDefault="004668BF" w:rsidP="004668BF"/>
    <w:p w14:paraId="672E375F" w14:textId="5482C134" w:rsidR="004668BF" w:rsidRPr="00201090" w:rsidRDefault="004668BF" w:rsidP="004668BF">
      <w:pPr>
        <w:spacing w:line="360" w:lineRule="auto"/>
        <w:rPr>
          <w:rFonts w:asciiTheme="majorHAnsi" w:hAnsiTheme="majorHAnsi" w:cstheme="majorHAnsi"/>
          <w:b/>
          <w:bCs/>
          <w:sz w:val="24"/>
          <w:szCs w:val="24"/>
        </w:rPr>
      </w:pPr>
    </w:p>
    <w:p w14:paraId="6C1517CB" w14:textId="004F8D77" w:rsidR="002E08D4" w:rsidRDefault="004668BF" w:rsidP="002736A3">
      <w:pPr>
        <w:spacing w:after="120" w:line="360" w:lineRule="auto"/>
        <w:rPr>
          <w:rFonts w:asciiTheme="majorHAnsi" w:hAnsiTheme="majorHAnsi" w:cstheme="majorHAnsi"/>
        </w:rPr>
      </w:pPr>
      <w:r>
        <w:rPr>
          <w:rFonts w:asciiTheme="majorHAnsi" w:hAnsiTheme="majorHAnsi" w:cstheme="majorHAnsi"/>
        </w:rPr>
        <w:t>Public health officials understand that the need to inform other agencies, individuals, and the public about an LD outbreak must be balanced with the privacy rights of the people and locations involved. Public health officials also need access to confidential information as part of their investigation into a suspected or confirmed LD case or outbreak. The dual issues of access to information and confidentiality are governed by federal and applicable STLT laws and court decisions interpreting them. But where there are uncertainties in these laws—or they are silent on an issue—public health officials must make a defensible decision that either strikes a balance between information and confidentiality or why one takes precedence over the other.</w:t>
      </w:r>
      <w:r w:rsidR="002E08D4">
        <w:rPr>
          <w:rFonts w:asciiTheme="majorHAnsi" w:hAnsiTheme="majorHAnsi" w:cstheme="majorHAnsi"/>
        </w:rPr>
        <w:t xml:space="preserve"> This chapter addresses the following topics:</w:t>
      </w:r>
    </w:p>
    <w:p w14:paraId="730F146C" w14:textId="10C32501" w:rsidR="004668BF" w:rsidRDefault="001A778B" w:rsidP="002736A3">
      <w:pPr>
        <w:pStyle w:val="ListParagraph"/>
        <w:numPr>
          <w:ilvl w:val="0"/>
          <w:numId w:val="9"/>
        </w:numPr>
        <w:spacing w:after="120" w:line="360" w:lineRule="auto"/>
        <w:contextualSpacing w:val="0"/>
        <w:rPr>
          <w:rFonts w:asciiTheme="majorHAnsi" w:hAnsiTheme="majorHAnsi" w:cstheme="majorHAnsi"/>
        </w:rPr>
      </w:pPr>
      <w:r w:rsidRPr="001A778B">
        <w:rPr>
          <w:rFonts w:asciiTheme="majorHAnsi" w:hAnsiTheme="majorHAnsi" w:cstheme="majorHAnsi"/>
        </w:rPr>
        <w:t xml:space="preserve">Freedom of </w:t>
      </w:r>
      <w:r>
        <w:rPr>
          <w:rFonts w:asciiTheme="majorHAnsi" w:hAnsiTheme="majorHAnsi" w:cstheme="majorHAnsi"/>
        </w:rPr>
        <w:t>i</w:t>
      </w:r>
      <w:r w:rsidRPr="001A778B">
        <w:rPr>
          <w:rFonts w:asciiTheme="majorHAnsi" w:hAnsiTheme="majorHAnsi" w:cstheme="majorHAnsi"/>
        </w:rPr>
        <w:t>nformation</w:t>
      </w:r>
      <w:r w:rsidR="003478DC">
        <w:rPr>
          <w:rFonts w:asciiTheme="majorHAnsi" w:hAnsiTheme="majorHAnsi" w:cstheme="majorHAnsi"/>
        </w:rPr>
        <w:t xml:space="preserve"> </w:t>
      </w:r>
      <w:r w:rsidR="008F73C5">
        <w:rPr>
          <w:rFonts w:asciiTheme="majorHAnsi" w:hAnsiTheme="majorHAnsi" w:cstheme="majorHAnsi"/>
        </w:rPr>
        <w:t>laws a</w:t>
      </w:r>
      <w:r w:rsidR="00C10BA9">
        <w:rPr>
          <w:rFonts w:asciiTheme="majorHAnsi" w:hAnsiTheme="majorHAnsi" w:cstheme="majorHAnsi"/>
        </w:rPr>
        <w:t xml:space="preserve">nd </w:t>
      </w:r>
      <w:r w:rsidR="008F73C5">
        <w:rPr>
          <w:rFonts w:asciiTheme="majorHAnsi" w:hAnsiTheme="majorHAnsi" w:cstheme="majorHAnsi"/>
        </w:rPr>
        <w:t xml:space="preserve">instances in which </w:t>
      </w:r>
      <w:r w:rsidR="003478DC">
        <w:rPr>
          <w:rFonts w:asciiTheme="majorHAnsi" w:hAnsiTheme="majorHAnsi" w:cstheme="majorHAnsi"/>
        </w:rPr>
        <w:t>information is protected from disclosure</w:t>
      </w:r>
    </w:p>
    <w:p w14:paraId="71E699CE" w14:textId="6A649D4E" w:rsidR="003478DC" w:rsidRDefault="003478DC" w:rsidP="002736A3">
      <w:pPr>
        <w:pStyle w:val="ListParagraph"/>
        <w:numPr>
          <w:ilvl w:val="0"/>
          <w:numId w:val="9"/>
        </w:numPr>
        <w:spacing w:after="120" w:line="360" w:lineRule="auto"/>
        <w:contextualSpacing w:val="0"/>
        <w:rPr>
          <w:rFonts w:asciiTheme="majorHAnsi" w:hAnsiTheme="majorHAnsi" w:cstheme="majorHAnsi"/>
        </w:rPr>
      </w:pPr>
      <w:r>
        <w:rPr>
          <w:rFonts w:asciiTheme="majorHAnsi" w:hAnsiTheme="majorHAnsi" w:cstheme="majorHAnsi"/>
        </w:rPr>
        <w:t>Circumstances u</w:t>
      </w:r>
      <w:r w:rsidR="00E249DC">
        <w:rPr>
          <w:rFonts w:asciiTheme="majorHAnsi" w:hAnsiTheme="majorHAnsi" w:cstheme="majorHAnsi"/>
        </w:rPr>
        <w:t>nder which information disclosure is permitted under freedom of information laws</w:t>
      </w:r>
    </w:p>
    <w:p w14:paraId="7ECF5744" w14:textId="2666346F" w:rsidR="00107B80" w:rsidRDefault="000A0754" w:rsidP="002736A3">
      <w:pPr>
        <w:pStyle w:val="ListParagraph"/>
        <w:numPr>
          <w:ilvl w:val="0"/>
          <w:numId w:val="9"/>
        </w:numPr>
        <w:spacing w:after="120" w:line="360" w:lineRule="auto"/>
        <w:contextualSpacing w:val="0"/>
        <w:rPr>
          <w:rFonts w:asciiTheme="majorHAnsi" w:hAnsiTheme="majorHAnsi" w:cstheme="majorHAnsi"/>
        </w:rPr>
      </w:pPr>
      <w:r>
        <w:rPr>
          <w:rFonts w:asciiTheme="majorHAnsi" w:hAnsiTheme="majorHAnsi" w:cstheme="majorHAnsi"/>
        </w:rPr>
        <w:t>Select federal and state c</w:t>
      </w:r>
      <w:r w:rsidR="00D34D7A">
        <w:rPr>
          <w:rFonts w:asciiTheme="majorHAnsi" w:hAnsiTheme="majorHAnsi" w:cstheme="majorHAnsi"/>
        </w:rPr>
        <w:t>onfidentiality laws</w:t>
      </w:r>
    </w:p>
    <w:p w14:paraId="2C6BC588" w14:textId="49216E8F" w:rsidR="00D34D7A" w:rsidRPr="001A778B" w:rsidRDefault="002736A3" w:rsidP="001A778B">
      <w:pPr>
        <w:pStyle w:val="ListParagraph"/>
        <w:numPr>
          <w:ilvl w:val="0"/>
          <w:numId w:val="9"/>
        </w:numPr>
        <w:spacing w:line="360" w:lineRule="auto"/>
        <w:rPr>
          <w:rFonts w:asciiTheme="majorHAnsi" w:hAnsiTheme="majorHAnsi" w:cstheme="majorHAnsi"/>
        </w:rPr>
      </w:pPr>
      <w:r>
        <w:rPr>
          <w:rFonts w:asciiTheme="majorHAnsi" w:hAnsiTheme="majorHAnsi" w:cstheme="majorHAnsi"/>
        </w:rPr>
        <w:t>Balancing information disclosure with privacy</w:t>
      </w:r>
    </w:p>
    <w:p w14:paraId="3467D2AD" w14:textId="1EA291A7" w:rsidR="004668BF" w:rsidRDefault="004668BF" w:rsidP="004668BF">
      <w:pPr>
        <w:spacing w:line="360" w:lineRule="auto"/>
        <w:rPr>
          <w:rFonts w:ascii="Calibri" w:eastAsia="Calibri" w:hAnsi="Calibri" w:cs="Times New Roman"/>
        </w:rPr>
      </w:pPr>
    </w:p>
    <w:p w14:paraId="55444EE5" w14:textId="20941C40" w:rsidR="009C0FBA" w:rsidRPr="009C0FBA" w:rsidRDefault="009C0FBA" w:rsidP="009C0FBA">
      <w:pPr>
        <w:spacing w:after="120" w:line="360" w:lineRule="auto"/>
        <w:rPr>
          <w:rFonts w:ascii="Arial" w:eastAsia="Times New Roman" w:hAnsi="Arial" w:cs="Arial"/>
          <w:b/>
          <w:bCs/>
        </w:rPr>
      </w:pPr>
      <w:r w:rsidRPr="009C0FBA">
        <w:rPr>
          <w:rFonts w:ascii="Arial" w:eastAsia="Calibri" w:hAnsi="Arial" w:cs="Arial"/>
          <w:b/>
          <w:bCs/>
        </w:rPr>
        <w:t>Accessing and Sharing Information</w:t>
      </w:r>
    </w:p>
    <w:p w14:paraId="330C832A" w14:textId="7029A0FB" w:rsidR="004668BF" w:rsidRPr="00BA55BB" w:rsidRDefault="000021AF" w:rsidP="0038418E">
      <w:pPr>
        <w:spacing w:line="360" w:lineRule="auto"/>
        <w:rPr>
          <w:rFonts w:ascii="Calibri Light" w:eastAsia="Times New Roman" w:hAnsi="Calibri Light" w:cs="Calibri Light"/>
        </w:rPr>
      </w:pPr>
      <w:r w:rsidRPr="004A2552">
        <w:rPr>
          <w:rFonts w:asciiTheme="majorHAnsi" w:hAnsiTheme="majorHAnsi" w:cstheme="majorHAnsi"/>
          <w:noProof/>
        </w:rPr>
        <mc:AlternateContent>
          <mc:Choice Requires="wps">
            <w:drawing>
              <wp:anchor distT="45720" distB="45720" distL="114300" distR="114300" simplePos="0" relativeHeight="251659264" behindDoc="0" locked="0" layoutInCell="1" allowOverlap="1" wp14:anchorId="103CC4B5" wp14:editId="419CE447">
                <wp:simplePos x="0" y="0"/>
                <wp:positionH relativeFrom="margin">
                  <wp:align>right</wp:align>
                </wp:positionH>
                <wp:positionV relativeFrom="paragraph">
                  <wp:posOffset>1596390</wp:posOffset>
                </wp:positionV>
                <wp:extent cx="2889504" cy="1353312"/>
                <wp:effectExtent l="0" t="0" r="2540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504" cy="1353312"/>
                        </a:xfrm>
                        <a:prstGeom prst="rect">
                          <a:avLst/>
                        </a:prstGeom>
                        <a:solidFill>
                          <a:srgbClr val="FFFFFF"/>
                        </a:solidFill>
                        <a:ln w="9525">
                          <a:solidFill>
                            <a:srgbClr val="000000"/>
                          </a:solidFill>
                          <a:miter lim="800000"/>
                          <a:headEnd/>
                          <a:tailEnd/>
                        </a:ln>
                      </wps:spPr>
                      <wps:txbx>
                        <w:txbxContent>
                          <w:p w14:paraId="344CEEAD" w14:textId="0C6D509D" w:rsidR="004A2552" w:rsidRPr="005A3218" w:rsidRDefault="004A2552" w:rsidP="004A2552">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w:t>
                            </w:r>
                            <w:r w:rsidR="005A3218" w:rsidRPr="005A3218">
                              <w:rPr>
                                <w:rFonts w:ascii="Arial" w:hAnsi="Arial" w:cs="Arial"/>
                                <w:sz w:val="18"/>
                                <w:szCs w:val="18"/>
                              </w:rPr>
                              <w:t xml:space="preserve">ny </w:t>
                            </w:r>
                            <w:r w:rsidRPr="005A3218">
                              <w:rPr>
                                <w:rFonts w:ascii="Arial" w:hAnsi="Arial" w:cs="Arial"/>
                                <w:sz w:val="18"/>
                                <w:szCs w:val="18"/>
                              </w:rPr>
                              <w:t xml:space="preserve">legal analysis of a specific case or outbreak depends on the facts of that event and the laws of the jurisdiction in which it occurs. Public health department personnel should consult with their agency/government legal counsel if questions or uncertainties arise in a particular investigation. </w:t>
                            </w:r>
                            <w:r w:rsidRPr="005A3218">
                              <w:rPr>
                                <w:rFonts w:ascii="Arial" w:hAnsi="Arial" w:cs="Arial"/>
                                <w:b/>
                                <w:bCs/>
                                <w:i/>
                                <w:iCs/>
                                <w:sz w:val="18"/>
                                <w:szCs w:val="18"/>
                              </w:rPr>
                              <w:t>Information about laws and legal theories discussed in this section and the toolkit are for information only and are not legal advice.</w:t>
                            </w:r>
                          </w:p>
                          <w:p w14:paraId="2F9C4F91" w14:textId="1B98A47F" w:rsidR="004A2552" w:rsidRPr="004A2552" w:rsidRDefault="004A2552" w:rsidP="004A255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3CC4B5" id="_x0000_t202" coordsize="21600,21600" o:spt="202" path="m,l,21600r21600,l21600,xe">
                <v:stroke joinstyle="miter"/>
                <v:path gradientshapeok="t" o:connecttype="rect"/>
              </v:shapetype>
              <v:shape id="Text Box 2" o:spid="_x0000_s1026" type="#_x0000_t202" style="position:absolute;margin-left:176.3pt;margin-top:125.7pt;width:227.5pt;height:106.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yzZJQIAAEcEAAAOAAAAZHJzL2Uyb0RvYy54bWysU9tuGyEQfa/Uf0C813ux3dgrr6PUqatK&#10;6UVK+gGYZb2owFDA3k2/PgPruFbavlTlATHMcDhzZmZ1PWhFjsJ5CaamxSSnRBgOjTT7mn572L5Z&#10;UOIDMw1TYERNH4Wn1+vXr1a9rUQJHahGOIIgxle9rWkXgq2yzPNOaOYnYIVBZwtOs4Cm22eNYz2i&#10;a5WVef4268E11gEX3uPt7eik64TftoKHL23rRSCqpsgtpN2lfRf3bL1i1d4x20l+osH+gYVm0uCn&#10;Z6hbFhg5OPkblJbcgYc2TDjoDNpWcpFywGyK/EU29x2zIuWC4nh7lsn/P1j++fjVEdnUtCyuKDFM&#10;Y5EexBDIOxhIGfXpra8w7N5iYBjwGuuccvX2Dvh3TwxsOmb24sY56DvBGuRXxJfZxdMRx0eQXf8J&#10;GvyGHQIkoKF1OoqHchBExzo9nmsTqXC8LBeL5TyfUcLRV0zn02mR2GWsen5unQ8fBGgSDzV1WPwE&#10;z453PkQ6rHoOib95ULLZSqWS4fa7jXLkyLBRtmmlDF6EKUP6mi7n5XxU4K8QeVp/gtAyYMcrqWu6&#10;OAexKur23jSpHwOTajwjZWVOQkbtRhXDsBtOhdlB84iSOhg7GycRDx24n5T02NU19T8OzAlK1EeD&#10;ZVkWs1kcg2TM5lclGu7Ss7v0MMMRqqaBkvG4CWl0omAGbrB8rUzCxjqPTE5csVuT3qfJiuNwaaeo&#10;X/O/fgIAAP//AwBQSwMEFAAGAAgAAAAhAI8WxMnfAAAACAEAAA8AAABkcnMvZG93bnJldi54bWxM&#10;j0FPwzAMhe9I/IfISFzQlm60ZZSmE0ICsRtsCK5Z67UViVOSrCv/HnOCm+339Py9cj1ZI0b0oXek&#10;YDFPQCDVrumpVfC2e5ytQISoqdHGESr4xgDr6vys1EXjTvSK4za2gkMoFFpBF+NQSBnqDq0Oczcg&#10;sXZw3urIq29l4/WJw62RyyTJpdU98YdOD/jQYf25PVoFq/R5/Aib65f3Oj+Y23h1Mz59eaUuL6b7&#10;OxARp/hnhl98RoeKmfbuSE0QRgEXiQqW2SIFwXKaZXzZ85CnGciqlP8LVD8AAAD//wMAUEsBAi0A&#10;FAAGAAgAAAAhALaDOJL+AAAA4QEAABMAAAAAAAAAAAAAAAAAAAAAAFtDb250ZW50X1R5cGVzXS54&#10;bWxQSwECLQAUAAYACAAAACEAOP0h/9YAAACUAQAACwAAAAAAAAAAAAAAAAAvAQAAX3JlbHMvLnJl&#10;bHNQSwECLQAUAAYACAAAACEA9IMs2SUCAABHBAAADgAAAAAAAAAAAAAAAAAuAgAAZHJzL2Uyb0Rv&#10;Yy54bWxQSwECLQAUAAYACAAAACEAjxbEyd8AAAAIAQAADwAAAAAAAAAAAAAAAAB/BAAAZHJzL2Rv&#10;d25yZXYueG1sUEsFBgAAAAAEAAQA8wAAAIsFAAAAAA==&#10;">
                <v:textbox>
                  <w:txbxContent>
                    <w:p w14:paraId="344CEEAD" w14:textId="0C6D509D" w:rsidR="004A2552" w:rsidRPr="005A3218" w:rsidRDefault="004A2552" w:rsidP="004A2552">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w:t>
                      </w:r>
                      <w:r w:rsidR="005A3218" w:rsidRPr="005A3218">
                        <w:rPr>
                          <w:rFonts w:ascii="Arial" w:hAnsi="Arial" w:cs="Arial"/>
                          <w:sz w:val="18"/>
                          <w:szCs w:val="18"/>
                        </w:rPr>
                        <w:t xml:space="preserve">ny </w:t>
                      </w:r>
                      <w:r w:rsidRPr="005A3218">
                        <w:rPr>
                          <w:rFonts w:ascii="Arial" w:hAnsi="Arial" w:cs="Arial"/>
                          <w:sz w:val="18"/>
                          <w:szCs w:val="18"/>
                        </w:rPr>
                        <w:t xml:space="preserve">legal analysis of a specific case or outbreak depends on the facts of that event and the laws of the jurisdiction in which it occurs. Public health department personnel should consult with their agency/government legal counsel if questions or uncertainties arise in a particular investigation. </w:t>
                      </w:r>
                      <w:r w:rsidRPr="005A3218">
                        <w:rPr>
                          <w:rFonts w:ascii="Arial" w:hAnsi="Arial" w:cs="Arial"/>
                          <w:b/>
                          <w:bCs/>
                          <w:i/>
                          <w:iCs/>
                          <w:sz w:val="18"/>
                          <w:szCs w:val="18"/>
                        </w:rPr>
                        <w:t>Information about laws and legal theories discussed in this section and the toolkit are for information only and are not legal advice.</w:t>
                      </w:r>
                    </w:p>
                    <w:p w14:paraId="2F9C4F91" w14:textId="1B98A47F" w:rsidR="004A2552" w:rsidRPr="004A2552" w:rsidRDefault="004A2552" w:rsidP="004A2552">
                      <w:pPr>
                        <w:rPr>
                          <w:rFonts w:ascii="Arial" w:hAnsi="Arial" w:cs="Arial"/>
                          <w:sz w:val="20"/>
                          <w:szCs w:val="20"/>
                        </w:rPr>
                      </w:pPr>
                    </w:p>
                  </w:txbxContent>
                </v:textbox>
                <w10:wrap type="square" anchorx="margin"/>
              </v:shape>
            </w:pict>
          </mc:Fallback>
        </mc:AlternateContent>
      </w:r>
      <w:r w:rsidR="004668BF" w:rsidRPr="00BA55BB">
        <w:rPr>
          <w:rFonts w:ascii="Calibri Light" w:eastAsia="Times New Roman" w:hAnsi="Calibri Light" w:cs="Calibri Light"/>
        </w:rPr>
        <w:t xml:space="preserve">The </w:t>
      </w:r>
      <w:r w:rsidR="00BF7CEA">
        <w:rPr>
          <w:rFonts w:ascii="Calibri Light" w:eastAsia="Times New Roman" w:hAnsi="Calibri Light" w:cs="Calibri Light"/>
        </w:rPr>
        <w:t>previous chapter d</w:t>
      </w:r>
      <w:r w:rsidR="004668BF" w:rsidRPr="00BA55BB">
        <w:rPr>
          <w:rFonts w:ascii="Calibri Light" w:eastAsia="Times New Roman" w:hAnsi="Calibri Light" w:cs="Calibri Light"/>
        </w:rPr>
        <w:t xml:space="preserve">iscussed the legal authorities of public health officials to undertake key public health functions like conducting investigations, accessing records, and collecting samples. However, these legal authorities supporting public health infectious disease activities are not the only set of controlling laws health officials must comply with. Federal and state laws also dictate what types of information can be made public and what must be kept confidential. During a suspected or confirmed LD outbreak, public health officials must decide what information to share with the public and when to share it. This is particularly true if it is early in the investigation and the available information is incomplete or preliminary. Given that LD outbreaks can become high profile events, public health agencies typically face requests from media, the public, and affected individuals and businesses to answer questions and </w:t>
      </w:r>
      <w:r w:rsidR="004668BF" w:rsidRPr="00BA55BB">
        <w:rPr>
          <w:rFonts w:ascii="Calibri Light" w:eastAsia="Times New Roman" w:hAnsi="Calibri Light" w:cs="Calibri Light"/>
        </w:rPr>
        <w:lastRenderedPageBreak/>
        <w:t xml:space="preserve">release information as soon as possible. Individuals and organizations involved in an LD </w:t>
      </w:r>
      <w:r w:rsidR="00D25365">
        <w:rPr>
          <w:rFonts w:ascii="Calibri Light" w:eastAsia="Times New Roman" w:hAnsi="Calibri Light" w:cs="Calibri Light"/>
        </w:rPr>
        <w:t>outbreak</w:t>
      </w:r>
      <w:r w:rsidR="004668BF" w:rsidRPr="00BA55BB">
        <w:rPr>
          <w:rFonts w:ascii="Calibri Light" w:eastAsia="Times New Roman" w:hAnsi="Calibri Light" w:cs="Calibri Light"/>
        </w:rPr>
        <w:t xml:space="preserve">—or those possessing information relevant to an LD </w:t>
      </w:r>
      <w:r w:rsidR="00D25365">
        <w:rPr>
          <w:rFonts w:ascii="Calibri Light" w:eastAsia="Times New Roman" w:hAnsi="Calibri Light" w:cs="Calibri Light"/>
        </w:rPr>
        <w:t>outbreak</w:t>
      </w:r>
      <w:r w:rsidR="004668BF" w:rsidRPr="00BA55BB">
        <w:rPr>
          <w:rFonts w:ascii="Calibri Light" w:eastAsia="Times New Roman" w:hAnsi="Calibri Light" w:cs="Calibri Light"/>
        </w:rPr>
        <w:t>—may raise real or perceived concerns about beaching confidentiality by providing information to a health agency. Thus, public health officials must also be ready to address confidentiality considerations. This section provides an overview of freedom of information and similar laws, as well as laws relating to confidentiality.</w:t>
      </w:r>
    </w:p>
    <w:p w14:paraId="0147B264" w14:textId="77777777" w:rsidR="0038418E" w:rsidRDefault="0038418E" w:rsidP="0038418E">
      <w:pPr>
        <w:spacing w:line="360" w:lineRule="auto"/>
        <w:rPr>
          <w:rFonts w:ascii="Arial" w:eastAsia="Calibri" w:hAnsi="Arial" w:cs="Arial"/>
          <w:b/>
          <w:bCs/>
        </w:rPr>
      </w:pPr>
    </w:p>
    <w:p w14:paraId="52E54C9B" w14:textId="7653A0AB" w:rsidR="004668BF" w:rsidRPr="00746BFA" w:rsidRDefault="004668BF" w:rsidP="00A531E2">
      <w:pPr>
        <w:spacing w:after="120" w:line="360" w:lineRule="auto"/>
        <w:rPr>
          <w:rFonts w:ascii="Arial" w:eastAsia="Times New Roman" w:hAnsi="Arial" w:cs="Arial"/>
          <w:b/>
          <w:bCs/>
        </w:rPr>
      </w:pPr>
      <w:r w:rsidRPr="00746BFA">
        <w:rPr>
          <w:rFonts w:ascii="Arial" w:eastAsia="Calibri" w:hAnsi="Arial" w:cs="Arial"/>
          <w:b/>
          <w:bCs/>
        </w:rPr>
        <w:t>Freedom of Information/Open Records Requirements</w:t>
      </w:r>
    </w:p>
    <w:p w14:paraId="41B8A5F6" w14:textId="06EC44AE" w:rsidR="004668BF" w:rsidRPr="00BA55BB" w:rsidRDefault="004668BF" w:rsidP="004668BF">
      <w:pPr>
        <w:spacing w:line="360" w:lineRule="auto"/>
        <w:rPr>
          <w:rFonts w:ascii="Calibri Light" w:eastAsia="Times New Roman" w:hAnsi="Calibri Light" w:cs="Calibri Light"/>
        </w:rPr>
      </w:pPr>
      <w:r w:rsidRPr="00BA55BB">
        <w:rPr>
          <w:rFonts w:ascii="Calibri Light" w:eastAsia="Times New Roman" w:hAnsi="Calibri Light" w:cs="Calibri Light"/>
        </w:rPr>
        <w:t>Each state has its own freedom of information (FOI) and/or open records laws that govern the kinds of information held by a governmental agency</w:t>
      </w:r>
      <w:r w:rsidR="00DD2B6F">
        <w:rPr>
          <w:rFonts w:ascii="Calibri Light" w:eastAsia="Times New Roman" w:hAnsi="Calibri Light" w:cs="Calibri Light"/>
        </w:rPr>
        <w:t xml:space="preserve"> that</w:t>
      </w:r>
      <w:r w:rsidR="00DC57B0">
        <w:rPr>
          <w:rFonts w:ascii="Calibri Light" w:eastAsia="Times New Roman" w:hAnsi="Calibri Light" w:cs="Calibri Light"/>
        </w:rPr>
        <w:t xml:space="preserve"> officials are</w:t>
      </w:r>
      <w:r w:rsidRPr="00BA55BB">
        <w:rPr>
          <w:rFonts w:ascii="Calibri Light" w:eastAsia="Times New Roman" w:hAnsi="Calibri Light" w:cs="Calibri Light"/>
        </w:rPr>
        <w:t xml:space="preserve"> allowed to release or required to release upon a request from the public.</w:t>
      </w:r>
      <w:r w:rsidRPr="00BA55BB">
        <w:rPr>
          <w:rFonts w:ascii="Calibri Light" w:eastAsia="Times New Roman" w:hAnsi="Calibri Light" w:cs="Calibri Light"/>
          <w:vertAlign w:val="superscript"/>
        </w:rPr>
        <w:t xml:space="preserve"> </w:t>
      </w:r>
      <w:r w:rsidRPr="00BA55BB">
        <w:rPr>
          <w:rFonts w:ascii="Calibri Light" w:eastAsia="Times New Roman" w:hAnsi="Calibri Light" w:cs="Calibri Light"/>
          <w:vertAlign w:val="superscript"/>
        </w:rPr>
        <w:footnoteReference w:id="1"/>
      </w:r>
      <w:r w:rsidRPr="00BA55BB">
        <w:rPr>
          <w:rFonts w:ascii="Calibri Light" w:eastAsia="Times New Roman" w:hAnsi="Calibri Light" w:cs="Calibri Light"/>
        </w:rPr>
        <w:t xml:space="preserve"> The federal Freedom of Information Act (FOIA)</w:t>
      </w:r>
      <w:r w:rsidRPr="00BA55BB">
        <w:rPr>
          <w:rFonts w:ascii="Calibri Light" w:eastAsia="Times New Roman" w:hAnsi="Calibri Light" w:cs="Calibri Light"/>
          <w:vertAlign w:val="superscript"/>
        </w:rPr>
        <w:footnoteReference w:id="2"/>
      </w:r>
      <w:r w:rsidRPr="00BA55BB">
        <w:rPr>
          <w:rFonts w:ascii="Calibri Light" w:eastAsia="Times New Roman" w:hAnsi="Calibri Light" w:cs="Calibri Light"/>
        </w:rPr>
        <w:t xml:space="preserve"> governs the release of information by federal agencies.</w:t>
      </w:r>
      <w:r w:rsidRPr="00BA55BB">
        <w:rPr>
          <w:rFonts w:ascii="Calibri Light" w:eastAsia="Times New Roman" w:hAnsi="Calibri Light" w:cs="Calibri Light"/>
          <w:vertAlign w:val="superscript"/>
        </w:rPr>
        <w:footnoteReference w:id="3"/>
      </w:r>
      <w:r w:rsidRPr="00BA55BB">
        <w:rPr>
          <w:rFonts w:ascii="Calibri Light" w:eastAsia="Times New Roman" w:hAnsi="Calibri Light" w:cs="Calibri Light"/>
        </w:rPr>
        <w:t xml:space="preserve"> While the states are not bound by FOIA, the federal law’s scope, exceptions, and administrative and judicial interpretations of its parameters have informed states’ laws or are explicitly referenced in some states’ laws.</w:t>
      </w:r>
      <w:r w:rsidRPr="00BA55BB">
        <w:rPr>
          <w:rFonts w:ascii="Calibri Light" w:eastAsia="Times New Roman" w:hAnsi="Calibri Light" w:cs="Calibri Light"/>
          <w:vertAlign w:val="superscript"/>
        </w:rPr>
        <w:footnoteReference w:id="4"/>
      </w:r>
      <w:r w:rsidRPr="00BA55BB">
        <w:rPr>
          <w:rFonts w:ascii="Calibri Light" w:eastAsia="Times New Roman" w:hAnsi="Calibri Light" w:cs="Calibri Light"/>
        </w:rPr>
        <w:t xml:space="preserve"> FOI/open records laws require public agencies to release the information requested unless the information falls into a specific exception stated in the law or in another statute (e.g., regulation of health providers/facilities, hotels, pools, etc.). Generally, if an exception applies, the agency must identify the exception supporting the redaction of specific information or in denying a request for documents outright. </w:t>
      </w:r>
    </w:p>
    <w:p w14:paraId="63C39C11" w14:textId="77777777" w:rsidR="004668BF" w:rsidRPr="00BA55BB" w:rsidRDefault="004668BF" w:rsidP="004668BF">
      <w:pPr>
        <w:spacing w:line="360" w:lineRule="auto"/>
        <w:rPr>
          <w:rFonts w:ascii="Calibri Light" w:eastAsia="Times New Roman" w:hAnsi="Calibri Light" w:cs="Calibri Light"/>
        </w:rPr>
      </w:pPr>
    </w:p>
    <w:p w14:paraId="62471FE0" w14:textId="77777777" w:rsidR="004668BF" w:rsidRPr="00746BFA" w:rsidRDefault="004668BF" w:rsidP="004668BF">
      <w:pPr>
        <w:spacing w:after="120" w:line="360" w:lineRule="auto"/>
        <w:rPr>
          <w:rFonts w:ascii="Calibri Light" w:eastAsia="Times New Roman" w:hAnsi="Calibri Light" w:cs="Calibri Light"/>
          <w:b/>
          <w:bCs/>
        </w:rPr>
      </w:pPr>
      <w:r w:rsidRPr="00746BFA">
        <w:rPr>
          <w:rFonts w:ascii="Calibri Light" w:eastAsia="Times New Roman" w:hAnsi="Calibri Light" w:cs="Calibri Light"/>
          <w:b/>
          <w:bCs/>
        </w:rPr>
        <w:t>Exceptions to FOI/Open Records Requirements</w:t>
      </w:r>
    </w:p>
    <w:p w14:paraId="5D9EBD33" w14:textId="0F66CA84" w:rsidR="004668BF" w:rsidRPr="00BA55BB" w:rsidRDefault="004668BF" w:rsidP="004668BF">
      <w:pPr>
        <w:spacing w:after="120" w:line="360" w:lineRule="auto"/>
        <w:rPr>
          <w:rFonts w:ascii="Calibri Light" w:eastAsia="Times New Roman" w:hAnsi="Calibri Light" w:cs="Calibri Light"/>
        </w:rPr>
      </w:pPr>
      <w:r w:rsidRPr="00BA55BB">
        <w:rPr>
          <w:rFonts w:ascii="Calibri Light" w:eastAsia="Times New Roman" w:hAnsi="Calibri Light" w:cs="Calibri Light"/>
        </w:rPr>
        <w:t>The FOI/open records exceptions most relevant to public health agencies fall into several categories. (</w:t>
      </w:r>
      <w:r w:rsidRPr="00BA55BB">
        <w:rPr>
          <w:rFonts w:ascii="Calibri Light" w:eastAsia="Times New Roman" w:hAnsi="Calibri Light" w:cs="Calibri Light"/>
          <w:b/>
          <w:bCs/>
        </w:rPr>
        <w:t xml:space="preserve">Note that each jurisdictions’ exceptions will vary and may be different than described here. Check with agency legal counsel in </w:t>
      </w:r>
      <w:r w:rsidR="00840509">
        <w:rPr>
          <w:rFonts w:ascii="Calibri Light" w:eastAsia="Times New Roman" w:hAnsi="Calibri Light" w:cs="Calibri Light"/>
          <w:b/>
          <w:bCs/>
        </w:rPr>
        <w:t>the</w:t>
      </w:r>
      <w:r w:rsidRPr="00BA55BB">
        <w:rPr>
          <w:rFonts w:ascii="Calibri Light" w:eastAsia="Times New Roman" w:hAnsi="Calibri Light" w:cs="Calibri Light"/>
          <w:b/>
          <w:bCs/>
        </w:rPr>
        <w:t xml:space="preserve"> jurisdiction.</w:t>
      </w:r>
      <w:r w:rsidRPr="00BA55BB">
        <w:rPr>
          <w:rFonts w:ascii="Calibri Light" w:eastAsia="Times New Roman" w:hAnsi="Calibri Light" w:cs="Calibri Light"/>
        </w:rPr>
        <w:t xml:space="preserve"> Also note that there are multiple exceptions to state FOI/open records law in addition to those identified below.) Ultimately, the exceptions allowed and the extent to </w:t>
      </w:r>
      <w:r w:rsidRPr="00BA55BB">
        <w:rPr>
          <w:rFonts w:ascii="Calibri Light" w:eastAsia="Times New Roman" w:hAnsi="Calibri Light" w:cs="Calibri Light"/>
        </w:rPr>
        <w:lastRenderedPageBreak/>
        <w:t xml:space="preserve">which disclosure is limited in a specific jurisdiction depends on its laws and any court decision interpreting the jurisdiction’s laws. </w:t>
      </w:r>
    </w:p>
    <w:p w14:paraId="2DCD2BCA" w14:textId="23287FE0" w:rsidR="004668BF" w:rsidRPr="00BA55BB" w:rsidRDefault="004668BF" w:rsidP="00A531E2">
      <w:pPr>
        <w:numPr>
          <w:ilvl w:val="0"/>
          <w:numId w:val="2"/>
        </w:numPr>
        <w:spacing w:after="120" w:line="360" w:lineRule="auto"/>
        <w:rPr>
          <w:rFonts w:ascii="Calibri Light" w:eastAsia="Times New Roman" w:hAnsi="Calibri Light" w:cs="Calibri Light"/>
        </w:rPr>
      </w:pPr>
      <w:r w:rsidRPr="00BA55BB">
        <w:rPr>
          <w:rFonts w:ascii="Calibri Light" w:eastAsia="Times New Roman" w:hAnsi="Calibri Light" w:cs="Calibri Light"/>
          <w:b/>
          <w:bCs/>
        </w:rPr>
        <w:t>Personally identifying information—</w:t>
      </w:r>
      <w:r w:rsidRPr="00BA55BB">
        <w:rPr>
          <w:rFonts w:ascii="Calibri Light" w:eastAsia="Times New Roman" w:hAnsi="Calibri Light" w:cs="Calibri Light"/>
        </w:rPr>
        <w:t>Outside of medical and other specific contexts defined by state statute (e.g. education records, human services, public safety), records that contain personally identifiable information (PII) may or may not be</w:t>
      </w:r>
      <w:r w:rsidRPr="00BA55BB">
        <w:rPr>
          <w:rFonts w:ascii="Calibri Light" w:eastAsia="Times New Roman" w:hAnsi="Calibri Light" w:cs="Calibri Light"/>
          <w:b/>
          <w:bCs/>
        </w:rPr>
        <w:t xml:space="preserve"> </w:t>
      </w:r>
      <w:r w:rsidRPr="00BA55BB">
        <w:rPr>
          <w:rFonts w:ascii="Calibri Light" w:eastAsia="Times New Roman" w:hAnsi="Calibri Light" w:cs="Calibri Light"/>
        </w:rPr>
        <w:t>considered confidential information either within FOI/open records laws or in another statute.</w:t>
      </w:r>
      <w:r w:rsidRPr="00BA55BB">
        <w:rPr>
          <w:rFonts w:ascii="Calibri Light" w:eastAsia="Times New Roman" w:hAnsi="Calibri Light" w:cs="Calibri Light"/>
          <w:vertAlign w:val="superscript"/>
        </w:rPr>
        <w:t xml:space="preserve"> </w:t>
      </w:r>
      <w:r w:rsidRPr="00BA55BB">
        <w:rPr>
          <w:rFonts w:ascii="Calibri Light" w:eastAsia="Times New Roman" w:hAnsi="Calibri Light" w:cs="Calibri Light"/>
          <w:vertAlign w:val="superscript"/>
        </w:rPr>
        <w:footnoteReference w:id="5"/>
      </w:r>
      <w:r w:rsidRPr="00BA55BB">
        <w:rPr>
          <w:rFonts w:ascii="Calibri Light" w:eastAsia="Times New Roman" w:hAnsi="Calibri Light" w:cs="Calibri Light"/>
        </w:rPr>
        <w:t xml:space="preserve"> If disclosure is not expressly prohibited in these laws, then it may be possible to release PII unless the information is of such a private nature that an individual’s privacy interest outweighs the public</w:t>
      </w:r>
      <w:r w:rsidR="00BA3550">
        <w:rPr>
          <w:rFonts w:ascii="Calibri Light" w:eastAsia="Times New Roman" w:hAnsi="Calibri Light" w:cs="Calibri Light"/>
        </w:rPr>
        <w:t>’s</w:t>
      </w:r>
      <w:r w:rsidRPr="00BA55BB">
        <w:rPr>
          <w:rFonts w:ascii="Calibri Light" w:eastAsia="Times New Roman" w:hAnsi="Calibri Light" w:cs="Calibri Light"/>
        </w:rPr>
        <w:t xml:space="preserve"> right to know. The exception for PII is generally limited to people and does not apply to corporations or organizations</w:t>
      </w:r>
      <w:r w:rsidRPr="00BA55BB">
        <w:rPr>
          <w:rFonts w:ascii="Calibri Light" w:eastAsia="Times New Roman" w:hAnsi="Calibri Light" w:cs="Calibri Light"/>
          <w:vertAlign w:val="superscript"/>
        </w:rPr>
        <w:footnoteReference w:id="6"/>
      </w:r>
      <w:r w:rsidRPr="00BA55BB">
        <w:rPr>
          <w:rFonts w:ascii="Calibri Light" w:eastAsia="Times New Roman" w:hAnsi="Calibri Light" w:cs="Calibri Light"/>
        </w:rPr>
        <w:t xml:space="preserve">, but this may vary in a specific jurisdiction. </w:t>
      </w:r>
    </w:p>
    <w:p w14:paraId="3315AB31" w14:textId="77777777" w:rsidR="004668BF" w:rsidRPr="00BA55BB" w:rsidRDefault="004668BF" w:rsidP="00A531E2">
      <w:pPr>
        <w:numPr>
          <w:ilvl w:val="0"/>
          <w:numId w:val="2"/>
        </w:numPr>
        <w:spacing w:after="120" w:line="360" w:lineRule="auto"/>
        <w:rPr>
          <w:rFonts w:ascii="Calibri Light" w:eastAsia="Times New Roman" w:hAnsi="Calibri Light" w:cs="Calibri Light"/>
        </w:rPr>
      </w:pPr>
      <w:r w:rsidRPr="00BA55BB">
        <w:rPr>
          <w:rFonts w:ascii="Calibri Light" w:eastAsia="Times New Roman" w:hAnsi="Calibri Light" w:cs="Calibri Light"/>
          <w:b/>
          <w:bCs/>
        </w:rPr>
        <w:t>Medical records—</w:t>
      </w:r>
      <w:r w:rsidRPr="00BA55BB">
        <w:rPr>
          <w:rFonts w:ascii="Calibri Light" w:eastAsia="Times New Roman" w:hAnsi="Calibri Light" w:cs="Calibri Light"/>
        </w:rPr>
        <w:t>Patient medical records possessed by state or local health agencies, as well as records created or maintained by healthcare facilities or providers related to admission, treatment, payment information, and discharge are generally excluded from release.</w:t>
      </w:r>
      <w:r w:rsidRPr="00BA55BB">
        <w:rPr>
          <w:rFonts w:ascii="Calibri Light" w:eastAsia="Times New Roman" w:hAnsi="Calibri Light" w:cs="Calibri Light"/>
          <w:vertAlign w:val="superscript"/>
        </w:rPr>
        <w:t xml:space="preserve"> </w:t>
      </w:r>
      <w:r w:rsidRPr="00BA55BB">
        <w:rPr>
          <w:rFonts w:ascii="Calibri Light" w:eastAsia="Times New Roman" w:hAnsi="Calibri Light" w:cs="Calibri Light"/>
          <w:vertAlign w:val="superscript"/>
        </w:rPr>
        <w:footnoteReference w:id="7"/>
      </w:r>
      <w:r w:rsidRPr="00BA55BB">
        <w:rPr>
          <w:rFonts w:ascii="Calibri Light" w:eastAsia="Times New Roman" w:hAnsi="Calibri Light" w:cs="Calibri Light"/>
        </w:rPr>
        <w:t xml:space="preserve"> Medical records may be released if written consent is given by the patient or guardian. These records may also be released if identifying information can be redacted or for research purposes with identifying information removed. In redacting information, other PII contained in a record beyond name and address may also need to be removed if the remaining information can be used alone or in conjunction with other information to identify a person.</w:t>
      </w:r>
    </w:p>
    <w:p w14:paraId="6155433A" w14:textId="43AD5FCE" w:rsidR="004668BF" w:rsidRPr="00BA55BB" w:rsidRDefault="004668BF" w:rsidP="00A531E2">
      <w:pPr>
        <w:numPr>
          <w:ilvl w:val="0"/>
          <w:numId w:val="2"/>
        </w:numPr>
        <w:spacing w:after="120" w:line="360" w:lineRule="auto"/>
        <w:rPr>
          <w:rFonts w:ascii="Calibri Light" w:eastAsia="Times New Roman" w:hAnsi="Calibri Light" w:cs="Calibri Light"/>
        </w:rPr>
      </w:pPr>
      <w:r w:rsidRPr="00BA55BB">
        <w:rPr>
          <w:rFonts w:ascii="Calibri Light" w:eastAsia="Times New Roman" w:hAnsi="Calibri Light" w:cs="Calibri Light"/>
          <w:b/>
          <w:bCs/>
        </w:rPr>
        <w:t>Infectious disease and health epidemics—</w:t>
      </w:r>
      <w:r w:rsidRPr="00BA55BB">
        <w:rPr>
          <w:rFonts w:ascii="Calibri Light" w:eastAsia="Times New Roman" w:hAnsi="Calibri Light" w:cs="Calibri Light"/>
        </w:rPr>
        <w:t xml:space="preserve">FOI/open records statutes can exclude information from disclosure that could identify persons with specified infectious diseases (e.g., HIV, AIDS, tuberculosis) </w:t>
      </w:r>
      <w:r w:rsidRPr="00BA55BB">
        <w:rPr>
          <w:rFonts w:ascii="Calibri Light" w:eastAsia="Times New Roman" w:hAnsi="Calibri Light" w:cs="Calibri Light"/>
        </w:rPr>
        <w:lastRenderedPageBreak/>
        <w:t>and/or with infectious diseases generally.</w:t>
      </w:r>
      <w:r w:rsidRPr="00BA55BB">
        <w:rPr>
          <w:rFonts w:ascii="Calibri Light" w:eastAsia="Times New Roman" w:hAnsi="Calibri Light" w:cs="Calibri Light"/>
          <w:vertAlign w:val="superscript"/>
        </w:rPr>
        <w:footnoteReference w:id="8"/>
      </w:r>
      <w:r w:rsidRPr="00BA55BB">
        <w:rPr>
          <w:rFonts w:ascii="Calibri Light" w:eastAsia="Times New Roman" w:hAnsi="Calibri Light" w:cs="Calibri Light"/>
        </w:rPr>
        <w:t xml:space="preserve"> Some jurisdictions authorize health agencies to release specified information about a case or outbreak to inform the public about </w:t>
      </w:r>
      <w:r w:rsidR="00265019">
        <w:rPr>
          <w:rFonts w:ascii="Calibri Light" w:eastAsia="Times New Roman" w:hAnsi="Calibri Light" w:cs="Calibri Light"/>
        </w:rPr>
        <w:t>a</w:t>
      </w:r>
      <w:r w:rsidRPr="00BA55BB">
        <w:rPr>
          <w:rFonts w:ascii="Calibri Light" w:eastAsia="Times New Roman" w:hAnsi="Calibri Light" w:cs="Calibri Light"/>
        </w:rPr>
        <w:t xml:space="preserve"> risk to public health. However, many jurisdictions do not have a clear or comprehensive statutory framework that address public health disclosures and privacy considerations.</w:t>
      </w:r>
      <w:r w:rsidRPr="00BA55BB">
        <w:rPr>
          <w:rFonts w:ascii="Calibri Light" w:eastAsia="Times New Roman" w:hAnsi="Calibri Light" w:cs="Calibri Light"/>
          <w:vertAlign w:val="superscript"/>
        </w:rPr>
        <w:footnoteReference w:id="9"/>
      </w:r>
      <w:r w:rsidRPr="00BA55BB">
        <w:rPr>
          <w:rFonts w:ascii="Calibri Light" w:eastAsia="Times New Roman" w:hAnsi="Calibri Light" w:cs="Calibri Light"/>
        </w:rPr>
        <w:t xml:space="preserve">  </w:t>
      </w:r>
    </w:p>
    <w:p w14:paraId="1F00EC67" w14:textId="77777777" w:rsidR="004668BF" w:rsidRPr="00BA55BB" w:rsidRDefault="004668BF" w:rsidP="00A531E2">
      <w:pPr>
        <w:numPr>
          <w:ilvl w:val="0"/>
          <w:numId w:val="2"/>
        </w:numPr>
        <w:spacing w:after="120" w:line="360" w:lineRule="auto"/>
        <w:rPr>
          <w:rFonts w:ascii="Calibri Light" w:eastAsia="Times New Roman" w:hAnsi="Calibri Light" w:cs="Calibri Light"/>
        </w:rPr>
      </w:pPr>
      <w:r w:rsidRPr="00BA55BB">
        <w:rPr>
          <w:rFonts w:ascii="Calibri Light" w:eastAsia="Times New Roman" w:hAnsi="Calibri Light" w:cs="Calibri Light"/>
          <w:b/>
          <w:bCs/>
        </w:rPr>
        <w:t>Trade secrets or confidential business and financial information—</w:t>
      </w:r>
      <w:r w:rsidRPr="00BA55BB">
        <w:rPr>
          <w:rFonts w:ascii="Calibri Light" w:eastAsia="Times New Roman" w:hAnsi="Calibri Light" w:cs="Calibri Light"/>
        </w:rPr>
        <w:t>These types of records from private businesses are generally exempt from disclosure unless they have been submitted to a public agency and become part of the public record of the agency. However, there can be multiple exceptions to disclosure, such as bids on public contracts or information submitted by a business to an agency for the purpose of regulatory oversight.</w:t>
      </w:r>
      <w:r w:rsidRPr="00BA55BB">
        <w:rPr>
          <w:rFonts w:ascii="Calibri Light" w:eastAsia="Times New Roman" w:hAnsi="Calibri Light" w:cs="Calibri Light"/>
          <w:vertAlign w:val="superscript"/>
        </w:rPr>
        <w:footnoteReference w:id="10"/>
      </w:r>
      <w:r w:rsidRPr="00BA55BB">
        <w:rPr>
          <w:rFonts w:ascii="Calibri Light" w:eastAsia="Times New Roman" w:hAnsi="Calibri Light" w:cs="Calibri Light"/>
        </w:rPr>
        <w:t xml:space="preserve">  </w:t>
      </w:r>
    </w:p>
    <w:p w14:paraId="0179E737" w14:textId="77777777" w:rsidR="004668BF" w:rsidRPr="00BA55BB" w:rsidRDefault="004668BF" w:rsidP="00A531E2">
      <w:pPr>
        <w:numPr>
          <w:ilvl w:val="0"/>
          <w:numId w:val="2"/>
        </w:numPr>
        <w:spacing w:after="120" w:line="360" w:lineRule="auto"/>
        <w:rPr>
          <w:rFonts w:ascii="Calibri Light" w:eastAsia="Times New Roman" w:hAnsi="Calibri Light" w:cs="Calibri Light"/>
        </w:rPr>
      </w:pPr>
      <w:r w:rsidRPr="00BA55BB">
        <w:rPr>
          <w:rFonts w:ascii="Calibri Light" w:eastAsia="Times New Roman" w:hAnsi="Calibri Light" w:cs="Calibri Light"/>
          <w:b/>
          <w:bCs/>
        </w:rPr>
        <w:t>Information submitted to regulatory agencies—</w:t>
      </w:r>
      <w:r w:rsidRPr="00BA55BB">
        <w:rPr>
          <w:rFonts w:ascii="Calibri Light" w:eastAsia="Times New Roman" w:hAnsi="Calibri Light" w:cs="Calibri Light"/>
        </w:rPr>
        <w:t>Information submitted to a health or other agency as part of the regulatory oversite or inspection process of those facilities may be exempt from release. Facilities exempt from release can include hospitals, other healthcare facilities like ambulatory surgical centers, and congregate living facilities like nursing homes and in-patient rehabilitation centers. However, data such as the results of regulatory decisions, final inspection reports, or administrative penalties may be considered public records.</w:t>
      </w:r>
      <w:r w:rsidRPr="00BA55BB">
        <w:rPr>
          <w:rFonts w:ascii="Calibri Light" w:eastAsia="Times New Roman" w:hAnsi="Calibri Light" w:cs="Calibri Light"/>
          <w:b/>
          <w:bCs/>
          <w:vertAlign w:val="superscript"/>
        </w:rPr>
        <w:footnoteReference w:id="11"/>
      </w:r>
      <w:r w:rsidRPr="00BA55BB">
        <w:rPr>
          <w:rFonts w:ascii="Calibri Light" w:eastAsia="Times New Roman" w:hAnsi="Calibri Light" w:cs="Calibri Light"/>
        </w:rPr>
        <w:t xml:space="preserve"> </w:t>
      </w:r>
    </w:p>
    <w:p w14:paraId="3CA7DA82" w14:textId="77777777" w:rsidR="004668BF" w:rsidRPr="00BA55BB" w:rsidRDefault="004668BF" w:rsidP="00A531E2">
      <w:pPr>
        <w:numPr>
          <w:ilvl w:val="0"/>
          <w:numId w:val="2"/>
        </w:numPr>
        <w:spacing w:after="120" w:line="360" w:lineRule="auto"/>
        <w:rPr>
          <w:rFonts w:ascii="Calibri Light" w:eastAsia="Times New Roman" w:hAnsi="Calibri Light" w:cs="Calibri Light"/>
          <w:b/>
          <w:bCs/>
        </w:rPr>
      </w:pPr>
      <w:r w:rsidRPr="00BA55BB">
        <w:rPr>
          <w:rFonts w:ascii="Calibri Light" w:eastAsia="Times New Roman" w:hAnsi="Calibri Light" w:cs="Calibri Light"/>
          <w:b/>
          <w:bCs/>
        </w:rPr>
        <w:t>Administrative enforcement records—</w:t>
      </w:r>
      <w:r w:rsidRPr="00BA55BB">
        <w:rPr>
          <w:rFonts w:ascii="Calibri Light" w:eastAsia="Times New Roman" w:hAnsi="Calibri Light" w:cs="Calibri Light"/>
        </w:rPr>
        <w:t>Records of inspections and enforcement actions (e.g., worker safety and health inspections, or accident investigations) are generally considered agency records subject to release.</w:t>
      </w:r>
      <w:r w:rsidRPr="00BA55BB">
        <w:rPr>
          <w:rFonts w:ascii="Calibri Light" w:eastAsia="Times New Roman" w:hAnsi="Calibri Light" w:cs="Calibri Light"/>
          <w:b/>
          <w:bCs/>
          <w:vertAlign w:val="superscript"/>
        </w:rPr>
        <w:t xml:space="preserve"> </w:t>
      </w:r>
      <w:r w:rsidRPr="00BA55BB">
        <w:rPr>
          <w:rFonts w:ascii="Calibri Light" w:eastAsia="Times New Roman" w:hAnsi="Calibri Light" w:cs="Calibri Light"/>
          <w:b/>
          <w:bCs/>
          <w:vertAlign w:val="superscript"/>
        </w:rPr>
        <w:footnoteReference w:id="12"/>
      </w:r>
      <w:r w:rsidRPr="00BA55BB">
        <w:rPr>
          <w:rFonts w:ascii="Calibri Light" w:eastAsia="Times New Roman" w:hAnsi="Calibri Light" w:cs="Calibri Light"/>
        </w:rPr>
        <w:t xml:space="preserve"> However, there may be elements within those records that contain PII that are exempt from disclosure.</w:t>
      </w:r>
    </w:p>
    <w:p w14:paraId="0E76898B" w14:textId="77777777" w:rsidR="004668BF" w:rsidRPr="00BA55BB" w:rsidRDefault="004668BF" w:rsidP="004668BF">
      <w:pPr>
        <w:numPr>
          <w:ilvl w:val="0"/>
          <w:numId w:val="2"/>
        </w:numPr>
        <w:spacing w:line="360" w:lineRule="auto"/>
        <w:contextualSpacing/>
        <w:rPr>
          <w:rFonts w:ascii="Calibri Light" w:eastAsia="Times New Roman" w:hAnsi="Calibri Light" w:cs="Calibri Light"/>
        </w:rPr>
      </w:pPr>
      <w:r w:rsidRPr="00BA55BB">
        <w:rPr>
          <w:rFonts w:ascii="Calibri Light" w:eastAsia="Times New Roman" w:hAnsi="Calibri Light" w:cs="Calibri Light"/>
          <w:b/>
          <w:bCs/>
        </w:rPr>
        <w:t>Certain professional licensure records—</w:t>
      </w:r>
      <w:r w:rsidRPr="00BA55BB">
        <w:rPr>
          <w:rFonts w:ascii="Calibri Light" w:eastAsia="Times New Roman" w:hAnsi="Calibri Light" w:cs="Calibri Light"/>
        </w:rPr>
        <w:t xml:space="preserve">Records submitted by persons licensed by a jurisdiction are generally closed, but data such as business directory information or educational and occupational </w:t>
      </w:r>
      <w:r w:rsidRPr="00BA55BB">
        <w:rPr>
          <w:rFonts w:ascii="Calibri Light" w:eastAsia="Times New Roman" w:hAnsi="Calibri Light" w:cs="Calibri Light"/>
        </w:rPr>
        <w:lastRenderedPageBreak/>
        <w:t>background information may be open for access. Access to information about complaints and disciplinary actions vary by jurisdiction.</w:t>
      </w:r>
      <w:r w:rsidRPr="00BA55BB">
        <w:rPr>
          <w:rFonts w:ascii="Calibri Light" w:eastAsia="Times New Roman" w:hAnsi="Calibri Light" w:cs="Calibri Light"/>
          <w:vertAlign w:val="superscript"/>
        </w:rPr>
        <w:footnoteReference w:id="13"/>
      </w:r>
    </w:p>
    <w:p w14:paraId="7487500A" w14:textId="77777777" w:rsidR="004668BF" w:rsidRPr="00BA55BB" w:rsidRDefault="004668BF" w:rsidP="004668BF">
      <w:pPr>
        <w:spacing w:line="360" w:lineRule="auto"/>
        <w:rPr>
          <w:rFonts w:ascii="Calibri Light" w:eastAsia="Times New Roman" w:hAnsi="Calibri Light" w:cs="Calibri Light"/>
        </w:rPr>
      </w:pPr>
    </w:p>
    <w:p w14:paraId="061698D5" w14:textId="77777777" w:rsidR="004668BF" w:rsidRPr="00BA55BB" w:rsidRDefault="004668BF" w:rsidP="004668BF">
      <w:pPr>
        <w:spacing w:after="120" w:line="360" w:lineRule="auto"/>
        <w:rPr>
          <w:rFonts w:ascii="Calibri Light" w:eastAsia="Times New Roman" w:hAnsi="Calibri Light" w:cs="Calibri Light"/>
        </w:rPr>
      </w:pPr>
      <w:r w:rsidRPr="00BA55BB">
        <w:rPr>
          <w:rFonts w:ascii="Calibri Light" w:eastAsia="Times New Roman" w:hAnsi="Calibri Light" w:cs="Calibri Light"/>
        </w:rPr>
        <w:t>In addition to listing specific exceptions to disclosure, state FIO/open records laws also have broader directives about what information may or may not be subject to public release, such as:</w:t>
      </w:r>
    </w:p>
    <w:p w14:paraId="2BF1C6F9" w14:textId="77777777" w:rsidR="004668BF" w:rsidRPr="00BA55BB" w:rsidRDefault="004668BF" w:rsidP="00A531E2">
      <w:pPr>
        <w:numPr>
          <w:ilvl w:val="0"/>
          <w:numId w:val="3"/>
        </w:numPr>
        <w:spacing w:after="120" w:line="360" w:lineRule="auto"/>
        <w:rPr>
          <w:rFonts w:ascii="Calibri Light" w:eastAsia="Times New Roman" w:hAnsi="Calibri Light" w:cs="Calibri Light"/>
        </w:rPr>
      </w:pPr>
      <w:r w:rsidRPr="00BA55BB">
        <w:rPr>
          <w:rFonts w:ascii="Calibri Light" w:eastAsia="Times New Roman" w:hAnsi="Calibri Light" w:cs="Calibri Light"/>
          <w:b/>
          <w:bCs/>
        </w:rPr>
        <w:t>Another statute explicitly makes particular types of information/records confidential—</w:t>
      </w:r>
      <w:r w:rsidRPr="00BA55BB">
        <w:rPr>
          <w:rFonts w:ascii="Calibri Light" w:eastAsia="Times New Roman" w:hAnsi="Calibri Light" w:cs="Calibri Light"/>
        </w:rPr>
        <w:t xml:space="preserve">As noted above, this type of exception includes other laws in a jurisdiction as well as federal statutes and regulations. </w:t>
      </w:r>
    </w:p>
    <w:p w14:paraId="756AFCA5" w14:textId="77777777" w:rsidR="004668BF" w:rsidRPr="00BA55BB" w:rsidRDefault="004668BF" w:rsidP="004668BF">
      <w:pPr>
        <w:numPr>
          <w:ilvl w:val="0"/>
          <w:numId w:val="3"/>
        </w:numPr>
        <w:spacing w:line="360" w:lineRule="auto"/>
        <w:contextualSpacing/>
        <w:rPr>
          <w:rFonts w:ascii="Calibri Light" w:eastAsia="Times New Roman" w:hAnsi="Calibri Light" w:cs="Calibri Light"/>
        </w:rPr>
      </w:pPr>
      <w:r w:rsidRPr="00BA55BB">
        <w:rPr>
          <w:rFonts w:ascii="Calibri Light" w:eastAsia="Times New Roman" w:hAnsi="Calibri Light" w:cs="Calibri Light"/>
          <w:b/>
          <w:bCs/>
        </w:rPr>
        <w:t>Releases that would be detrimental to public safety or welfare—</w:t>
      </w:r>
      <w:r w:rsidRPr="00BA55BB">
        <w:rPr>
          <w:rFonts w:ascii="Calibri Light" w:eastAsia="Times New Roman" w:hAnsi="Calibri Light" w:cs="Calibri Light"/>
        </w:rPr>
        <w:t>This is commonly used in the law enforcement or homeland security areas but can be applied to other situations based on the facts of a case.</w:t>
      </w:r>
      <w:r w:rsidRPr="00BA55BB">
        <w:rPr>
          <w:rFonts w:ascii="Calibri Light" w:eastAsia="Times New Roman" w:hAnsi="Calibri Light" w:cs="Calibri Light"/>
          <w:vertAlign w:val="superscript"/>
        </w:rPr>
        <w:t xml:space="preserve"> </w:t>
      </w:r>
      <w:r w:rsidRPr="00BA55BB">
        <w:rPr>
          <w:rFonts w:ascii="Calibri Light" w:eastAsia="Times New Roman" w:hAnsi="Calibri Light" w:cs="Calibri Light"/>
          <w:vertAlign w:val="superscript"/>
        </w:rPr>
        <w:footnoteReference w:id="14"/>
      </w:r>
      <w:r w:rsidRPr="00BA55BB">
        <w:rPr>
          <w:rFonts w:ascii="Calibri Light" w:eastAsia="Times New Roman" w:hAnsi="Calibri Light" w:cs="Calibri Light"/>
        </w:rPr>
        <w:t xml:space="preserve"> This could also apply to public health emergencies, including infectious disease outbreaks.</w:t>
      </w:r>
    </w:p>
    <w:p w14:paraId="246B3D01" w14:textId="77777777" w:rsidR="004668BF" w:rsidRPr="00BA55BB" w:rsidRDefault="004668BF" w:rsidP="004668BF">
      <w:pPr>
        <w:spacing w:line="360" w:lineRule="auto"/>
        <w:rPr>
          <w:rFonts w:ascii="Calibri Light" w:eastAsia="Times New Roman" w:hAnsi="Calibri Light" w:cs="Calibri Light"/>
        </w:rPr>
      </w:pPr>
    </w:p>
    <w:p w14:paraId="41101AF7" w14:textId="77777777" w:rsidR="004668BF" w:rsidRPr="00BA55BB" w:rsidRDefault="004668BF" w:rsidP="004668BF">
      <w:pPr>
        <w:spacing w:line="360" w:lineRule="auto"/>
        <w:rPr>
          <w:rFonts w:ascii="Calibri Light" w:eastAsia="Times New Roman" w:hAnsi="Calibri Light" w:cs="Calibri Light"/>
        </w:rPr>
      </w:pPr>
      <w:r w:rsidRPr="00BA55BB">
        <w:rPr>
          <w:rFonts w:ascii="Calibri Light" w:eastAsia="Times New Roman" w:hAnsi="Calibri Light" w:cs="Calibri Light"/>
        </w:rPr>
        <w:t>Finally, a FOI/open records law may also contain provisions that allow the agency some discretion in determining to what extent an individual's/organization’s privacy interest should be balanced against the public's interest in disclosure. However, an agency should be prepared to articulate how the privacy interest outweighs the public disclosure requirement if the decision not to disclose is challenged.</w:t>
      </w:r>
    </w:p>
    <w:p w14:paraId="21E75A23" w14:textId="77777777" w:rsidR="004668BF" w:rsidRPr="00BA55BB" w:rsidRDefault="004668BF" w:rsidP="004668BF">
      <w:pPr>
        <w:spacing w:line="360" w:lineRule="auto"/>
        <w:rPr>
          <w:rFonts w:ascii="Calibri Light" w:eastAsia="Times New Roman" w:hAnsi="Calibri Light" w:cs="Calibri Light"/>
        </w:rPr>
      </w:pPr>
    </w:p>
    <w:p w14:paraId="4379B37A" w14:textId="1BC47BDE" w:rsidR="004668BF" w:rsidRPr="00F2627B" w:rsidRDefault="008A4012" w:rsidP="00803EA7">
      <w:pPr>
        <w:keepNext/>
        <w:spacing w:after="120" w:line="360" w:lineRule="auto"/>
        <w:rPr>
          <w:rFonts w:ascii="Calibri Light" w:eastAsia="Times New Roman" w:hAnsi="Calibri Light" w:cs="Calibri Light"/>
          <w:b/>
          <w:bCs/>
        </w:rPr>
      </w:pPr>
      <w:r>
        <w:rPr>
          <w:rFonts w:ascii="Calibri Light" w:eastAsia="Times New Roman" w:hAnsi="Calibri Light" w:cs="Calibri Light"/>
          <w:b/>
          <w:bCs/>
        </w:rPr>
        <w:t xml:space="preserve">Circumstances in which Information Release </w:t>
      </w:r>
      <w:r w:rsidR="00A444C6">
        <w:rPr>
          <w:rFonts w:ascii="Calibri Light" w:eastAsia="Times New Roman" w:hAnsi="Calibri Light" w:cs="Calibri Light"/>
          <w:b/>
          <w:bCs/>
        </w:rPr>
        <w:t xml:space="preserve">is </w:t>
      </w:r>
      <w:r>
        <w:rPr>
          <w:rFonts w:ascii="Calibri Light" w:eastAsia="Times New Roman" w:hAnsi="Calibri Light" w:cs="Calibri Light"/>
          <w:b/>
          <w:bCs/>
        </w:rPr>
        <w:t>Permitted</w:t>
      </w:r>
    </w:p>
    <w:p w14:paraId="2EE72317" w14:textId="46A2F6EB" w:rsidR="004668BF" w:rsidRPr="00BA55BB" w:rsidRDefault="004668BF" w:rsidP="000A0754">
      <w:pPr>
        <w:spacing w:after="120" w:line="360" w:lineRule="auto"/>
        <w:rPr>
          <w:rFonts w:ascii="Calibri Light" w:eastAsia="Times New Roman" w:hAnsi="Calibri Light" w:cs="Calibri Light"/>
        </w:rPr>
      </w:pPr>
      <w:r w:rsidRPr="00BA55BB">
        <w:rPr>
          <w:rFonts w:ascii="Calibri Light" w:eastAsia="Times New Roman" w:hAnsi="Calibri Light" w:cs="Calibri Light"/>
        </w:rPr>
        <w:t>Despite the exceptions that can limit public health officials in releasing information to the public</w:t>
      </w:r>
      <w:r w:rsidR="00E17E23">
        <w:rPr>
          <w:rFonts w:ascii="Calibri Light" w:eastAsia="Times New Roman" w:hAnsi="Calibri Light" w:cs="Calibri Light"/>
        </w:rPr>
        <w:t xml:space="preserve"> under FOI/open records laws</w:t>
      </w:r>
      <w:r w:rsidRPr="00BA55BB">
        <w:rPr>
          <w:rFonts w:ascii="Calibri Light" w:eastAsia="Times New Roman" w:hAnsi="Calibri Light" w:cs="Calibri Light"/>
        </w:rPr>
        <w:t xml:space="preserve">, </w:t>
      </w:r>
      <w:r w:rsidR="00E17E23">
        <w:rPr>
          <w:rFonts w:ascii="Calibri Light" w:eastAsia="Times New Roman" w:hAnsi="Calibri Light" w:cs="Calibri Light"/>
        </w:rPr>
        <w:t>these laws</w:t>
      </w:r>
      <w:r w:rsidRPr="00BA55BB">
        <w:rPr>
          <w:rFonts w:ascii="Calibri Light" w:eastAsia="Times New Roman" w:hAnsi="Calibri Light" w:cs="Calibri Light"/>
        </w:rPr>
        <w:t xml:space="preserve"> can also explicitly authorize public health agencies to release information otherwise covered by the law if certain </w:t>
      </w:r>
      <w:r w:rsidR="00803EA7" w:rsidRPr="00BA55BB">
        <w:rPr>
          <w:rFonts w:ascii="Calibri Light" w:eastAsia="Times New Roman" w:hAnsi="Calibri Light" w:cs="Calibri Light"/>
        </w:rPr>
        <w:t>conditions</w:t>
      </w:r>
      <w:r w:rsidRPr="00BA55BB">
        <w:rPr>
          <w:rFonts w:ascii="Calibri Light" w:eastAsia="Times New Roman" w:hAnsi="Calibri Light" w:cs="Calibri Light"/>
        </w:rPr>
        <w:t xml:space="preserve"> apply, such as:</w:t>
      </w:r>
    </w:p>
    <w:p w14:paraId="743A060A" w14:textId="74E77653" w:rsidR="004668BF" w:rsidRPr="00BA55BB" w:rsidRDefault="004668BF" w:rsidP="000A0754">
      <w:pPr>
        <w:numPr>
          <w:ilvl w:val="0"/>
          <w:numId w:val="4"/>
        </w:numPr>
        <w:spacing w:after="120" w:line="360" w:lineRule="auto"/>
        <w:rPr>
          <w:rFonts w:ascii="Calibri Light" w:eastAsia="Times New Roman" w:hAnsi="Calibri Light" w:cs="Calibri Light"/>
        </w:rPr>
      </w:pPr>
      <w:r w:rsidRPr="00BA55BB">
        <w:rPr>
          <w:rFonts w:ascii="Calibri Light" w:eastAsia="Times New Roman" w:hAnsi="Calibri Light" w:cs="Calibri Light"/>
        </w:rPr>
        <w:t>The person (or guardian) provides written consent for the release of their medical record or identifiable information about their case</w:t>
      </w:r>
      <w:r w:rsidR="00803EA7">
        <w:rPr>
          <w:rFonts w:ascii="Calibri Light" w:eastAsia="Times New Roman" w:hAnsi="Calibri Light" w:cs="Calibri Light"/>
        </w:rPr>
        <w:t>.</w:t>
      </w:r>
      <w:r w:rsidRPr="00BA55BB">
        <w:rPr>
          <w:rFonts w:ascii="Calibri Light" w:eastAsia="Times New Roman" w:hAnsi="Calibri Light" w:cs="Calibri Light"/>
        </w:rPr>
        <w:t xml:space="preserve"> </w:t>
      </w:r>
    </w:p>
    <w:p w14:paraId="7106A1EB" w14:textId="77777777" w:rsidR="004668BF" w:rsidRPr="00BA55BB" w:rsidRDefault="004668BF" w:rsidP="000A0754">
      <w:pPr>
        <w:numPr>
          <w:ilvl w:val="0"/>
          <w:numId w:val="4"/>
        </w:numPr>
        <w:shd w:val="clear" w:color="auto" w:fill="FFFFFF"/>
        <w:spacing w:after="120" w:line="360" w:lineRule="auto"/>
        <w:textAlignment w:val="baseline"/>
        <w:rPr>
          <w:rFonts w:ascii="Calibri Light" w:eastAsia="Times New Roman" w:hAnsi="Calibri Light" w:cs="Calibri Light"/>
          <w:color w:val="2D2D2D"/>
        </w:rPr>
      </w:pPr>
      <w:r w:rsidRPr="00BA55BB">
        <w:rPr>
          <w:rFonts w:ascii="Calibri Light" w:eastAsia="Times New Roman" w:hAnsi="Calibri Light" w:cs="Calibri Light"/>
          <w:color w:val="2D2D2D"/>
        </w:rPr>
        <w:t xml:space="preserve">The information release is necessary to protect public health. </w:t>
      </w:r>
    </w:p>
    <w:p w14:paraId="267EB0FB" w14:textId="77777777" w:rsidR="004668BF" w:rsidRPr="00BA55BB" w:rsidRDefault="004668BF" w:rsidP="000A0754">
      <w:pPr>
        <w:numPr>
          <w:ilvl w:val="0"/>
          <w:numId w:val="4"/>
        </w:numPr>
        <w:shd w:val="clear" w:color="auto" w:fill="FFFFFF"/>
        <w:spacing w:after="120" w:line="360" w:lineRule="auto"/>
        <w:textAlignment w:val="baseline"/>
        <w:rPr>
          <w:rFonts w:ascii="Calibri Light" w:eastAsia="Times New Roman" w:hAnsi="Calibri Light" w:cs="Calibri Light"/>
          <w:color w:val="2D2D2D"/>
          <w:sz w:val="20"/>
          <w:szCs w:val="20"/>
        </w:rPr>
      </w:pPr>
      <w:r w:rsidRPr="00BA55BB">
        <w:rPr>
          <w:rFonts w:ascii="Calibri Light" w:eastAsia="Times New Roman" w:hAnsi="Calibri Light" w:cs="Calibri Light"/>
        </w:rPr>
        <w:t>The public health agency releases information to another federal, state, or local public health agency for the purpose of preventing or controlling the spread of a communicable disease.</w:t>
      </w:r>
    </w:p>
    <w:p w14:paraId="6558435B" w14:textId="77777777" w:rsidR="004668BF" w:rsidRPr="00BA55BB" w:rsidRDefault="004668BF" w:rsidP="000A0754">
      <w:pPr>
        <w:numPr>
          <w:ilvl w:val="0"/>
          <w:numId w:val="4"/>
        </w:numPr>
        <w:spacing w:after="120" w:line="360" w:lineRule="auto"/>
        <w:rPr>
          <w:rFonts w:ascii="Calibri Light" w:eastAsia="Times New Roman" w:hAnsi="Calibri Light" w:cs="Calibri Light"/>
        </w:rPr>
      </w:pPr>
      <w:r w:rsidRPr="00BA55BB">
        <w:rPr>
          <w:rFonts w:ascii="Calibri Light" w:eastAsia="Times New Roman" w:hAnsi="Calibri Light" w:cs="Calibri Light"/>
        </w:rPr>
        <w:lastRenderedPageBreak/>
        <w:t>Information is released under another state law, or a subpoena or court order.</w:t>
      </w:r>
    </w:p>
    <w:p w14:paraId="061CE06A" w14:textId="2B934823" w:rsidR="004668BF" w:rsidRPr="00BA55BB" w:rsidRDefault="004668BF" w:rsidP="000A0754">
      <w:pPr>
        <w:numPr>
          <w:ilvl w:val="0"/>
          <w:numId w:val="4"/>
        </w:numPr>
        <w:spacing w:after="120" w:line="360" w:lineRule="auto"/>
        <w:rPr>
          <w:rFonts w:ascii="Calibri Light" w:eastAsia="Times New Roman" w:hAnsi="Calibri Light" w:cs="Calibri Light"/>
        </w:rPr>
      </w:pPr>
      <w:r w:rsidRPr="00BA55BB">
        <w:rPr>
          <w:rFonts w:ascii="Calibri Light" w:eastAsia="Times New Roman" w:hAnsi="Calibri Light" w:cs="Calibri Light"/>
        </w:rPr>
        <w:t>Information is released as permitted under federal law (e.g., treatment, payment, research, or health care operations to the extent permitted in the Health Insurance Portability and Accountability Act.</w:t>
      </w:r>
      <w:r w:rsidR="00B13587">
        <w:rPr>
          <w:rFonts w:ascii="Calibri Light" w:eastAsia="Times New Roman" w:hAnsi="Calibri Light" w:cs="Calibri Light"/>
        </w:rPr>
        <w:t xml:space="preserve"> (Discussed further below.)</w:t>
      </w:r>
    </w:p>
    <w:p w14:paraId="1CD9FAA2" w14:textId="77777777" w:rsidR="004668BF" w:rsidRPr="00BA55BB" w:rsidRDefault="004668BF" w:rsidP="000A0754">
      <w:pPr>
        <w:numPr>
          <w:ilvl w:val="0"/>
          <w:numId w:val="4"/>
        </w:numPr>
        <w:spacing w:after="120" w:line="360" w:lineRule="auto"/>
        <w:rPr>
          <w:rFonts w:ascii="Calibri Light" w:eastAsia="Times New Roman" w:hAnsi="Calibri Light" w:cs="Calibri Light"/>
        </w:rPr>
      </w:pPr>
      <w:r w:rsidRPr="00BA55BB">
        <w:rPr>
          <w:rFonts w:ascii="Calibri Light" w:eastAsia="Times New Roman" w:hAnsi="Calibri Light" w:cs="Calibri Light"/>
        </w:rPr>
        <w:t>De-identified medical or epidemiological information is released for research or statistical purposes.</w:t>
      </w:r>
    </w:p>
    <w:p w14:paraId="7170CE33" w14:textId="77777777" w:rsidR="004668BF" w:rsidRPr="00BA55BB" w:rsidRDefault="004668BF" w:rsidP="004668BF">
      <w:pPr>
        <w:numPr>
          <w:ilvl w:val="0"/>
          <w:numId w:val="4"/>
        </w:numPr>
        <w:spacing w:line="360" w:lineRule="auto"/>
        <w:contextualSpacing/>
        <w:rPr>
          <w:rFonts w:ascii="Calibri Light" w:eastAsia="Times New Roman" w:hAnsi="Calibri Light" w:cs="Calibri Light"/>
        </w:rPr>
      </w:pPr>
      <w:r w:rsidRPr="00BA55BB">
        <w:rPr>
          <w:rFonts w:ascii="Calibri Light" w:eastAsia="Times New Roman" w:hAnsi="Calibri Light" w:cs="Calibri Light"/>
        </w:rPr>
        <w:t>The health agency releases information to a court or law enforcement for enforcement purposes, or to investigate terrorist event (nuclear, biological, or chemical).</w:t>
      </w:r>
    </w:p>
    <w:p w14:paraId="0FA360F5" w14:textId="77777777" w:rsidR="004668BF" w:rsidRPr="00BA55BB" w:rsidRDefault="004668BF" w:rsidP="004668BF">
      <w:pPr>
        <w:spacing w:line="360" w:lineRule="auto"/>
        <w:rPr>
          <w:rFonts w:ascii="Calibri Light" w:eastAsia="Times New Roman" w:hAnsi="Calibri Light" w:cs="Calibri Light"/>
        </w:rPr>
      </w:pPr>
    </w:p>
    <w:p w14:paraId="09CB562C" w14:textId="77777777" w:rsidR="004668BF" w:rsidRPr="00BA55BB" w:rsidRDefault="004668BF" w:rsidP="004668BF">
      <w:pPr>
        <w:spacing w:line="360" w:lineRule="auto"/>
        <w:rPr>
          <w:rFonts w:ascii="Calibri Light" w:eastAsia="Times New Roman" w:hAnsi="Calibri Light" w:cs="Calibri Light"/>
        </w:rPr>
      </w:pPr>
      <w:r w:rsidRPr="00BA55BB">
        <w:rPr>
          <w:rFonts w:ascii="Calibri Light" w:eastAsia="Times New Roman" w:hAnsi="Calibri Light" w:cs="Calibri Light"/>
        </w:rPr>
        <w:t>In responding to a request for information, the public health agency should review the request to assess if making the information public would reveal private information or threaten an investigation or public safety.</w:t>
      </w:r>
      <w:r w:rsidRPr="00BA55BB">
        <w:rPr>
          <w:rFonts w:ascii="Calibri Light" w:eastAsia="Times New Roman" w:hAnsi="Calibri Light" w:cs="Calibri Light"/>
          <w:vertAlign w:val="superscript"/>
        </w:rPr>
        <w:footnoteReference w:id="15"/>
      </w:r>
      <w:r w:rsidRPr="00BA55BB">
        <w:rPr>
          <w:rFonts w:ascii="Calibri Light" w:eastAsia="Times New Roman" w:hAnsi="Calibri Light" w:cs="Calibri Light"/>
        </w:rPr>
        <w:t xml:space="preserve"> If the agency decides to withhold information, then it must be ready to articulate the basis upon which the information request is being denied. </w:t>
      </w:r>
    </w:p>
    <w:p w14:paraId="5304B241" w14:textId="77777777" w:rsidR="004818CC" w:rsidRDefault="004818CC" w:rsidP="00A531E2">
      <w:pPr>
        <w:spacing w:after="120" w:line="360" w:lineRule="auto"/>
        <w:rPr>
          <w:rFonts w:ascii="Arial" w:eastAsia="Times New Roman" w:hAnsi="Arial" w:cs="Arial"/>
          <w:b/>
          <w:bCs/>
        </w:rPr>
      </w:pPr>
    </w:p>
    <w:p w14:paraId="322D0249" w14:textId="3EE0D97F" w:rsidR="004668BF" w:rsidRPr="00A531E2" w:rsidRDefault="004668BF" w:rsidP="00A531E2">
      <w:pPr>
        <w:spacing w:after="120" w:line="360" w:lineRule="auto"/>
        <w:rPr>
          <w:rFonts w:ascii="Arial" w:eastAsia="Times New Roman" w:hAnsi="Arial" w:cs="Arial"/>
          <w:b/>
          <w:bCs/>
        </w:rPr>
      </w:pPr>
      <w:r w:rsidRPr="00A531E2">
        <w:rPr>
          <w:rFonts w:ascii="Arial" w:eastAsia="Times New Roman" w:hAnsi="Arial" w:cs="Arial"/>
          <w:b/>
          <w:bCs/>
        </w:rPr>
        <w:t xml:space="preserve">Confidentiality </w:t>
      </w:r>
      <w:r w:rsidR="00A531E2">
        <w:rPr>
          <w:rFonts w:ascii="Arial" w:eastAsia="Times New Roman" w:hAnsi="Arial" w:cs="Arial"/>
          <w:b/>
          <w:bCs/>
        </w:rPr>
        <w:t>Laws</w:t>
      </w:r>
    </w:p>
    <w:p w14:paraId="03BD6D5A" w14:textId="53DE5A8F" w:rsidR="004668BF" w:rsidRPr="00BA55BB" w:rsidRDefault="004668BF" w:rsidP="004668BF">
      <w:pPr>
        <w:spacing w:line="360" w:lineRule="auto"/>
        <w:rPr>
          <w:rFonts w:ascii="Calibri Light" w:eastAsia="Times New Roman" w:hAnsi="Calibri Light" w:cs="Calibri Light"/>
        </w:rPr>
      </w:pPr>
      <w:r w:rsidRPr="00BA55BB">
        <w:rPr>
          <w:rFonts w:ascii="Calibri Light" w:eastAsia="Times New Roman" w:hAnsi="Calibri Light" w:cs="Calibri Light"/>
        </w:rPr>
        <w:t xml:space="preserve">In addition to FOI/open records laws, the information released by public health agencies is also subject to federal and state confidentiality laws. </w:t>
      </w:r>
      <w:r w:rsidR="005C701F">
        <w:rPr>
          <w:rFonts w:ascii="Calibri Light" w:eastAsia="Times New Roman" w:hAnsi="Calibri Light" w:cs="Calibri Light"/>
        </w:rPr>
        <w:t>C</w:t>
      </w:r>
      <w:r w:rsidRPr="00BA55BB">
        <w:rPr>
          <w:rFonts w:ascii="Calibri Light" w:eastAsia="Times New Roman" w:hAnsi="Calibri Light" w:cs="Calibri Light"/>
        </w:rPr>
        <w:t xml:space="preserve">onfidentiality </w:t>
      </w:r>
      <w:r w:rsidR="005C701F">
        <w:rPr>
          <w:rFonts w:ascii="Calibri Light" w:eastAsia="Times New Roman" w:hAnsi="Calibri Light" w:cs="Calibri Light"/>
        </w:rPr>
        <w:t>l</w:t>
      </w:r>
      <w:r w:rsidR="00882F35">
        <w:rPr>
          <w:rFonts w:ascii="Calibri Light" w:eastAsia="Times New Roman" w:hAnsi="Calibri Light" w:cs="Calibri Light"/>
        </w:rPr>
        <w:t xml:space="preserve">aws may be separate from FOI/open records laws, may be part of those laws, </w:t>
      </w:r>
      <w:r w:rsidR="00AE0A40">
        <w:rPr>
          <w:rFonts w:ascii="Calibri Light" w:eastAsia="Times New Roman" w:hAnsi="Calibri Light" w:cs="Calibri Light"/>
        </w:rPr>
        <w:t>and/</w:t>
      </w:r>
      <w:r w:rsidR="00882F35">
        <w:rPr>
          <w:rFonts w:ascii="Calibri Light" w:eastAsia="Times New Roman" w:hAnsi="Calibri Light" w:cs="Calibri Light"/>
        </w:rPr>
        <w:t>or there may be confid</w:t>
      </w:r>
      <w:r w:rsidR="00AE0A40">
        <w:rPr>
          <w:rFonts w:ascii="Calibri Light" w:eastAsia="Times New Roman" w:hAnsi="Calibri Light" w:cs="Calibri Light"/>
        </w:rPr>
        <w:t xml:space="preserve">entiality provisions </w:t>
      </w:r>
      <w:r w:rsidRPr="00BA55BB">
        <w:rPr>
          <w:rFonts w:ascii="Calibri Light" w:eastAsia="Times New Roman" w:hAnsi="Calibri Light" w:cs="Calibri Light"/>
        </w:rPr>
        <w:t>incorporated into FOI/open records laws and in statutes governing specific agencies or issues. The following discussion highlights the</w:t>
      </w:r>
      <w:r w:rsidR="00BC2D9B">
        <w:rPr>
          <w:rFonts w:ascii="Calibri Light" w:eastAsia="Times New Roman" w:hAnsi="Calibri Light" w:cs="Calibri Light"/>
        </w:rPr>
        <w:t xml:space="preserve"> </w:t>
      </w:r>
      <w:r w:rsidRPr="00BA55BB">
        <w:rPr>
          <w:rFonts w:ascii="Calibri Light" w:eastAsia="Times New Roman" w:hAnsi="Calibri Light" w:cs="Calibri Light"/>
        </w:rPr>
        <w:t xml:space="preserve">confidentiality laws which must be </w:t>
      </w:r>
      <w:r w:rsidR="00CE3AB9">
        <w:rPr>
          <w:rFonts w:ascii="Calibri Light" w:eastAsia="Times New Roman" w:hAnsi="Calibri Light" w:cs="Calibri Light"/>
        </w:rPr>
        <w:t>understood when approaching an individual or facility involved</w:t>
      </w:r>
      <w:r w:rsidR="00F145CE">
        <w:rPr>
          <w:rFonts w:ascii="Calibri Light" w:eastAsia="Times New Roman" w:hAnsi="Calibri Light" w:cs="Calibri Light"/>
        </w:rPr>
        <w:t xml:space="preserve"> in an LD outbreak </w:t>
      </w:r>
      <w:r w:rsidR="00BC2D9B">
        <w:rPr>
          <w:rFonts w:ascii="Calibri Light" w:eastAsia="Times New Roman" w:hAnsi="Calibri Light" w:cs="Calibri Light"/>
        </w:rPr>
        <w:t>for sensitive</w:t>
      </w:r>
      <w:r w:rsidR="0070719A">
        <w:rPr>
          <w:rFonts w:ascii="Calibri Light" w:eastAsia="Times New Roman" w:hAnsi="Calibri Light" w:cs="Calibri Light"/>
        </w:rPr>
        <w:t xml:space="preserve"> and potentially confidential information. Confidentiality requirements must also be </w:t>
      </w:r>
      <w:r w:rsidRPr="00BA55BB">
        <w:rPr>
          <w:rFonts w:ascii="Calibri Light" w:eastAsia="Times New Roman" w:hAnsi="Calibri Light" w:cs="Calibri Light"/>
        </w:rPr>
        <w:t xml:space="preserve">considered </w:t>
      </w:r>
      <w:r w:rsidR="00F145CE">
        <w:rPr>
          <w:rFonts w:ascii="Calibri Light" w:eastAsia="Times New Roman" w:hAnsi="Calibri Light" w:cs="Calibri Light"/>
        </w:rPr>
        <w:t xml:space="preserve">when </w:t>
      </w:r>
      <w:r w:rsidRPr="00BA55BB">
        <w:rPr>
          <w:rFonts w:ascii="Calibri Light" w:eastAsia="Times New Roman" w:hAnsi="Calibri Light" w:cs="Calibri Light"/>
        </w:rPr>
        <w:t xml:space="preserve">deciding what information to release </w:t>
      </w:r>
      <w:r w:rsidR="00FA15B6">
        <w:rPr>
          <w:rFonts w:ascii="Calibri Light" w:eastAsia="Times New Roman" w:hAnsi="Calibri Light" w:cs="Calibri Light"/>
        </w:rPr>
        <w:t xml:space="preserve">during </w:t>
      </w:r>
      <w:r w:rsidR="00F145CE">
        <w:rPr>
          <w:rFonts w:ascii="Calibri Light" w:eastAsia="Times New Roman" w:hAnsi="Calibri Light" w:cs="Calibri Light"/>
        </w:rPr>
        <w:t>an</w:t>
      </w:r>
      <w:r w:rsidRPr="00BA55BB">
        <w:rPr>
          <w:rFonts w:ascii="Calibri Light" w:eastAsia="Times New Roman" w:hAnsi="Calibri Light" w:cs="Calibri Light"/>
        </w:rPr>
        <w:t xml:space="preserve"> outbreak.</w:t>
      </w:r>
    </w:p>
    <w:p w14:paraId="1518BAD3" w14:textId="77777777" w:rsidR="004668BF" w:rsidRPr="00BA55BB" w:rsidRDefault="004668BF" w:rsidP="004668BF">
      <w:pPr>
        <w:spacing w:line="360" w:lineRule="auto"/>
        <w:rPr>
          <w:rFonts w:ascii="Calibri Light" w:eastAsia="Times New Roman" w:hAnsi="Calibri Light" w:cs="Calibri Light"/>
        </w:rPr>
      </w:pPr>
    </w:p>
    <w:p w14:paraId="70C3F76B" w14:textId="77777777" w:rsidR="004668BF" w:rsidRPr="00BA55BB" w:rsidRDefault="004668BF" w:rsidP="000E2BD3">
      <w:pPr>
        <w:keepNext/>
        <w:spacing w:after="120" w:line="360" w:lineRule="auto"/>
        <w:rPr>
          <w:rFonts w:ascii="Calibri Light" w:eastAsia="Times New Roman" w:hAnsi="Calibri Light" w:cs="Calibri Light"/>
          <w:b/>
          <w:bCs/>
        </w:rPr>
      </w:pPr>
      <w:r w:rsidRPr="00BA55BB">
        <w:rPr>
          <w:rFonts w:ascii="Calibri Light" w:eastAsia="Times New Roman" w:hAnsi="Calibri Light" w:cs="Calibri Light"/>
          <w:b/>
          <w:bCs/>
        </w:rPr>
        <w:t>Federal Confidentiality Laws and Regulations</w:t>
      </w:r>
    </w:p>
    <w:p w14:paraId="28F7C65C" w14:textId="67AACE86" w:rsidR="004668BF" w:rsidRPr="00BA55BB" w:rsidRDefault="004668BF" w:rsidP="004668BF">
      <w:pPr>
        <w:spacing w:line="360" w:lineRule="auto"/>
        <w:rPr>
          <w:rFonts w:ascii="Calibri Light" w:eastAsia="Times New Roman" w:hAnsi="Calibri Light" w:cs="Calibri Light"/>
        </w:rPr>
      </w:pPr>
      <w:r w:rsidRPr="00BA55BB">
        <w:rPr>
          <w:rFonts w:ascii="Calibri Light" w:eastAsia="Times New Roman" w:hAnsi="Calibri Light" w:cs="Calibri Light"/>
        </w:rPr>
        <w:t>There are two federal laws and regulations frequently identified as potential sources of uncertainty about what information a public health agency can collect from healthcare providers</w:t>
      </w:r>
      <w:r w:rsidR="0029576A">
        <w:rPr>
          <w:rFonts w:ascii="Calibri Light" w:eastAsia="Times New Roman" w:hAnsi="Calibri Light" w:cs="Calibri Light"/>
        </w:rPr>
        <w:t xml:space="preserve">, other </w:t>
      </w:r>
      <w:r w:rsidR="00055586">
        <w:rPr>
          <w:rFonts w:ascii="Calibri Light" w:eastAsia="Times New Roman" w:hAnsi="Calibri Light" w:cs="Calibri Light"/>
        </w:rPr>
        <w:t xml:space="preserve">record holders, and </w:t>
      </w:r>
      <w:r w:rsidRPr="00BA55BB">
        <w:rPr>
          <w:rFonts w:ascii="Calibri Light" w:eastAsia="Times New Roman" w:hAnsi="Calibri Light" w:cs="Calibri Light"/>
        </w:rPr>
        <w:lastRenderedPageBreak/>
        <w:t>facilities, and what information it can share and with whom.</w:t>
      </w:r>
      <w:r w:rsidR="004F0E9F">
        <w:rPr>
          <w:rStyle w:val="FootnoteReference"/>
          <w:rFonts w:ascii="Calibri Light" w:eastAsia="Times New Roman" w:hAnsi="Calibri Light" w:cs="Calibri Light"/>
        </w:rPr>
        <w:footnoteReference w:id="16"/>
      </w:r>
      <w:r w:rsidRPr="00BA55BB">
        <w:rPr>
          <w:rFonts w:ascii="Calibri Light" w:eastAsia="Times New Roman" w:hAnsi="Calibri Light" w:cs="Calibri Light"/>
        </w:rPr>
        <w:t xml:space="preserve"> These are the Health Insurance Portability and Accountability Act (HIPAA) Privacy Rule and the </w:t>
      </w:r>
      <w:r w:rsidRPr="00BA55BB">
        <w:rPr>
          <w:rFonts w:ascii="Calibri Light" w:eastAsia="Calibri" w:hAnsi="Calibri Light" w:cs="Calibri Light"/>
        </w:rPr>
        <w:t>Family Educational Rights and Privacy Act.</w:t>
      </w:r>
      <w:r w:rsidR="00055586">
        <w:rPr>
          <w:rFonts w:ascii="Calibri Light" w:eastAsia="Calibri" w:hAnsi="Calibri Light" w:cs="Calibri Light"/>
        </w:rPr>
        <w:t xml:space="preserve"> The following discussion </w:t>
      </w:r>
      <w:r w:rsidR="00545BE7">
        <w:rPr>
          <w:rFonts w:ascii="Calibri Light" w:eastAsia="Calibri" w:hAnsi="Calibri Light" w:cs="Calibri Light"/>
        </w:rPr>
        <w:t xml:space="preserve">highlights key aspects relevant to investigation of LD </w:t>
      </w:r>
      <w:r w:rsidR="00FE5E0F">
        <w:rPr>
          <w:rFonts w:ascii="Calibri Light" w:eastAsia="Calibri" w:hAnsi="Calibri Light" w:cs="Calibri Light"/>
        </w:rPr>
        <w:t xml:space="preserve">and other infectious disease </w:t>
      </w:r>
      <w:r w:rsidR="00545BE7">
        <w:rPr>
          <w:rFonts w:ascii="Calibri Light" w:eastAsia="Calibri" w:hAnsi="Calibri Light" w:cs="Calibri Light"/>
        </w:rPr>
        <w:t>outbreaks</w:t>
      </w:r>
      <w:r w:rsidR="00E64552">
        <w:rPr>
          <w:rFonts w:ascii="Calibri Light" w:eastAsia="Calibri" w:hAnsi="Calibri Light" w:cs="Calibri Light"/>
        </w:rPr>
        <w:t xml:space="preserve">; it does not provide a comprehensive summary of </w:t>
      </w:r>
      <w:r w:rsidR="006C1436">
        <w:rPr>
          <w:rFonts w:ascii="Calibri Light" w:eastAsia="Calibri" w:hAnsi="Calibri Light" w:cs="Calibri Light"/>
        </w:rPr>
        <w:t>these statutes/regulations.</w:t>
      </w:r>
    </w:p>
    <w:p w14:paraId="44818AAB" w14:textId="77777777" w:rsidR="004668BF" w:rsidRPr="00BA55BB" w:rsidRDefault="004668BF" w:rsidP="004668BF">
      <w:pPr>
        <w:spacing w:line="360" w:lineRule="auto"/>
        <w:rPr>
          <w:rFonts w:ascii="Calibri Light" w:eastAsia="Times New Roman" w:hAnsi="Calibri Light" w:cs="Calibri Light"/>
          <w:i/>
          <w:iCs/>
        </w:rPr>
      </w:pPr>
    </w:p>
    <w:p w14:paraId="38B19465" w14:textId="77777777" w:rsidR="004668BF" w:rsidRPr="00BA55BB" w:rsidRDefault="004668BF" w:rsidP="00A531E2">
      <w:pPr>
        <w:spacing w:after="120" w:line="360" w:lineRule="auto"/>
        <w:rPr>
          <w:rFonts w:ascii="Calibri Light" w:eastAsia="Times New Roman" w:hAnsi="Calibri Light" w:cs="Calibri Light"/>
          <w:b/>
          <w:bCs/>
          <w:i/>
          <w:iCs/>
        </w:rPr>
      </w:pPr>
      <w:r w:rsidRPr="00BA55BB">
        <w:rPr>
          <w:rFonts w:ascii="Calibri Light" w:eastAsia="Times New Roman" w:hAnsi="Calibri Light" w:cs="Calibri Light"/>
          <w:b/>
          <w:bCs/>
          <w:i/>
          <w:iCs/>
        </w:rPr>
        <w:t>HIPAA Privacy Rule</w:t>
      </w:r>
    </w:p>
    <w:p w14:paraId="0F96AB1B" w14:textId="687D4DCB" w:rsidR="004668BF" w:rsidRPr="00BA55BB" w:rsidRDefault="004668BF" w:rsidP="004668BF">
      <w:pPr>
        <w:spacing w:line="360" w:lineRule="auto"/>
        <w:textAlignment w:val="baseline"/>
        <w:rPr>
          <w:rFonts w:ascii="Calibri Light" w:eastAsia="Times New Roman" w:hAnsi="Calibri Light" w:cs="Calibri Light"/>
        </w:rPr>
      </w:pPr>
      <w:r w:rsidRPr="00BA55BB">
        <w:rPr>
          <w:rFonts w:ascii="Calibri Light" w:eastAsia="Times New Roman" w:hAnsi="Calibri Light" w:cs="Calibri Light"/>
        </w:rPr>
        <w:t>The HIPAA</w:t>
      </w:r>
      <w:r w:rsidR="003C51A7">
        <w:rPr>
          <w:rStyle w:val="FootnoteReference"/>
          <w:rFonts w:ascii="Calibri Light" w:eastAsia="Times New Roman" w:hAnsi="Calibri Light" w:cs="Calibri Light"/>
        </w:rPr>
        <w:footnoteReference w:id="17"/>
      </w:r>
      <w:r w:rsidRPr="00BA55BB">
        <w:rPr>
          <w:rFonts w:ascii="Calibri Light" w:eastAsia="Times New Roman" w:hAnsi="Calibri Light" w:cs="Calibri Light"/>
        </w:rPr>
        <w:t xml:space="preserve"> Privacy Rule creates national privacy protections for individuals’ identifiable health information.</w:t>
      </w:r>
      <w:r w:rsidRPr="00BA55BB">
        <w:rPr>
          <w:rFonts w:ascii="Calibri Light" w:eastAsia="Times New Roman" w:hAnsi="Calibri Light" w:cs="Calibri Light"/>
          <w:vertAlign w:val="superscript"/>
        </w:rPr>
        <w:t xml:space="preserve"> </w:t>
      </w:r>
      <w:r w:rsidRPr="00BA55BB">
        <w:rPr>
          <w:rFonts w:ascii="Calibri Light" w:eastAsia="Times New Roman" w:hAnsi="Calibri Light" w:cs="Calibri Light"/>
          <w:vertAlign w:val="superscript"/>
        </w:rPr>
        <w:footnoteReference w:id="18"/>
      </w:r>
      <w:r w:rsidRPr="00BA55BB">
        <w:rPr>
          <w:rFonts w:ascii="Calibri Light" w:eastAsia="Times New Roman" w:hAnsi="Calibri Light" w:cs="Calibri Light"/>
        </w:rPr>
        <w:t xml:space="preserve"> The rule defines “individually identifiable health information” to include data that can or could be reasonably used to identify an individual such as common identifiers (e.g., name, address, date of birth, or SSN), demographic data, information about the healthcare services provided, or the type of payment used.</w:t>
      </w:r>
      <w:r w:rsidRPr="00BA55BB">
        <w:rPr>
          <w:rFonts w:ascii="Calibri Light" w:eastAsia="Times New Roman" w:hAnsi="Calibri Light" w:cs="Calibri Light"/>
          <w:vertAlign w:val="superscript"/>
        </w:rPr>
        <w:footnoteReference w:id="19"/>
      </w:r>
      <w:r w:rsidRPr="00BA55BB">
        <w:rPr>
          <w:rFonts w:ascii="Calibri Light" w:eastAsia="Times New Roman" w:hAnsi="Calibri Light" w:cs="Calibri Light"/>
        </w:rPr>
        <w:t xml:space="preserve"> </w:t>
      </w:r>
      <w:r w:rsidRPr="00BA55BB">
        <w:rPr>
          <w:rFonts w:ascii="Calibri Light" w:eastAsia="Times New Roman" w:hAnsi="Calibri Light" w:cs="Calibri Light"/>
          <w:color w:val="000000" w:themeColor="text1"/>
        </w:rPr>
        <w:t>The rule prohibits entities covered under it from disclosing protected health information (PHI) to any third parties unless the rule otherwise permits the disclosure or if the person who is the subject of the record (or their representative) authorizes the disclosure in writing.</w:t>
      </w:r>
      <w:r w:rsidRPr="00BA55BB">
        <w:rPr>
          <w:rFonts w:ascii="Calibri Light" w:eastAsia="Times New Roman" w:hAnsi="Calibri Light" w:cs="Calibri Light"/>
          <w:color w:val="000000" w:themeColor="text1"/>
          <w:vertAlign w:val="superscript"/>
        </w:rPr>
        <w:footnoteReference w:id="20"/>
      </w:r>
      <w:r w:rsidRPr="00BA55BB">
        <w:rPr>
          <w:rFonts w:ascii="Calibri Light" w:eastAsia="Times New Roman" w:hAnsi="Calibri Light" w:cs="Calibri Light"/>
          <w:color w:val="000000" w:themeColor="text1"/>
        </w:rPr>
        <w:t xml:space="preserve">  PHI is defined as individually identifiable health information that is maintained or transmitted by a covered entity</w:t>
      </w:r>
      <w:r w:rsidRPr="00BA55BB">
        <w:rPr>
          <w:rFonts w:ascii="Calibri Light" w:eastAsia="Times New Roman" w:hAnsi="Calibri Light" w:cs="Calibri Light"/>
          <w:color w:val="000000" w:themeColor="text1"/>
          <w:vertAlign w:val="superscript"/>
        </w:rPr>
        <w:footnoteReference w:id="21"/>
      </w:r>
      <w:r w:rsidRPr="00BA55BB">
        <w:rPr>
          <w:rFonts w:ascii="Calibri Light" w:eastAsia="Times New Roman" w:hAnsi="Calibri Light" w:cs="Calibri Light"/>
          <w:color w:val="000000" w:themeColor="text1"/>
        </w:rPr>
        <w:t>, hybrid entity</w:t>
      </w:r>
      <w:r w:rsidRPr="00BA55BB">
        <w:rPr>
          <w:rFonts w:ascii="Calibri Light" w:eastAsia="Times New Roman" w:hAnsi="Calibri Light" w:cs="Calibri Light"/>
          <w:color w:val="000000" w:themeColor="text1"/>
          <w:vertAlign w:val="superscript"/>
        </w:rPr>
        <w:footnoteReference w:id="22"/>
      </w:r>
      <w:r w:rsidRPr="00BA55BB">
        <w:rPr>
          <w:rFonts w:ascii="Calibri Light" w:eastAsia="Times New Roman" w:hAnsi="Calibri Light" w:cs="Calibri Light"/>
          <w:color w:val="000000" w:themeColor="text1"/>
        </w:rPr>
        <w:t>, or a business associate</w:t>
      </w:r>
      <w:r w:rsidRPr="00BA55BB">
        <w:rPr>
          <w:rFonts w:ascii="Calibri Light" w:eastAsia="Times New Roman" w:hAnsi="Calibri Light" w:cs="Calibri Light"/>
          <w:color w:val="000000" w:themeColor="text1"/>
          <w:vertAlign w:val="superscript"/>
        </w:rPr>
        <w:footnoteReference w:id="23"/>
      </w:r>
      <w:r w:rsidRPr="00BA55BB">
        <w:rPr>
          <w:rFonts w:ascii="Calibri Light" w:eastAsia="Times New Roman" w:hAnsi="Calibri Light" w:cs="Calibri Light"/>
          <w:color w:val="000000" w:themeColor="text1"/>
        </w:rPr>
        <w:t xml:space="preserve"> in any form or media (i.e., electronic, paper, or oral).</w:t>
      </w:r>
      <w:r w:rsidR="00D770C9">
        <w:rPr>
          <w:rStyle w:val="FootnoteReference"/>
          <w:rFonts w:ascii="Calibri Light" w:eastAsia="Times New Roman" w:hAnsi="Calibri Light" w:cs="Calibri Light"/>
          <w:color w:val="000000" w:themeColor="text1"/>
        </w:rPr>
        <w:footnoteReference w:id="24"/>
      </w:r>
      <w:r w:rsidRPr="00BA55BB">
        <w:rPr>
          <w:rFonts w:ascii="Calibri Light" w:eastAsia="Times New Roman" w:hAnsi="Calibri Light" w:cs="Calibri Light"/>
          <w:color w:val="000000" w:themeColor="text1"/>
        </w:rPr>
        <w:t xml:space="preserve"> Thus, t</w:t>
      </w:r>
      <w:r w:rsidRPr="00BA55BB">
        <w:rPr>
          <w:rFonts w:ascii="Calibri Light" w:eastAsia="Times New Roman" w:hAnsi="Calibri Light" w:cs="Calibri Light"/>
        </w:rPr>
        <w:t xml:space="preserve">he Privacy Rule can apply to healthcare providers or other entities that supply information to public health agencies. </w:t>
      </w:r>
      <w:r w:rsidR="00846389">
        <w:rPr>
          <w:rFonts w:ascii="Calibri Light" w:eastAsia="Times New Roman" w:hAnsi="Calibri Light" w:cs="Calibri Light"/>
        </w:rPr>
        <w:t>Additionally, d</w:t>
      </w:r>
      <w:r w:rsidRPr="00BA55BB">
        <w:rPr>
          <w:rFonts w:ascii="Calibri Light" w:eastAsia="Times New Roman" w:hAnsi="Calibri Light" w:cs="Calibri Light"/>
        </w:rPr>
        <w:t xml:space="preserve">epending on a public health agency's organization and the services it provides, the Privacy </w:t>
      </w:r>
      <w:r w:rsidRPr="00BA55BB">
        <w:rPr>
          <w:rFonts w:ascii="Calibri Light" w:eastAsia="Times New Roman" w:hAnsi="Calibri Light" w:cs="Calibri Light"/>
        </w:rPr>
        <w:lastRenderedPageBreak/>
        <w:t xml:space="preserve">Rule may also apply to a public health agency—or portions of the services it provides—when it discloses </w:t>
      </w:r>
      <w:r w:rsidR="00871925">
        <w:rPr>
          <w:rFonts w:ascii="Calibri Light" w:eastAsia="Times New Roman" w:hAnsi="Calibri Light" w:cs="Calibri Light"/>
        </w:rPr>
        <w:t>PHI</w:t>
      </w:r>
      <w:r w:rsidRPr="00BA55BB">
        <w:rPr>
          <w:rFonts w:ascii="Calibri Light" w:eastAsia="Times New Roman" w:hAnsi="Calibri Light" w:cs="Calibri Light"/>
        </w:rPr>
        <w:t>.</w:t>
      </w:r>
      <w:r w:rsidR="00846389">
        <w:rPr>
          <w:rStyle w:val="FootnoteReference"/>
          <w:rFonts w:ascii="Calibri Light" w:eastAsia="Times New Roman" w:hAnsi="Calibri Light" w:cs="Calibri Light"/>
        </w:rPr>
        <w:footnoteReference w:id="25"/>
      </w:r>
      <w:r w:rsidRPr="00BA55BB">
        <w:rPr>
          <w:rFonts w:ascii="Calibri Light" w:eastAsia="Times New Roman" w:hAnsi="Calibri Light" w:cs="Calibri Light"/>
        </w:rPr>
        <w:t xml:space="preserve"> </w:t>
      </w:r>
    </w:p>
    <w:p w14:paraId="222ED811" w14:textId="2F0434CD" w:rsidR="004668BF" w:rsidRDefault="004668BF" w:rsidP="004668BF">
      <w:pPr>
        <w:spacing w:line="360" w:lineRule="auto"/>
        <w:textAlignment w:val="baseline"/>
        <w:rPr>
          <w:rFonts w:ascii="Calibri Light" w:eastAsia="Times New Roman" w:hAnsi="Calibri Light" w:cs="Calibri Light"/>
        </w:rPr>
      </w:pPr>
    </w:p>
    <w:p w14:paraId="4F6A7556" w14:textId="787FC131" w:rsidR="009E0930" w:rsidRPr="009E0930" w:rsidRDefault="009E0930" w:rsidP="004668BF">
      <w:pPr>
        <w:spacing w:line="360" w:lineRule="auto"/>
        <w:textAlignment w:val="baseline"/>
        <w:rPr>
          <w:rFonts w:ascii="Calibri Light" w:eastAsia="Times New Roman" w:hAnsi="Calibri Light" w:cs="Calibri Light"/>
          <w:i/>
          <w:iCs/>
        </w:rPr>
      </w:pPr>
      <w:r w:rsidRPr="009E0930">
        <w:rPr>
          <w:rFonts w:ascii="Calibri Light" w:eastAsia="Times New Roman" w:hAnsi="Calibri Light" w:cs="Calibri Light"/>
          <w:i/>
          <w:iCs/>
        </w:rPr>
        <w:t>HIPAA Privacy Rule Exclusions</w:t>
      </w:r>
      <w:r w:rsidR="00135487">
        <w:rPr>
          <w:rFonts w:ascii="Calibri Light" w:eastAsia="Times New Roman" w:hAnsi="Calibri Light" w:cs="Calibri Light"/>
          <w:i/>
          <w:iCs/>
        </w:rPr>
        <w:t xml:space="preserve"> and Exceptions</w:t>
      </w:r>
    </w:p>
    <w:p w14:paraId="7A23D2EC" w14:textId="64B6D50E" w:rsidR="004668BF" w:rsidRPr="00BA55BB" w:rsidRDefault="004668BF" w:rsidP="004668BF">
      <w:pPr>
        <w:spacing w:line="360" w:lineRule="auto"/>
        <w:textAlignment w:val="baseline"/>
        <w:rPr>
          <w:rFonts w:ascii="Calibri Light" w:eastAsia="Times New Roman" w:hAnsi="Calibri Light" w:cs="Calibri Light"/>
          <w:color w:val="000000" w:themeColor="text1"/>
          <w:bdr w:val="none" w:sz="0" w:space="0" w:color="auto" w:frame="1"/>
        </w:rPr>
      </w:pPr>
      <w:r w:rsidRPr="00BA55BB">
        <w:rPr>
          <w:rFonts w:ascii="Calibri Light" w:eastAsia="Times New Roman" w:hAnsi="Calibri Light" w:cs="Calibri Light"/>
        </w:rPr>
        <w:t>The Privacy Rule specifically excludes e</w:t>
      </w:r>
      <w:r w:rsidRPr="00BA55BB">
        <w:rPr>
          <w:rFonts w:ascii="Calibri Light" w:eastAsia="Times New Roman" w:hAnsi="Calibri Light" w:cs="Calibri Light"/>
          <w:color w:val="000000" w:themeColor="text1"/>
        </w:rPr>
        <w:t>mployment records maintained by a covered entity for its own employees as these are not considered to be PHI within the scope of the Privacy Rule</w:t>
      </w:r>
      <w:r w:rsidR="002E1828">
        <w:rPr>
          <w:rFonts w:ascii="Calibri Light" w:eastAsia="Times New Roman" w:hAnsi="Calibri Light" w:cs="Calibri Light"/>
          <w:color w:val="000000" w:themeColor="text1"/>
        </w:rPr>
        <w:t>. H</w:t>
      </w:r>
      <w:r w:rsidRPr="00BA55BB">
        <w:rPr>
          <w:rFonts w:ascii="Calibri Light" w:eastAsia="Times New Roman" w:hAnsi="Calibri Light" w:cs="Calibri Light"/>
          <w:color w:val="000000" w:themeColor="text1"/>
        </w:rPr>
        <w:t>owever, if the employer-covered entity maintains health records for its employees that are subject to the Privacy Rule, then these records would be PHI.</w:t>
      </w:r>
      <w:r w:rsidRPr="00BA55BB">
        <w:rPr>
          <w:rFonts w:ascii="Calibri Light" w:eastAsia="Times New Roman" w:hAnsi="Calibri Light" w:cs="Calibri Light"/>
          <w:color w:val="000000" w:themeColor="text1"/>
          <w:vertAlign w:val="superscript"/>
        </w:rPr>
        <w:footnoteReference w:id="26"/>
      </w:r>
      <w:r w:rsidRPr="00BA55BB">
        <w:rPr>
          <w:rFonts w:ascii="Calibri Light" w:eastAsia="Times New Roman" w:hAnsi="Calibri Light" w:cs="Calibri Light"/>
          <w:color w:val="000000" w:themeColor="text1"/>
        </w:rPr>
        <w:t xml:space="preserve"> </w:t>
      </w:r>
      <w:r w:rsidR="002D4086">
        <w:rPr>
          <w:rFonts w:ascii="Calibri Light" w:eastAsia="Times New Roman" w:hAnsi="Calibri Light" w:cs="Calibri Light"/>
          <w:color w:val="000000" w:themeColor="text1"/>
        </w:rPr>
        <w:t>Therefore, i</w:t>
      </w:r>
      <w:r w:rsidRPr="00BA55BB">
        <w:rPr>
          <w:rFonts w:ascii="Calibri Light" w:eastAsia="Times New Roman" w:hAnsi="Calibri Light" w:cs="Calibri Light"/>
          <w:color w:val="000000" w:themeColor="text1"/>
        </w:rPr>
        <w:t xml:space="preserve">f </w:t>
      </w:r>
      <w:r w:rsidR="00890623">
        <w:rPr>
          <w:rFonts w:ascii="Calibri Light" w:eastAsia="Times New Roman" w:hAnsi="Calibri Light" w:cs="Calibri Light"/>
          <w:color w:val="000000" w:themeColor="text1"/>
        </w:rPr>
        <w:t xml:space="preserve">a public health agency is conducting </w:t>
      </w:r>
      <w:r w:rsidRPr="00BA55BB">
        <w:rPr>
          <w:rFonts w:ascii="Calibri Light" w:eastAsia="Times New Roman" w:hAnsi="Calibri Light" w:cs="Calibri Light"/>
          <w:color w:val="000000" w:themeColor="text1"/>
        </w:rPr>
        <w:t xml:space="preserve">an LD outbreak investigation at a facility that happens to be entity covered under the HIPAA Privacy Rule (e.g., a hospital, in-patient facility, etc.), then the </w:t>
      </w:r>
      <w:r w:rsidR="00890623">
        <w:rPr>
          <w:rFonts w:ascii="Calibri Light" w:eastAsia="Times New Roman" w:hAnsi="Calibri Light" w:cs="Calibri Light"/>
          <w:color w:val="000000" w:themeColor="text1"/>
        </w:rPr>
        <w:t xml:space="preserve">facility’s </w:t>
      </w:r>
      <w:r w:rsidRPr="00BA55BB">
        <w:rPr>
          <w:rFonts w:ascii="Calibri Light" w:eastAsia="Times New Roman" w:hAnsi="Calibri Light" w:cs="Calibri Light"/>
          <w:color w:val="000000" w:themeColor="text1"/>
        </w:rPr>
        <w:t xml:space="preserve">employee records can be disclosed </w:t>
      </w:r>
      <w:r w:rsidR="00890623">
        <w:rPr>
          <w:rFonts w:ascii="Calibri Light" w:eastAsia="Times New Roman" w:hAnsi="Calibri Light" w:cs="Calibri Light"/>
          <w:color w:val="000000" w:themeColor="text1"/>
        </w:rPr>
        <w:t xml:space="preserve">to </w:t>
      </w:r>
      <w:r w:rsidRPr="00BA55BB">
        <w:rPr>
          <w:rFonts w:ascii="Calibri Light" w:eastAsia="Times New Roman" w:hAnsi="Calibri Light" w:cs="Calibri Light"/>
          <w:color w:val="000000" w:themeColor="text1"/>
        </w:rPr>
        <w:t xml:space="preserve">the agency; </w:t>
      </w:r>
      <w:r w:rsidR="006A1416">
        <w:rPr>
          <w:rFonts w:ascii="Calibri Light" w:eastAsia="Times New Roman" w:hAnsi="Calibri Light" w:cs="Calibri Light"/>
          <w:color w:val="000000" w:themeColor="text1"/>
        </w:rPr>
        <w:t xml:space="preserve">however, </w:t>
      </w:r>
      <w:r w:rsidRPr="00BA55BB">
        <w:rPr>
          <w:rFonts w:ascii="Calibri Light" w:eastAsia="Times New Roman" w:hAnsi="Calibri Light" w:cs="Calibri Light"/>
          <w:color w:val="000000" w:themeColor="text1"/>
        </w:rPr>
        <w:t xml:space="preserve">if that facility has covered health records for its employees, then the </w:t>
      </w:r>
      <w:r w:rsidR="006A1416">
        <w:rPr>
          <w:rFonts w:ascii="Calibri Light" w:eastAsia="Times New Roman" w:hAnsi="Calibri Light" w:cs="Calibri Light"/>
          <w:color w:val="000000" w:themeColor="text1"/>
        </w:rPr>
        <w:t xml:space="preserve">public health </w:t>
      </w:r>
      <w:r w:rsidRPr="00BA55BB">
        <w:rPr>
          <w:rFonts w:ascii="Calibri Light" w:eastAsia="Times New Roman" w:hAnsi="Calibri Light" w:cs="Calibri Light"/>
          <w:color w:val="000000" w:themeColor="text1"/>
        </w:rPr>
        <w:t xml:space="preserve">agency may have to refer to an exception under the Privacy Rule to gain access to the </w:t>
      </w:r>
      <w:r w:rsidR="006A1416">
        <w:rPr>
          <w:rFonts w:ascii="Calibri Light" w:eastAsia="Times New Roman" w:hAnsi="Calibri Light" w:cs="Calibri Light"/>
          <w:color w:val="000000" w:themeColor="text1"/>
        </w:rPr>
        <w:t xml:space="preserve">employees’ </w:t>
      </w:r>
      <w:r w:rsidRPr="00BA55BB">
        <w:rPr>
          <w:rFonts w:ascii="Calibri Light" w:eastAsia="Times New Roman" w:hAnsi="Calibri Light" w:cs="Calibri Light"/>
          <w:color w:val="000000" w:themeColor="text1"/>
        </w:rPr>
        <w:t>health records. The Privacy Rule also excludes education records covered by the Family Educational Rights and Privacy Act (FERPA)</w:t>
      </w:r>
      <w:r w:rsidRPr="00BA55BB">
        <w:rPr>
          <w:rFonts w:ascii="Calibri Light" w:eastAsia="Times New Roman" w:hAnsi="Calibri Light" w:cs="Calibri Light"/>
          <w:color w:val="000000" w:themeColor="text1"/>
          <w:vertAlign w:val="superscript"/>
        </w:rPr>
        <w:footnoteReference w:id="27"/>
      </w:r>
      <w:r w:rsidRPr="00BA55BB">
        <w:rPr>
          <w:rFonts w:ascii="Calibri Light" w:eastAsia="Times New Roman" w:hAnsi="Calibri Light" w:cs="Calibri Light"/>
          <w:color w:val="000000" w:themeColor="text1"/>
        </w:rPr>
        <w:t xml:space="preserve"> from the definition of PHI.</w:t>
      </w:r>
      <w:r w:rsidRPr="00BA55BB">
        <w:rPr>
          <w:rFonts w:ascii="Calibri Light" w:eastAsia="Times New Roman" w:hAnsi="Calibri Light" w:cs="Calibri Light"/>
          <w:color w:val="000000" w:themeColor="text1"/>
          <w:vertAlign w:val="superscript"/>
        </w:rPr>
        <w:footnoteReference w:id="28"/>
      </w:r>
      <w:r w:rsidRPr="00BA55BB">
        <w:rPr>
          <w:rFonts w:ascii="Calibri Light" w:eastAsia="Times New Roman" w:hAnsi="Calibri Light" w:cs="Calibri Light"/>
          <w:color w:val="000000" w:themeColor="text1"/>
        </w:rPr>
        <w:t xml:space="preserve"> </w:t>
      </w:r>
      <w:r w:rsidR="001D4863" w:rsidRPr="00BA55BB">
        <w:rPr>
          <w:rFonts w:ascii="Calibri Light" w:eastAsia="Times New Roman" w:hAnsi="Calibri Light" w:cs="Calibri Light"/>
          <w:color w:val="000000" w:themeColor="text1"/>
        </w:rPr>
        <w:t>As A Result</w:t>
      </w:r>
      <w:r w:rsidRPr="00BA55BB">
        <w:rPr>
          <w:rFonts w:ascii="Calibri Light" w:eastAsia="Times New Roman" w:hAnsi="Calibri Light" w:cs="Calibri Light"/>
          <w:color w:val="000000" w:themeColor="text1"/>
        </w:rPr>
        <w:t>, a student’s health record would not be subject to the provisions of the Privacy Rule since it is not considered to be PHI.</w:t>
      </w:r>
      <w:bookmarkStart w:id="1" w:name="_Hlk48401609"/>
      <w:r w:rsidRPr="00BA55BB">
        <w:rPr>
          <w:rFonts w:ascii="Calibri Light" w:eastAsia="Times New Roman" w:hAnsi="Calibri Light" w:cs="Calibri Light"/>
          <w:color w:val="000000" w:themeColor="text1"/>
          <w:vertAlign w:val="superscript"/>
        </w:rPr>
        <w:footnoteReference w:id="29"/>
      </w:r>
      <w:bookmarkEnd w:id="1"/>
      <w:r w:rsidRPr="00BA55BB">
        <w:rPr>
          <w:rFonts w:ascii="Calibri Light" w:eastAsia="Times New Roman" w:hAnsi="Calibri Light" w:cs="Calibri Light"/>
          <w:color w:val="000000" w:themeColor="text1"/>
        </w:rPr>
        <w:t xml:space="preserve"> However, as will discussed in the FERPA section below, students’ health records—if the school maintains them—are included in the definition of “education record” and therefore cannot be disclosed without prior consent or under an exception </w:t>
      </w:r>
      <w:r w:rsidR="00A80266">
        <w:rPr>
          <w:rFonts w:ascii="Calibri Light" w:eastAsia="Times New Roman" w:hAnsi="Calibri Light" w:cs="Calibri Light"/>
          <w:color w:val="000000" w:themeColor="text1"/>
        </w:rPr>
        <w:t>in FERPA</w:t>
      </w:r>
      <w:r w:rsidRPr="00BA55BB">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vertAlign w:val="superscript"/>
        </w:rPr>
        <w:footnoteReference w:id="30"/>
      </w:r>
      <w:r w:rsidRPr="00BA55BB">
        <w:rPr>
          <w:rFonts w:ascii="Calibri Light" w:eastAsia="Times New Roman" w:hAnsi="Calibri Light" w:cs="Calibri Light"/>
          <w:color w:val="000000" w:themeColor="text1"/>
        </w:rPr>
        <w:t xml:space="preserve"> </w:t>
      </w:r>
    </w:p>
    <w:p w14:paraId="4B5FA444" w14:textId="77777777" w:rsidR="004668BF" w:rsidRPr="00BA55BB" w:rsidRDefault="004668BF" w:rsidP="004668BF">
      <w:pPr>
        <w:spacing w:line="360" w:lineRule="auto"/>
        <w:rPr>
          <w:rFonts w:ascii="Calibri Light" w:eastAsia="Times New Roman" w:hAnsi="Calibri Light" w:cs="Calibri Light"/>
        </w:rPr>
      </w:pPr>
    </w:p>
    <w:p w14:paraId="2F2D9A59" w14:textId="5602C2DD" w:rsidR="004668BF" w:rsidRPr="00BA55BB" w:rsidRDefault="004668BF" w:rsidP="004668BF">
      <w:pPr>
        <w:spacing w:after="120" w:line="360" w:lineRule="auto"/>
        <w:rPr>
          <w:rFonts w:ascii="Calibri Light" w:eastAsia="Times New Roman" w:hAnsi="Calibri Light" w:cs="Calibri Light"/>
          <w:b/>
          <w:bCs/>
        </w:rPr>
      </w:pPr>
      <w:r w:rsidRPr="00BA55BB">
        <w:rPr>
          <w:rFonts w:ascii="Calibri Light" w:eastAsia="Times New Roman" w:hAnsi="Calibri Light" w:cs="Calibri Light"/>
        </w:rPr>
        <w:t xml:space="preserve">Despite its general prohibitions against sharing PHI, it is important to note that the Privacy Rule is not intended to interfere with public health functions. The rule contains multiple </w:t>
      </w:r>
      <w:r w:rsidR="00135487">
        <w:rPr>
          <w:rFonts w:ascii="Calibri Light" w:eastAsia="Times New Roman" w:hAnsi="Calibri Light" w:cs="Calibri Light"/>
        </w:rPr>
        <w:t xml:space="preserve">exclusions </w:t>
      </w:r>
      <w:r w:rsidRPr="00BA55BB">
        <w:rPr>
          <w:rFonts w:ascii="Calibri Light" w:eastAsia="Times New Roman" w:hAnsi="Calibri Light" w:cs="Calibri Light"/>
        </w:rPr>
        <w:t xml:space="preserve">that allow public </w:t>
      </w:r>
      <w:r w:rsidRPr="00BA55BB">
        <w:rPr>
          <w:rFonts w:ascii="Calibri Light" w:eastAsia="Times New Roman" w:hAnsi="Calibri Light" w:cs="Calibri Light"/>
        </w:rPr>
        <w:lastRenderedPageBreak/>
        <w:t xml:space="preserve">health agencies (or others) to collect, use, and disclose </w:t>
      </w:r>
      <w:r w:rsidR="000E0605">
        <w:rPr>
          <w:rFonts w:ascii="Calibri Light" w:eastAsia="Times New Roman" w:hAnsi="Calibri Light" w:cs="Calibri Light"/>
        </w:rPr>
        <w:t xml:space="preserve">PHI </w:t>
      </w:r>
      <w:r w:rsidRPr="00BA55BB">
        <w:rPr>
          <w:rFonts w:ascii="Calibri Light" w:eastAsia="Times New Roman" w:hAnsi="Calibri Light" w:cs="Calibri Light"/>
        </w:rPr>
        <w:t>without an individual’s authorization.</w:t>
      </w:r>
      <w:r w:rsidRPr="00BA55BB">
        <w:rPr>
          <w:rFonts w:ascii="Calibri Light" w:eastAsia="Times New Roman" w:hAnsi="Calibri Light" w:cs="Calibri Light"/>
          <w:color w:val="000000" w:themeColor="text1"/>
          <w:vertAlign w:val="superscript"/>
        </w:rPr>
        <w:footnoteReference w:id="31"/>
      </w:r>
      <w:r w:rsidRPr="00BA55BB">
        <w:rPr>
          <w:rFonts w:ascii="Calibri Light" w:eastAsia="Times New Roman" w:hAnsi="Calibri Light" w:cs="Calibri Light"/>
        </w:rPr>
        <w:t xml:space="preserve">  Releases can be made as follows, but are not limited to these circumstances</w:t>
      </w:r>
      <w:r w:rsidRPr="00BA55BB">
        <w:rPr>
          <w:rFonts w:ascii="Calibri Light" w:eastAsia="Times New Roman" w:hAnsi="Calibri Light" w:cs="Calibri Light"/>
          <w:vertAlign w:val="superscript"/>
        </w:rPr>
        <w:footnoteReference w:id="32"/>
      </w:r>
      <w:r w:rsidRPr="00BA55BB">
        <w:rPr>
          <w:rFonts w:ascii="Calibri Light" w:eastAsia="Times New Roman" w:hAnsi="Calibri Light" w:cs="Calibri Light"/>
        </w:rPr>
        <w:t>:</w:t>
      </w:r>
    </w:p>
    <w:p w14:paraId="0387136A" w14:textId="77777777" w:rsidR="004668BF" w:rsidRPr="00BA55BB" w:rsidRDefault="004668BF" w:rsidP="004668BF">
      <w:pPr>
        <w:numPr>
          <w:ilvl w:val="0"/>
          <w:numId w:val="5"/>
        </w:numPr>
        <w:spacing w:after="120" w:line="360" w:lineRule="auto"/>
        <w:textAlignment w:val="baseline"/>
        <w:rPr>
          <w:rFonts w:ascii="Calibri Light" w:eastAsia="Times New Roman" w:hAnsi="Calibri Light" w:cs="Calibri Light"/>
          <w:color w:val="000000" w:themeColor="text1"/>
        </w:rPr>
      </w:pPr>
      <w:r w:rsidRPr="00AA1881">
        <w:rPr>
          <w:rFonts w:ascii="Calibri Light" w:eastAsia="Times New Roman" w:hAnsi="Calibri Light" w:cs="Calibri Light"/>
          <w:i/>
          <w:color w:val="000000" w:themeColor="text1"/>
        </w:rPr>
        <w:t>To the individual</w:t>
      </w:r>
      <w:r w:rsidRPr="00AA1881">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rPr>
        <w:t>To the person who is the subject of the PHI (or their representative).</w:t>
      </w:r>
      <w:r w:rsidRPr="00BA55BB">
        <w:rPr>
          <w:rFonts w:ascii="Calibri Light" w:eastAsia="Times New Roman" w:hAnsi="Calibri Light" w:cs="Calibri Light"/>
          <w:color w:val="000000" w:themeColor="text1"/>
          <w:vertAlign w:val="superscript"/>
        </w:rPr>
        <w:footnoteReference w:id="33"/>
      </w:r>
    </w:p>
    <w:p w14:paraId="70007D21" w14:textId="77777777" w:rsidR="004668BF" w:rsidRPr="00BA55BB" w:rsidRDefault="004668BF" w:rsidP="004668BF">
      <w:pPr>
        <w:numPr>
          <w:ilvl w:val="0"/>
          <w:numId w:val="5"/>
        </w:numPr>
        <w:spacing w:after="120" w:line="360" w:lineRule="auto"/>
        <w:textAlignment w:val="baseline"/>
        <w:rPr>
          <w:rFonts w:ascii="Calibri Light" w:eastAsia="Times New Roman" w:hAnsi="Calibri Light" w:cs="Calibri Light"/>
          <w:color w:val="000000" w:themeColor="text1"/>
        </w:rPr>
      </w:pPr>
      <w:r w:rsidRPr="00AA1881">
        <w:rPr>
          <w:rFonts w:ascii="Calibri Light" w:eastAsia="Times New Roman" w:hAnsi="Calibri Light" w:cs="Calibri Light"/>
          <w:i/>
          <w:color w:val="000000" w:themeColor="text1"/>
        </w:rPr>
        <w:t>For treatment, payment, and healthcare operations</w:t>
      </w:r>
      <w:r w:rsidRPr="00AA1881">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rPr>
        <w:t>A covered entity is allowed to use PHI for its own treatment, payment, and “healthcare operations”.</w:t>
      </w:r>
      <w:r w:rsidRPr="00BA55BB">
        <w:rPr>
          <w:rFonts w:ascii="Calibri Light" w:eastAsia="Times New Roman" w:hAnsi="Calibri Light" w:cs="Calibri Light"/>
          <w:color w:val="000000" w:themeColor="text1"/>
          <w:vertAlign w:val="superscript"/>
        </w:rPr>
        <w:footnoteReference w:id="34"/>
      </w:r>
      <w:r w:rsidRPr="00BA55BB">
        <w:rPr>
          <w:rFonts w:ascii="Calibri Light" w:eastAsia="Times New Roman" w:hAnsi="Calibri Light" w:cs="Calibri Light"/>
          <w:color w:val="000000" w:themeColor="text1"/>
        </w:rPr>
        <w:t xml:space="preserve"> HHS defines “health care operations” as “certain administrative, financial, legal, and quality improvement activities of a covered entity that are necessary to run its business and to support the core functions of treatment and payment.”</w:t>
      </w:r>
      <w:r w:rsidRPr="00BA55BB">
        <w:rPr>
          <w:rFonts w:ascii="Calibri Light" w:eastAsia="Times New Roman" w:hAnsi="Calibri Light" w:cs="Calibri Light"/>
          <w:color w:val="000000" w:themeColor="text1"/>
          <w:vertAlign w:val="superscript"/>
        </w:rPr>
        <w:footnoteReference w:id="35"/>
      </w:r>
      <w:r w:rsidRPr="00BA55BB">
        <w:rPr>
          <w:rFonts w:ascii="Calibri Light" w:eastAsia="Times New Roman" w:hAnsi="Calibri Light" w:cs="Calibri Light"/>
          <w:color w:val="000000" w:themeColor="text1"/>
        </w:rPr>
        <w:t xml:space="preserve">  </w:t>
      </w:r>
    </w:p>
    <w:p w14:paraId="5DCD60F5" w14:textId="315FB3F9" w:rsidR="004668BF" w:rsidRPr="00BA55BB" w:rsidRDefault="004668BF" w:rsidP="004668BF">
      <w:pPr>
        <w:numPr>
          <w:ilvl w:val="0"/>
          <w:numId w:val="5"/>
        </w:numPr>
        <w:spacing w:after="120" w:line="360" w:lineRule="auto"/>
        <w:textAlignment w:val="baseline"/>
        <w:rPr>
          <w:rFonts w:ascii="Calibri Light" w:eastAsia="Times New Roman" w:hAnsi="Calibri Light" w:cs="Calibri Light"/>
          <w:color w:val="000000" w:themeColor="text1"/>
        </w:rPr>
      </w:pPr>
      <w:r w:rsidRPr="00AA1881">
        <w:rPr>
          <w:rFonts w:ascii="Calibri Light" w:eastAsia="Times New Roman" w:hAnsi="Calibri Light" w:cs="Calibri Light"/>
          <w:i/>
          <w:color w:val="000000" w:themeColor="text1"/>
        </w:rPr>
        <w:t>Use of limited data sets</w:t>
      </w:r>
      <w:r w:rsidRPr="00AA1881">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rPr>
        <w:t xml:space="preserve">The use or disclosure of limited data sets (LDS) for the purposes of research, public health, or healthcare operations are allowed so long as </w:t>
      </w:r>
      <w:r w:rsidR="005377E9">
        <w:rPr>
          <w:rFonts w:ascii="Calibri Light" w:eastAsia="Times New Roman" w:hAnsi="Calibri Light" w:cs="Calibri Light"/>
          <w:color w:val="000000" w:themeColor="text1"/>
        </w:rPr>
        <w:t xml:space="preserve">the </w:t>
      </w:r>
      <w:r w:rsidRPr="00BA55BB">
        <w:rPr>
          <w:rFonts w:ascii="Calibri Light" w:eastAsia="Times New Roman" w:hAnsi="Calibri Light" w:cs="Calibri Light"/>
          <w:color w:val="000000" w:themeColor="text1"/>
        </w:rPr>
        <w:t xml:space="preserve">users </w:t>
      </w:r>
      <w:r w:rsidR="005377E9">
        <w:rPr>
          <w:rFonts w:ascii="Calibri Light" w:eastAsia="Times New Roman" w:hAnsi="Calibri Light" w:cs="Calibri Light"/>
          <w:color w:val="000000" w:themeColor="text1"/>
        </w:rPr>
        <w:t xml:space="preserve">of an LDS </w:t>
      </w:r>
      <w:r w:rsidRPr="00BA55BB">
        <w:rPr>
          <w:rFonts w:ascii="Calibri Light" w:eastAsia="Times New Roman" w:hAnsi="Calibri Light" w:cs="Calibri Light"/>
          <w:color w:val="000000" w:themeColor="text1"/>
        </w:rPr>
        <w:t>have entered into a data protection agreement to protect PHI.</w:t>
      </w:r>
      <w:r w:rsidRPr="00BA55BB">
        <w:rPr>
          <w:rFonts w:ascii="Calibri Light" w:eastAsia="Times New Roman" w:hAnsi="Calibri Light" w:cs="Calibri Light"/>
          <w:color w:val="000000" w:themeColor="text1"/>
          <w:vertAlign w:val="superscript"/>
        </w:rPr>
        <w:footnoteReference w:id="36"/>
      </w:r>
      <w:r w:rsidRPr="00BA55BB">
        <w:rPr>
          <w:rFonts w:ascii="Calibri Light" w:eastAsia="Times New Roman" w:hAnsi="Calibri Light" w:cs="Calibri Light"/>
          <w:color w:val="000000" w:themeColor="text1"/>
        </w:rPr>
        <w:t xml:space="preserve"> An LDS differs from de-identified data in that an LDS still contains some PHI. While the rule identifies LDS as data in which </w:t>
      </w:r>
      <w:r w:rsidR="00D3723C">
        <w:rPr>
          <w:rFonts w:ascii="Calibri Light" w:eastAsia="Times New Roman" w:hAnsi="Calibri Light" w:cs="Calibri Light"/>
          <w:color w:val="000000" w:themeColor="text1"/>
        </w:rPr>
        <w:t>specific</w:t>
      </w:r>
      <w:r w:rsidRPr="00BA55BB">
        <w:rPr>
          <w:rFonts w:ascii="Calibri Light" w:eastAsia="Times New Roman" w:hAnsi="Calibri Light" w:cs="Calibri Light"/>
          <w:color w:val="000000" w:themeColor="text1"/>
        </w:rPr>
        <w:t xml:space="preserve"> categories of identifiers about persons or their households have been removed, LDS can include identifiers like city, state, ZIP code, and elements of the date.</w:t>
      </w:r>
      <w:r w:rsidRPr="00BA55BB">
        <w:rPr>
          <w:rFonts w:ascii="Calibri Light" w:eastAsia="Times New Roman" w:hAnsi="Calibri Light" w:cs="Calibri Light"/>
          <w:color w:val="000000" w:themeColor="text1"/>
          <w:vertAlign w:val="superscript"/>
        </w:rPr>
        <w:footnoteReference w:id="37"/>
      </w:r>
      <w:r w:rsidRPr="00BA55BB">
        <w:rPr>
          <w:rFonts w:ascii="Calibri Light" w:eastAsia="Times New Roman" w:hAnsi="Calibri Light" w:cs="Calibri Light"/>
          <w:color w:val="000000" w:themeColor="text1"/>
          <w:bdr w:val="none" w:sz="0" w:space="0" w:color="auto" w:frame="1"/>
        </w:rPr>
        <w:t xml:space="preserve"> </w:t>
      </w:r>
    </w:p>
    <w:p w14:paraId="2B0D8E84" w14:textId="0BE36EEB" w:rsidR="004668BF" w:rsidRPr="00BA55BB" w:rsidRDefault="004668BF" w:rsidP="00A531E2">
      <w:pPr>
        <w:numPr>
          <w:ilvl w:val="0"/>
          <w:numId w:val="5"/>
        </w:numPr>
        <w:spacing w:after="120" w:line="360" w:lineRule="auto"/>
        <w:textAlignment w:val="baseline"/>
        <w:rPr>
          <w:rFonts w:ascii="Calibri Light" w:eastAsia="Times New Roman" w:hAnsi="Calibri Light" w:cs="Calibri Light"/>
          <w:color w:val="000000" w:themeColor="text1"/>
        </w:rPr>
      </w:pPr>
      <w:r w:rsidRPr="00AD4D25">
        <w:rPr>
          <w:rFonts w:ascii="Calibri Light" w:eastAsia="Times New Roman" w:hAnsi="Calibri Light" w:cs="Calibri Light"/>
          <w:i/>
          <w:color w:val="000000" w:themeColor="text1"/>
        </w:rPr>
        <w:t>Public interest and benefit activities—</w:t>
      </w:r>
      <w:r w:rsidRPr="00BA55BB">
        <w:rPr>
          <w:rFonts w:ascii="Calibri Light" w:eastAsia="Times New Roman" w:hAnsi="Calibri Light" w:cs="Calibri Light"/>
          <w:color w:val="000000" w:themeColor="text1"/>
        </w:rPr>
        <w:t xml:space="preserve">The Privacy Rule permits use and disclosure of PHI without an individual’s authorization for specific public purposes </w:t>
      </w:r>
      <w:r w:rsidR="00AA3AA4">
        <w:rPr>
          <w:rFonts w:ascii="Calibri Light" w:eastAsia="Times New Roman" w:hAnsi="Calibri Light" w:cs="Calibri Light"/>
          <w:color w:val="000000" w:themeColor="text1"/>
        </w:rPr>
        <w:t>that</w:t>
      </w:r>
      <w:r w:rsidRPr="00BA55BB">
        <w:rPr>
          <w:rFonts w:ascii="Calibri Light" w:eastAsia="Times New Roman" w:hAnsi="Calibri Light" w:cs="Calibri Light"/>
          <w:color w:val="000000" w:themeColor="text1"/>
        </w:rPr>
        <w:t xml:space="preserve"> acknowledge the important uses for health information beyond the healthcare setting. The rule allows, but does not require, disclosures for a dozen </w:t>
      </w:r>
      <w:r w:rsidR="00AA3AA4">
        <w:rPr>
          <w:rFonts w:ascii="Calibri Light" w:eastAsia="Times New Roman" w:hAnsi="Calibri Light" w:cs="Calibri Light"/>
          <w:color w:val="000000" w:themeColor="text1"/>
        </w:rPr>
        <w:t xml:space="preserve">identified </w:t>
      </w:r>
      <w:r w:rsidR="001C2A3D">
        <w:rPr>
          <w:rFonts w:ascii="Calibri Light" w:eastAsia="Times New Roman" w:hAnsi="Calibri Light" w:cs="Calibri Light"/>
          <w:color w:val="000000" w:themeColor="text1"/>
        </w:rPr>
        <w:t xml:space="preserve">public </w:t>
      </w:r>
      <w:r w:rsidRPr="00BA55BB">
        <w:rPr>
          <w:rFonts w:ascii="Calibri Light" w:eastAsia="Times New Roman" w:hAnsi="Calibri Light" w:cs="Calibri Light"/>
          <w:color w:val="000000" w:themeColor="text1"/>
        </w:rPr>
        <w:t>purposes.</w:t>
      </w:r>
      <w:r w:rsidRPr="00BA55BB">
        <w:rPr>
          <w:rFonts w:ascii="Calibri Light" w:eastAsia="Times New Roman" w:hAnsi="Calibri Light" w:cs="Calibri Light"/>
          <w:color w:val="000000" w:themeColor="text1"/>
          <w:vertAlign w:val="superscript"/>
        </w:rPr>
        <w:footnoteReference w:id="38"/>
      </w:r>
      <w:r w:rsidRPr="00BA55BB">
        <w:rPr>
          <w:rFonts w:ascii="Calibri Light" w:eastAsia="Times New Roman" w:hAnsi="Calibri Light" w:cs="Calibri Light"/>
          <w:color w:val="000000" w:themeColor="text1"/>
        </w:rPr>
        <w:t xml:space="preserve">  Those most relevant to public health agencies are</w:t>
      </w:r>
      <w:r w:rsidR="003D5370">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rPr>
        <w:t xml:space="preserve"> </w:t>
      </w:r>
    </w:p>
    <w:p w14:paraId="42212CEE" w14:textId="77777777" w:rsidR="004668BF" w:rsidRPr="00BA55BB" w:rsidRDefault="004668BF" w:rsidP="00A531E2">
      <w:pPr>
        <w:numPr>
          <w:ilvl w:val="0"/>
          <w:numId w:val="6"/>
        </w:numPr>
        <w:tabs>
          <w:tab w:val="num" w:pos="720"/>
        </w:tabs>
        <w:spacing w:after="120" w:line="360" w:lineRule="auto"/>
        <w:rPr>
          <w:rFonts w:ascii="Calibri Light" w:eastAsia="Times New Roman" w:hAnsi="Calibri Light" w:cs="Calibri Light"/>
          <w:color w:val="000000" w:themeColor="text1"/>
        </w:rPr>
      </w:pPr>
      <w:r w:rsidRPr="003D5370">
        <w:rPr>
          <w:rFonts w:ascii="Calibri Light" w:eastAsia="Times New Roman" w:hAnsi="Calibri Light" w:cs="Calibri Light"/>
          <w:i/>
          <w:iCs/>
          <w:color w:val="000000" w:themeColor="text1"/>
        </w:rPr>
        <w:lastRenderedPageBreak/>
        <w:t>Required by law—</w:t>
      </w:r>
      <w:r w:rsidRPr="00BA55BB">
        <w:rPr>
          <w:rFonts w:ascii="Calibri Light" w:eastAsia="Times New Roman" w:hAnsi="Calibri Light" w:cs="Calibri Light"/>
          <w:color w:val="000000" w:themeColor="text1"/>
        </w:rPr>
        <w:t>Covered entities may use and disclose PHI without an individual’s authorization if the use or disclosure is required under a statute, regulation, or court order.</w:t>
      </w:r>
      <w:r w:rsidRPr="00BA55BB">
        <w:rPr>
          <w:rFonts w:ascii="Calibri Light" w:eastAsia="Times New Roman" w:hAnsi="Calibri Light" w:cs="Calibri Light"/>
          <w:color w:val="000000" w:themeColor="text1"/>
          <w:vertAlign w:val="superscript"/>
        </w:rPr>
        <w:footnoteReference w:id="39"/>
      </w:r>
    </w:p>
    <w:p w14:paraId="0DC56B2C" w14:textId="287BEAF1" w:rsidR="004668BF" w:rsidRPr="00BA55BB" w:rsidRDefault="004668BF" w:rsidP="00A531E2">
      <w:pPr>
        <w:numPr>
          <w:ilvl w:val="0"/>
          <w:numId w:val="6"/>
        </w:numPr>
        <w:tabs>
          <w:tab w:val="num" w:pos="720"/>
        </w:tabs>
        <w:spacing w:after="120" w:line="360" w:lineRule="auto"/>
        <w:rPr>
          <w:rFonts w:ascii="Calibri Light" w:eastAsia="Times New Roman" w:hAnsi="Calibri Light" w:cs="Calibri Light"/>
          <w:color w:val="000000" w:themeColor="text1"/>
        </w:rPr>
      </w:pPr>
      <w:r w:rsidRPr="003D5370">
        <w:rPr>
          <w:rFonts w:ascii="Calibri Light" w:eastAsia="Times New Roman" w:hAnsi="Calibri Light" w:cs="Calibri Light"/>
          <w:i/>
          <w:color w:val="000000" w:themeColor="text1"/>
        </w:rPr>
        <w:t>Public health activities—</w:t>
      </w:r>
      <w:r w:rsidRPr="00BA55BB">
        <w:rPr>
          <w:rFonts w:ascii="Calibri Light" w:eastAsia="Times New Roman" w:hAnsi="Calibri Light" w:cs="Calibri Light"/>
          <w:color w:val="000000" w:themeColor="text1"/>
        </w:rPr>
        <w:t>Covered entities are allowed to disclose PHI for multiple public health activities identified in the rule, including: (1) disclosures to public health officials authorized by law to collect or receive PHI for preventing or controlling disease, injury, or disability; (2) to</w:t>
      </w:r>
      <w:r w:rsidRPr="00BA55BB">
        <w:rPr>
          <w:rFonts w:ascii="Calibri Light" w:eastAsia="Calibri" w:hAnsi="Calibri Light" w:cs="Calibri Light"/>
        </w:rPr>
        <w:t xml:space="preserve"> </w:t>
      </w:r>
      <w:r w:rsidRPr="00BA55BB">
        <w:rPr>
          <w:rFonts w:ascii="Calibri Light" w:eastAsia="Times New Roman" w:hAnsi="Calibri Light" w:cs="Calibri Light"/>
          <w:color w:val="000000" w:themeColor="text1"/>
        </w:rPr>
        <w:t xml:space="preserve">persons who may have contracted or been exposed to a communicable disease when notification is authorized by law; or (3) to employers who request information about their employees’ work-related illnesses or injuries or workplace-related medical surveillance data when necessary to comply with </w:t>
      </w:r>
      <w:r w:rsidR="00101239">
        <w:rPr>
          <w:rFonts w:ascii="Calibri Light" w:eastAsia="Times New Roman" w:hAnsi="Calibri Light" w:cs="Calibri Light"/>
          <w:color w:val="000000" w:themeColor="text1"/>
        </w:rPr>
        <w:t xml:space="preserve">federal </w:t>
      </w:r>
      <w:r w:rsidRPr="00BA55BB">
        <w:rPr>
          <w:rFonts w:ascii="Calibri Light" w:eastAsia="Times New Roman" w:hAnsi="Calibri Light" w:cs="Calibri Light"/>
          <w:color w:val="000000" w:themeColor="text1"/>
        </w:rPr>
        <w:t>Occupational Safety and Health Administration (OSHA)</w:t>
      </w:r>
      <w:r w:rsidR="00101239">
        <w:rPr>
          <w:rFonts w:ascii="Calibri Light" w:eastAsia="Times New Roman" w:hAnsi="Calibri Light" w:cs="Calibri Light"/>
          <w:color w:val="000000" w:themeColor="text1"/>
        </w:rPr>
        <w:t xml:space="preserve"> or </w:t>
      </w:r>
      <w:r w:rsidRPr="00BA55BB">
        <w:rPr>
          <w:rFonts w:ascii="Calibri Light" w:eastAsia="Times New Roman" w:hAnsi="Calibri Light" w:cs="Calibri Light"/>
          <w:color w:val="000000" w:themeColor="text1"/>
        </w:rPr>
        <w:t>Mine Safety and Health Administration (MSHA)</w:t>
      </w:r>
      <w:r w:rsidR="00101239">
        <w:rPr>
          <w:rFonts w:ascii="Calibri Light" w:eastAsia="Times New Roman" w:hAnsi="Calibri Light" w:cs="Calibri Light"/>
          <w:color w:val="000000" w:themeColor="text1"/>
        </w:rPr>
        <w:t xml:space="preserve"> requirements</w:t>
      </w:r>
      <w:r w:rsidRPr="00BA55BB">
        <w:rPr>
          <w:rFonts w:ascii="Calibri Light" w:eastAsia="Times New Roman" w:hAnsi="Calibri Light" w:cs="Calibri Light"/>
          <w:color w:val="000000" w:themeColor="text1"/>
        </w:rPr>
        <w:t xml:space="preserve">, or similar state </w:t>
      </w:r>
      <w:r w:rsidR="00101239">
        <w:rPr>
          <w:rFonts w:ascii="Calibri Light" w:eastAsia="Times New Roman" w:hAnsi="Calibri Light" w:cs="Calibri Light"/>
          <w:color w:val="000000" w:themeColor="text1"/>
        </w:rPr>
        <w:t>laws</w:t>
      </w:r>
      <w:r w:rsidRPr="00BA55BB">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vertAlign w:val="superscript"/>
        </w:rPr>
        <w:footnoteReference w:id="40"/>
      </w:r>
      <w:r w:rsidRPr="00BA55BB">
        <w:rPr>
          <w:rFonts w:ascii="Calibri Light" w:eastAsia="Times New Roman" w:hAnsi="Calibri Light" w:cs="Calibri Light"/>
          <w:color w:val="000000" w:themeColor="text1"/>
        </w:rPr>
        <w:t xml:space="preserve"> </w:t>
      </w:r>
    </w:p>
    <w:p w14:paraId="69AD401D" w14:textId="55D6489C" w:rsidR="004668BF" w:rsidRPr="00BA55BB" w:rsidRDefault="004668BF" w:rsidP="00A531E2">
      <w:pPr>
        <w:numPr>
          <w:ilvl w:val="0"/>
          <w:numId w:val="6"/>
        </w:numPr>
        <w:spacing w:after="120" w:line="360" w:lineRule="auto"/>
        <w:rPr>
          <w:rFonts w:ascii="Calibri Light" w:eastAsia="Times New Roman" w:hAnsi="Calibri Light" w:cs="Calibri Light"/>
          <w:b/>
          <w:bCs/>
          <w:color w:val="000000" w:themeColor="text1"/>
        </w:rPr>
      </w:pPr>
      <w:r w:rsidRPr="00193BA7">
        <w:rPr>
          <w:rFonts w:ascii="Calibri Light" w:eastAsia="Times New Roman" w:hAnsi="Calibri Light" w:cs="Calibri Light"/>
          <w:i/>
          <w:iCs/>
          <w:color w:val="000000" w:themeColor="text1"/>
        </w:rPr>
        <w:t xml:space="preserve">Law </w:t>
      </w:r>
      <w:r w:rsidR="00A531E2" w:rsidRPr="00193BA7">
        <w:rPr>
          <w:rFonts w:ascii="Calibri Light" w:eastAsia="Times New Roman" w:hAnsi="Calibri Light" w:cs="Calibri Light"/>
          <w:i/>
          <w:iCs/>
          <w:color w:val="000000" w:themeColor="text1"/>
        </w:rPr>
        <w:t>e</w:t>
      </w:r>
      <w:r w:rsidRPr="00193BA7">
        <w:rPr>
          <w:rFonts w:ascii="Calibri Light" w:eastAsia="Times New Roman" w:hAnsi="Calibri Light" w:cs="Calibri Light"/>
          <w:i/>
          <w:iCs/>
          <w:color w:val="000000" w:themeColor="text1"/>
        </w:rPr>
        <w:t xml:space="preserve">nforcement </w:t>
      </w:r>
      <w:r w:rsidR="00A531E2" w:rsidRPr="00193BA7">
        <w:rPr>
          <w:rFonts w:ascii="Calibri Light" w:eastAsia="Times New Roman" w:hAnsi="Calibri Light" w:cs="Calibri Light"/>
          <w:i/>
          <w:iCs/>
          <w:color w:val="000000" w:themeColor="text1"/>
        </w:rPr>
        <w:t>p</w:t>
      </w:r>
      <w:r w:rsidRPr="00193BA7">
        <w:rPr>
          <w:rFonts w:ascii="Calibri Light" w:eastAsia="Times New Roman" w:hAnsi="Calibri Light" w:cs="Calibri Light"/>
          <w:i/>
          <w:iCs/>
          <w:color w:val="000000" w:themeColor="text1"/>
        </w:rPr>
        <w:t>urposes</w:t>
      </w:r>
      <w:r w:rsidRPr="00193BA7">
        <w:rPr>
          <w:rFonts w:ascii="Calibri Light" w:eastAsia="Times New Roman" w:hAnsi="Calibri Light" w:cs="Calibri Light"/>
          <w:color w:val="000000" w:themeColor="text1"/>
        </w:rPr>
        <w:t>—</w:t>
      </w:r>
      <w:r w:rsidRPr="00BA55BB">
        <w:rPr>
          <w:rFonts w:ascii="Calibri Light" w:eastAsia="Times New Roman" w:hAnsi="Calibri Light" w:cs="Calibri Light"/>
          <w:color w:val="000000" w:themeColor="text1"/>
        </w:rPr>
        <w:t>The Privacy Rule also permits covered entities to disclose PHI to law enforcement officials without the individual's authorization under multiple specific circumstances</w:t>
      </w:r>
      <w:r w:rsidRPr="00BA55BB">
        <w:rPr>
          <w:rFonts w:ascii="Calibri Light" w:eastAsia="Times New Roman" w:hAnsi="Calibri Light" w:cs="Calibri Light"/>
          <w:color w:val="000000" w:themeColor="text1"/>
          <w:vertAlign w:val="superscript"/>
        </w:rPr>
        <w:footnoteReference w:id="41"/>
      </w:r>
      <w:r w:rsidRPr="00BA55BB">
        <w:rPr>
          <w:rFonts w:ascii="Calibri Light" w:eastAsia="Times New Roman" w:hAnsi="Calibri Light" w:cs="Calibri Light"/>
          <w:color w:val="000000" w:themeColor="text1"/>
        </w:rPr>
        <w:t xml:space="preserve"> including to: (1) </w:t>
      </w:r>
      <w:r w:rsidRPr="00BA55BB">
        <w:rPr>
          <w:rFonts w:ascii="Calibri Light" w:eastAsia="Times New Roman" w:hAnsi="Calibri Light" w:cs="Calibri Light"/>
          <w:bdr w:val="none" w:sz="0" w:space="0" w:color="auto" w:frame="1"/>
        </w:rPr>
        <w:t>comply with a court order</w:t>
      </w:r>
      <w:r w:rsidR="00BB3C9D">
        <w:rPr>
          <w:rFonts w:ascii="Calibri Light" w:eastAsia="Times New Roman" w:hAnsi="Calibri Light" w:cs="Calibri Light"/>
          <w:bdr w:val="none" w:sz="0" w:space="0" w:color="auto" w:frame="1"/>
        </w:rPr>
        <w:t xml:space="preserve">, </w:t>
      </w:r>
      <w:r w:rsidRPr="00BA55BB">
        <w:rPr>
          <w:rFonts w:ascii="Calibri Light" w:eastAsia="Times New Roman" w:hAnsi="Calibri Light" w:cs="Calibri Light"/>
          <w:bdr w:val="none" w:sz="0" w:space="0" w:color="auto" w:frame="1"/>
        </w:rPr>
        <w:t>court-ordered warrant, a subpoena or summons issued by a judicial officer, or a grand jury subpoena</w:t>
      </w:r>
      <w:r w:rsidRPr="00BA55BB">
        <w:rPr>
          <w:rFonts w:ascii="Calibri Light" w:eastAsia="Times New Roman" w:hAnsi="Calibri Light" w:cs="Calibri Light"/>
          <w:bdr w:val="none" w:sz="0" w:space="0" w:color="auto" w:frame="1"/>
          <w:vertAlign w:val="superscript"/>
        </w:rPr>
        <w:footnoteReference w:id="42"/>
      </w:r>
      <w:r w:rsidRPr="00BA55BB">
        <w:rPr>
          <w:rFonts w:ascii="Calibri Light" w:eastAsia="Times New Roman" w:hAnsi="Calibri Light" w:cs="Calibri Light"/>
          <w:bdr w:val="none" w:sz="0" w:space="0" w:color="auto" w:frame="1"/>
        </w:rPr>
        <w:t xml:space="preserve">, and (2) respond to an administrative request like an </w:t>
      </w:r>
      <w:r w:rsidRPr="00BA55BB">
        <w:rPr>
          <w:rFonts w:ascii="Calibri Light" w:eastAsia="Times New Roman" w:hAnsi="Calibri Light" w:cs="Calibri Light"/>
        </w:rPr>
        <w:t>administrative subpoena or summons, a civil or authorized investigative demand, or similar process authorized by law.</w:t>
      </w:r>
      <w:r w:rsidRPr="00BA55BB">
        <w:rPr>
          <w:rFonts w:ascii="Calibri Light" w:eastAsia="Times New Roman" w:hAnsi="Calibri Light" w:cs="Calibri Light"/>
          <w:vertAlign w:val="superscript"/>
        </w:rPr>
        <w:footnoteReference w:id="43"/>
      </w:r>
      <w:r w:rsidRPr="00BA55BB">
        <w:rPr>
          <w:rFonts w:ascii="Calibri Light" w:eastAsia="Times New Roman" w:hAnsi="Calibri Light" w:cs="Calibri Light"/>
        </w:rPr>
        <w:t xml:space="preserve"> </w:t>
      </w:r>
      <w:r w:rsidRPr="00BA55BB">
        <w:rPr>
          <w:rFonts w:ascii="Calibri Light" w:eastAsia="Times New Roman" w:hAnsi="Calibri Light" w:cs="Calibri Light"/>
          <w:bdr w:val="none" w:sz="0" w:space="0" w:color="auto" w:frame="1"/>
        </w:rPr>
        <w:t xml:space="preserve"> </w:t>
      </w:r>
    </w:p>
    <w:p w14:paraId="36817D2A" w14:textId="77777777" w:rsidR="004668BF" w:rsidRPr="00BA55BB" w:rsidRDefault="004668BF" w:rsidP="004668BF">
      <w:pPr>
        <w:numPr>
          <w:ilvl w:val="0"/>
          <w:numId w:val="6"/>
        </w:numPr>
        <w:spacing w:line="360" w:lineRule="auto"/>
        <w:contextualSpacing/>
        <w:textAlignment w:val="baseline"/>
        <w:rPr>
          <w:rFonts w:ascii="Calibri Light" w:eastAsia="Times New Roman" w:hAnsi="Calibri Light" w:cs="Calibri Light"/>
          <w:color w:val="000000" w:themeColor="text1"/>
        </w:rPr>
      </w:pPr>
      <w:r w:rsidRPr="00B06297">
        <w:rPr>
          <w:rFonts w:ascii="Calibri Light" w:eastAsia="Times New Roman" w:hAnsi="Calibri Light" w:cs="Calibri Light"/>
          <w:i/>
          <w:color w:val="000000" w:themeColor="text1"/>
        </w:rPr>
        <w:t>Judicial and administrative proceedings—</w:t>
      </w:r>
      <w:r w:rsidRPr="00BA55BB">
        <w:rPr>
          <w:rFonts w:ascii="Calibri Light" w:eastAsia="Times New Roman" w:hAnsi="Calibri Light" w:cs="Calibri Light"/>
          <w:color w:val="000000" w:themeColor="text1"/>
        </w:rPr>
        <w:t>The Privacy Rule permits covered entities to disclose PHI in a judicial or administrative proceeding if the request for the information is through an order from a court or administrative tribunal.</w:t>
      </w:r>
      <w:r w:rsidRPr="00BA55BB">
        <w:rPr>
          <w:rFonts w:ascii="Calibri Light" w:eastAsia="Times New Roman" w:hAnsi="Calibri Light" w:cs="Calibri Light"/>
          <w:color w:val="000000" w:themeColor="text1"/>
          <w:vertAlign w:val="superscript"/>
        </w:rPr>
        <w:footnoteReference w:id="44"/>
      </w:r>
    </w:p>
    <w:p w14:paraId="20AB8BED" w14:textId="77777777" w:rsidR="004668BF" w:rsidRPr="00BA55BB" w:rsidRDefault="004668BF" w:rsidP="004668BF">
      <w:pPr>
        <w:spacing w:line="360" w:lineRule="auto"/>
        <w:textAlignment w:val="baseline"/>
        <w:rPr>
          <w:rFonts w:ascii="Calibri Light" w:eastAsia="Times New Roman" w:hAnsi="Calibri Light" w:cs="Calibri Light"/>
        </w:rPr>
      </w:pPr>
    </w:p>
    <w:p w14:paraId="6069CB16" w14:textId="5E1E9D4A" w:rsidR="00312B8A" w:rsidRPr="00312B8A" w:rsidRDefault="00312B8A" w:rsidP="004668BF">
      <w:pPr>
        <w:spacing w:line="360" w:lineRule="auto"/>
        <w:textAlignment w:val="baseline"/>
        <w:rPr>
          <w:rFonts w:ascii="Calibri Light" w:eastAsia="Times New Roman" w:hAnsi="Calibri Light" w:cs="Calibri Light"/>
          <w:i/>
          <w:iCs/>
        </w:rPr>
      </w:pPr>
      <w:r w:rsidRPr="00312B8A">
        <w:rPr>
          <w:rFonts w:ascii="Calibri Light" w:eastAsia="Times New Roman" w:hAnsi="Calibri Light" w:cs="Calibri Light"/>
          <w:i/>
          <w:iCs/>
        </w:rPr>
        <w:lastRenderedPageBreak/>
        <w:t>HIPAA Privacy Rule Enforcement</w:t>
      </w:r>
    </w:p>
    <w:p w14:paraId="7023CA80" w14:textId="2AD57217" w:rsidR="004668BF" w:rsidRPr="00BA55BB" w:rsidRDefault="004668BF" w:rsidP="004668BF">
      <w:pPr>
        <w:spacing w:line="360" w:lineRule="auto"/>
        <w:textAlignment w:val="baseline"/>
        <w:rPr>
          <w:rFonts w:ascii="Calibri" w:eastAsia="Times New Roman" w:hAnsi="Calibri" w:cs="Calibri"/>
          <w:color w:val="000000" w:themeColor="text1"/>
        </w:rPr>
      </w:pPr>
      <w:r w:rsidRPr="00BA55BB">
        <w:rPr>
          <w:rFonts w:ascii="Calibri Light" w:eastAsia="Times New Roman" w:hAnsi="Calibri Light" w:cs="Calibri Light"/>
        </w:rPr>
        <w:t xml:space="preserve">There is no private right of action for violations of the Privacy Rule; individuals cannot sue a covered entity directly for a violation but must submit a complaint to the </w:t>
      </w:r>
      <w:r w:rsidRPr="00BA55BB">
        <w:rPr>
          <w:rFonts w:ascii="Calibri Light" w:eastAsia="Times New Roman" w:hAnsi="Calibri Light" w:cs="Calibri Light"/>
          <w:color w:val="000000" w:themeColor="text1"/>
        </w:rPr>
        <w:t>HHS Office for Civil Rights (OCR). OC</w:t>
      </w:r>
      <w:r w:rsidR="000A6C74">
        <w:rPr>
          <w:rFonts w:ascii="Calibri Light" w:eastAsia="Times New Roman" w:hAnsi="Calibri Light" w:cs="Calibri Light"/>
          <w:color w:val="000000" w:themeColor="text1"/>
        </w:rPr>
        <w:t>R</w:t>
      </w:r>
      <w:r w:rsidRPr="00BA55BB">
        <w:rPr>
          <w:rFonts w:ascii="Calibri Light" w:eastAsia="Times New Roman" w:hAnsi="Calibri Light" w:cs="Calibri Light"/>
          <w:color w:val="000000" w:themeColor="text1"/>
        </w:rPr>
        <w:t xml:space="preserve"> will investigate the complaint and attempt to resolve the matter by informal means. If the matter cannot be resolved informally, the HHS Secretary may issue written findings of noncompliance that may be used as a basis for initiating a civil </w:t>
      </w:r>
      <w:r w:rsidR="00CD65CE">
        <w:rPr>
          <w:rFonts w:ascii="Calibri Light" w:eastAsia="Times New Roman" w:hAnsi="Calibri Light" w:cs="Calibri Light"/>
          <w:color w:val="000000" w:themeColor="text1"/>
        </w:rPr>
        <w:t>lawsuit</w:t>
      </w:r>
      <w:r w:rsidRPr="00BA55BB">
        <w:rPr>
          <w:rFonts w:ascii="Calibri Light" w:eastAsia="Times New Roman" w:hAnsi="Calibri Light" w:cs="Calibri Light"/>
          <w:color w:val="000000" w:themeColor="text1"/>
        </w:rPr>
        <w:t xml:space="preserve"> or a criminal referral. If a covered entity knowingly and improperly discloses PHI, it can be subject to civil monetary penalties as well as criminal monetary penalties and imprisonment.</w:t>
      </w:r>
      <w:r w:rsidRPr="00BA55BB">
        <w:rPr>
          <w:rFonts w:ascii="Calibri Light" w:eastAsia="Times New Roman" w:hAnsi="Calibri Light" w:cs="Calibri Light"/>
          <w:color w:val="000000" w:themeColor="text1"/>
          <w:vertAlign w:val="superscript"/>
        </w:rPr>
        <w:footnoteReference w:id="45"/>
      </w:r>
    </w:p>
    <w:p w14:paraId="281C94AD" w14:textId="7D687312" w:rsidR="004668BF" w:rsidRDefault="004668BF" w:rsidP="004668BF">
      <w:pPr>
        <w:spacing w:line="360" w:lineRule="auto"/>
        <w:rPr>
          <w:rFonts w:ascii="Calibri Light" w:eastAsia="Times New Roman" w:hAnsi="Calibri Light" w:cs="Calibri Light"/>
        </w:rPr>
      </w:pPr>
    </w:p>
    <w:p w14:paraId="2B138030" w14:textId="4F269235" w:rsidR="00041FA0" w:rsidRPr="00041FA0" w:rsidRDefault="00041FA0" w:rsidP="004668BF">
      <w:pPr>
        <w:spacing w:line="360" w:lineRule="auto"/>
        <w:rPr>
          <w:rFonts w:ascii="Calibri Light" w:eastAsia="Times New Roman" w:hAnsi="Calibri Light" w:cs="Calibri Light"/>
          <w:i/>
          <w:iCs/>
        </w:rPr>
      </w:pPr>
      <w:r w:rsidRPr="00041FA0">
        <w:rPr>
          <w:rFonts w:ascii="Calibri Light" w:eastAsia="Times New Roman" w:hAnsi="Calibri Light" w:cs="Calibri Light"/>
          <w:i/>
          <w:iCs/>
        </w:rPr>
        <w:t>HIPAA Privacy Rule and State Laws</w:t>
      </w:r>
    </w:p>
    <w:p w14:paraId="0E810329" w14:textId="7034CFF0" w:rsidR="004F30DD" w:rsidRDefault="004668BF" w:rsidP="00C80B40">
      <w:pPr>
        <w:spacing w:line="360" w:lineRule="auto"/>
        <w:textAlignment w:val="baseline"/>
        <w:rPr>
          <w:rFonts w:ascii="Calibri Light" w:eastAsia="Times New Roman" w:hAnsi="Calibri Light" w:cs="Calibri Light"/>
          <w:color w:val="000000" w:themeColor="text1"/>
        </w:rPr>
      </w:pPr>
      <w:r w:rsidRPr="00BA55BB">
        <w:rPr>
          <w:rFonts w:ascii="Calibri Light" w:eastAsia="Times New Roman" w:hAnsi="Calibri Light" w:cs="Calibri Light"/>
          <w:color w:val="000000" w:themeColor="text1"/>
        </w:rPr>
        <w:t>State laws or regulations that conflict with HIPAA and the Privacy Rule are preempted by federal law. However, the Privacy Rule includes exceptions that allow for different state requirements to control if a state’s law relates to one of several areas identified in the rule.</w:t>
      </w:r>
      <w:r w:rsidRPr="00BA55BB">
        <w:rPr>
          <w:rFonts w:ascii="Calibri Light" w:eastAsia="Times New Roman" w:hAnsi="Calibri Light" w:cs="Calibri Light"/>
          <w:color w:val="000000" w:themeColor="text1"/>
          <w:vertAlign w:val="superscript"/>
        </w:rPr>
        <w:footnoteReference w:id="46"/>
      </w:r>
      <w:r w:rsidRPr="00BA55BB">
        <w:rPr>
          <w:rFonts w:ascii="Calibri Light" w:eastAsia="Times New Roman" w:hAnsi="Calibri Light" w:cs="Calibri Light"/>
          <w:color w:val="000000" w:themeColor="text1"/>
        </w:rPr>
        <w:t xml:space="preserve"> State law will control over the Privacy Rule if the state law: (1) relates to the privacy of individually identifiable health information and provides greater privacy protections or rights than the Privacy Rule; (2) requires reporting of diseases or injuries, child abuse, birth, or death, and for public health surveillance, investigation, or intervention; or (3) requires certain reporting by health plans, such as for management or financial audits or evaluations.</w:t>
      </w:r>
      <w:r w:rsidRPr="00BA55BB">
        <w:rPr>
          <w:rFonts w:ascii="Calibri Light" w:eastAsia="Times New Roman" w:hAnsi="Calibri Light" w:cs="Calibri Light"/>
          <w:color w:val="000000" w:themeColor="text1"/>
          <w:vertAlign w:val="superscript"/>
        </w:rPr>
        <w:footnoteReference w:id="47"/>
      </w:r>
      <w:r w:rsidRPr="00BA55BB">
        <w:rPr>
          <w:rFonts w:ascii="Calibri Light" w:eastAsia="Times New Roman" w:hAnsi="Calibri Light" w:cs="Calibri Light"/>
          <w:color w:val="000000" w:themeColor="text1"/>
        </w:rPr>
        <w:t xml:space="preserve"> A state may also ask HHS to </w:t>
      </w:r>
      <w:r w:rsidR="00BA68CD" w:rsidRPr="00BA55BB">
        <w:rPr>
          <w:rFonts w:ascii="Calibri Light" w:eastAsia="Times New Roman" w:hAnsi="Calibri Light" w:cs="Calibri Light"/>
          <w:color w:val="000000" w:themeColor="text1"/>
        </w:rPr>
        <w:t>de</w:t>
      </w:r>
      <w:r w:rsidR="00555E26">
        <w:rPr>
          <w:rFonts w:ascii="Calibri Light" w:eastAsia="Times New Roman" w:hAnsi="Calibri Light" w:cs="Calibri Light"/>
          <w:color w:val="000000" w:themeColor="text1"/>
        </w:rPr>
        <w:t xml:space="preserve">termine </w:t>
      </w:r>
      <w:r w:rsidR="00D323CE">
        <w:rPr>
          <w:rFonts w:ascii="Calibri Light" w:eastAsia="Times New Roman" w:hAnsi="Calibri Light" w:cs="Calibri Light"/>
          <w:color w:val="000000" w:themeColor="text1"/>
        </w:rPr>
        <w:t xml:space="preserve">if </w:t>
      </w:r>
      <w:r w:rsidR="008E02A0">
        <w:rPr>
          <w:rFonts w:ascii="Calibri Light" w:eastAsia="Times New Roman" w:hAnsi="Calibri Light" w:cs="Calibri Light"/>
          <w:color w:val="000000" w:themeColor="text1"/>
        </w:rPr>
        <w:t xml:space="preserve">a </w:t>
      </w:r>
      <w:r w:rsidR="00D323CE">
        <w:rPr>
          <w:rFonts w:ascii="Calibri Light" w:eastAsia="Times New Roman" w:hAnsi="Calibri Light" w:cs="Calibri Light"/>
          <w:color w:val="000000" w:themeColor="text1"/>
        </w:rPr>
        <w:t>state’s law</w:t>
      </w:r>
      <w:r w:rsidR="00C92575">
        <w:rPr>
          <w:rFonts w:ascii="Calibri Light" w:eastAsia="Times New Roman" w:hAnsi="Calibri Light" w:cs="Calibri Light"/>
          <w:color w:val="000000" w:themeColor="text1"/>
        </w:rPr>
        <w:t xml:space="preserve"> </w:t>
      </w:r>
      <w:r w:rsidR="00C82BA0">
        <w:rPr>
          <w:rFonts w:ascii="Calibri Light" w:eastAsia="Times New Roman" w:hAnsi="Calibri Light" w:cs="Calibri Light"/>
          <w:color w:val="000000" w:themeColor="text1"/>
        </w:rPr>
        <w:t>will</w:t>
      </w:r>
      <w:r w:rsidRPr="00BA55BB">
        <w:rPr>
          <w:rFonts w:ascii="Calibri Light" w:eastAsia="Times New Roman" w:hAnsi="Calibri Light" w:cs="Calibri Light"/>
          <w:color w:val="000000" w:themeColor="text1"/>
        </w:rPr>
        <w:t xml:space="preserve"> not </w:t>
      </w:r>
      <w:r w:rsidR="00C82BA0">
        <w:rPr>
          <w:rFonts w:ascii="Calibri Light" w:eastAsia="Times New Roman" w:hAnsi="Calibri Light" w:cs="Calibri Light"/>
          <w:color w:val="000000" w:themeColor="text1"/>
        </w:rPr>
        <w:t xml:space="preserve">be </w:t>
      </w:r>
      <w:r w:rsidRPr="00BA55BB">
        <w:rPr>
          <w:rFonts w:ascii="Calibri Light" w:eastAsia="Times New Roman" w:hAnsi="Calibri Light" w:cs="Calibri Light"/>
          <w:color w:val="000000" w:themeColor="text1"/>
        </w:rPr>
        <w:t xml:space="preserve">preempted by </w:t>
      </w:r>
      <w:r w:rsidR="00B44BEC">
        <w:rPr>
          <w:rFonts w:ascii="Calibri Light" w:eastAsia="Times New Roman" w:hAnsi="Calibri Light" w:cs="Calibri Light"/>
          <w:color w:val="000000" w:themeColor="text1"/>
        </w:rPr>
        <w:t>the Privacy Rule</w:t>
      </w:r>
      <w:r w:rsidR="006E107D">
        <w:rPr>
          <w:rFonts w:ascii="Calibri Light" w:eastAsia="Times New Roman" w:hAnsi="Calibri Light" w:cs="Calibri Light"/>
          <w:color w:val="000000" w:themeColor="text1"/>
        </w:rPr>
        <w:t xml:space="preserve">. </w:t>
      </w:r>
      <w:r w:rsidR="00B44BEC">
        <w:rPr>
          <w:rFonts w:ascii="Calibri Light" w:eastAsia="Times New Roman" w:hAnsi="Calibri Light" w:cs="Calibri Light"/>
          <w:color w:val="000000" w:themeColor="text1"/>
        </w:rPr>
        <w:t>A state requirement will not be preemp</w:t>
      </w:r>
      <w:r w:rsidR="00762B23">
        <w:rPr>
          <w:rFonts w:ascii="Calibri Light" w:eastAsia="Times New Roman" w:hAnsi="Calibri Light" w:cs="Calibri Light"/>
          <w:color w:val="000000" w:themeColor="text1"/>
        </w:rPr>
        <w:t xml:space="preserve">ted by the Privacy Rule if HHS determines that: </w:t>
      </w:r>
      <w:r w:rsidR="00F02D58">
        <w:rPr>
          <w:rFonts w:ascii="Calibri Light" w:eastAsia="Times New Roman" w:hAnsi="Calibri Light" w:cs="Calibri Light"/>
          <w:color w:val="000000" w:themeColor="text1"/>
        </w:rPr>
        <w:t xml:space="preserve">(1) </w:t>
      </w:r>
      <w:r w:rsidRPr="00BA55BB">
        <w:rPr>
          <w:rFonts w:ascii="Calibri Light" w:eastAsia="Times New Roman" w:hAnsi="Calibri Light" w:cs="Calibri Light"/>
          <w:color w:val="000000" w:themeColor="text1"/>
        </w:rPr>
        <w:t xml:space="preserve">that the conflicting state provision serves a compelling public health, safety, or welfare interest, </w:t>
      </w:r>
      <w:r w:rsidR="00C01D3D">
        <w:rPr>
          <w:rFonts w:ascii="Calibri Light" w:eastAsia="Times New Roman" w:hAnsi="Calibri Light" w:cs="Calibri Light"/>
          <w:color w:val="000000" w:themeColor="text1"/>
        </w:rPr>
        <w:t>or</w:t>
      </w:r>
      <w:r w:rsidRPr="00BA55BB">
        <w:rPr>
          <w:rFonts w:ascii="Calibri Light" w:eastAsia="Times New Roman" w:hAnsi="Calibri Light" w:cs="Calibri Light"/>
          <w:color w:val="000000" w:themeColor="text1"/>
        </w:rPr>
        <w:t xml:space="preserve">, </w:t>
      </w:r>
      <w:r w:rsidR="00F02D58">
        <w:rPr>
          <w:rFonts w:ascii="Calibri Light" w:eastAsia="Times New Roman" w:hAnsi="Calibri Light" w:cs="Calibri Light"/>
          <w:color w:val="000000" w:themeColor="text1"/>
        </w:rPr>
        <w:t xml:space="preserve">(2) </w:t>
      </w:r>
      <w:r w:rsidRPr="00BA55BB">
        <w:rPr>
          <w:rFonts w:ascii="Calibri Light" w:eastAsia="Times New Roman" w:hAnsi="Calibri Light" w:cs="Calibri Light"/>
          <w:color w:val="000000" w:themeColor="text1"/>
        </w:rPr>
        <w:t>if the conflicting state requirement relates to a privacy right, that the intrusion into privacy is warranted given the public interest being served.</w:t>
      </w:r>
      <w:r w:rsidRPr="00BA55BB">
        <w:rPr>
          <w:rFonts w:ascii="Calibri Light" w:eastAsia="Times New Roman" w:hAnsi="Calibri Light" w:cs="Calibri Light"/>
          <w:color w:val="000000" w:themeColor="text1"/>
          <w:vertAlign w:val="superscript"/>
        </w:rPr>
        <w:footnoteReference w:id="48"/>
      </w:r>
      <w:r w:rsidRPr="00BA55BB">
        <w:rPr>
          <w:rFonts w:ascii="Calibri Light" w:eastAsia="Times New Roman" w:hAnsi="Calibri Light" w:cs="Calibri Light"/>
          <w:color w:val="000000" w:themeColor="text1"/>
        </w:rPr>
        <w:t xml:space="preserve"> </w:t>
      </w:r>
    </w:p>
    <w:p w14:paraId="351A1749" w14:textId="44FC10FA" w:rsidR="00BA5569" w:rsidRDefault="00BA5569" w:rsidP="00C80B40">
      <w:pPr>
        <w:spacing w:line="360" w:lineRule="auto"/>
        <w:textAlignment w:val="baseline"/>
        <w:rPr>
          <w:rFonts w:ascii="Calibri Light" w:eastAsia="Times New Roman" w:hAnsi="Calibri Light" w:cs="Calibri Light"/>
          <w:color w:val="000000" w:themeColor="text1"/>
        </w:rPr>
      </w:pPr>
    </w:p>
    <w:p w14:paraId="0DB133F4" w14:textId="77777777" w:rsidR="004668BF" w:rsidRPr="00BA55BB" w:rsidRDefault="004668BF" w:rsidP="00EA4B3F">
      <w:pPr>
        <w:keepNext/>
        <w:spacing w:after="120" w:line="360" w:lineRule="auto"/>
        <w:rPr>
          <w:rFonts w:ascii="Calibri Light" w:eastAsia="Times New Roman" w:hAnsi="Calibri Light" w:cs="Calibri Light"/>
          <w:b/>
          <w:bCs/>
          <w:i/>
          <w:iCs/>
        </w:rPr>
      </w:pPr>
      <w:r w:rsidRPr="00BA55BB">
        <w:rPr>
          <w:rFonts w:ascii="Calibri Light" w:eastAsia="Times New Roman" w:hAnsi="Calibri Light" w:cs="Calibri Light"/>
          <w:b/>
          <w:bCs/>
          <w:i/>
          <w:iCs/>
        </w:rPr>
        <w:lastRenderedPageBreak/>
        <w:t>Family Educational Rights and Privacy Act</w:t>
      </w:r>
    </w:p>
    <w:p w14:paraId="6222C977" w14:textId="5DF07E27" w:rsidR="004668BF" w:rsidRPr="00BA55BB" w:rsidRDefault="004668BF" w:rsidP="004668BF">
      <w:pPr>
        <w:spacing w:line="360" w:lineRule="auto"/>
        <w:rPr>
          <w:rFonts w:ascii="Calibri Light" w:eastAsia="Times New Roman" w:hAnsi="Calibri Light" w:cs="Calibri Light"/>
          <w:szCs w:val="20"/>
        </w:rPr>
      </w:pPr>
      <w:r w:rsidRPr="00BA55BB">
        <w:rPr>
          <w:rFonts w:ascii="Calibri Light" w:eastAsia="Times New Roman" w:hAnsi="Calibri Light" w:cs="Calibri Light"/>
          <w:szCs w:val="20"/>
        </w:rPr>
        <w:t>The Family Educational Rights and Privacy Act (FERPA) limits the information schools may give to public health agencies (and others) about students.</w:t>
      </w:r>
      <w:r w:rsidRPr="00BA55BB">
        <w:rPr>
          <w:rFonts w:ascii="Calibri Light" w:eastAsia="Times New Roman" w:hAnsi="Calibri Light" w:cs="Calibri Light"/>
          <w:szCs w:val="20"/>
          <w:vertAlign w:val="superscript"/>
        </w:rPr>
        <w:footnoteReference w:id="49"/>
      </w:r>
      <w:r w:rsidRPr="00BA55BB">
        <w:rPr>
          <w:rFonts w:ascii="Calibri Light" w:eastAsia="Times New Roman" w:hAnsi="Calibri Light" w:cs="Calibri Light"/>
          <w:szCs w:val="20"/>
        </w:rPr>
        <w:t xml:space="preserve"> Among other things, FERPA prevents the disclosure of a student’s education record without the consent of a parent (or eligible student</w:t>
      </w:r>
      <w:r w:rsidRPr="00BA55BB">
        <w:rPr>
          <w:rFonts w:ascii="Calibri Light" w:eastAsia="Times New Roman" w:hAnsi="Calibri Light" w:cs="Calibri Light"/>
          <w:szCs w:val="20"/>
          <w:vertAlign w:val="superscript"/>
        </w:rPr>
        <w:footnoteReference w:id="50"/>
      </w:r>
      <w:r w:rsidRPr="00BA55BB">
        <w:rPr>
          <w:rFonts w:ascii="Calibri Light" w:eastAsia="Times New Roman" w:hAnsi="Calibri Light" w:cs="Calibri Light"/>
          <w:szCs w:val="20"/>
        </w:rPr>
        <w:t>) unless an exception to the law’s general consent requirement applies.</w:t>
      </w:r>
      <w:r w:rsidRPr="00BA55BB">
        <w:rPr>
          <w:rFonts w:ascii="Calibri Light" w:eastAsia="Times New Roman" w:hAnsi="Calibri Light" w:cs="Calibri Light"/>
          <w:szCs w:val="20"/>
          <w:vertAlign w:val="superscript"/>
        </w:rPr>
        <w:footnoteReference w:id="51"/>
      </w:r>
      <w:r w:rsidRPr="00BA55BB">
        <w:rPr>
          <w:rFonts w:ascii="Calibri Light" w:eastAsia="Times New Roman" w:hAnsi="Calibri Light" w:cs="Calibri Light"/>
          <w:szCs w:val="20"/>
        </w:rPr>
        <w:t xml:space="preserve"> The law applies to all educational institutions and agencies that receive any funds from </w:t>
      </w:r>
      <w:r w:rsidR="008A5383">
        <w:rPr>
          <w:rFonts w:ascii="Calibri Light" w:eastAsia="Times New Roman" w:hAnsi="Calibri Light" w:cs="Calibri Light"/>
          <w:szCs w:val="20"/>
        </w:rPr>
        <w:t xml:space="preserve">the </w:t>
      </w:r>
      <w:r w:rsidRPr="00BA55BB">
        <w:rPr>
          <w:rFonts w:ascii="Calibri Light" w:eastAsia="Times New Roman" w:hAnsi="Calibri Light" w:cs="Calibri Light"/>
          <w:szCs w:val="20"/>
        </w:rPr>
        <w:t>U.S. Department of Education (ED or the Department).</w:t>
      </w:r>
      <w:r w:rsidRPr="00BA55BB">
        <w:rPr>
          <w:rFonts w:ascii="Calibri Light" w:eastAsia="Times New Roman" w:hAnsi="Calibri Light" w:cs="Calibri Light"/>
          <w:szCs w:val="20"/>
          <w:vertAlign w:val="superscript"/>
        </w:rPr>
        <w:footnoteReference w:id="52"/>
      </w:r>
      <w:r w:rsidRPr="00BA55BB">
        <w:rPr>
          <w:rFonts w:ascii="Calibri Light" w:eastAsia="Times New Roman" w:hAnsi="Calibri Light" w:cs="Calibri Light"/>
          <w:szCs w:val="20"/>
        </w:rPr>
        <w:t xml:space="preserve"> Therefore, all public schools and school districts and most public and private post-secondary institutions (e.g., universities and colleges) are covered by FERPA.</w:t>
      </w:r>
      <w:r w:rsidRPr="00BA55BB">
        <w:rPr>
          <w:rFonts w:ascii="Calibri Light" w:eastAsia="Times New Roman" w:hAnsi="Calibri Light" w:cs="Calibri Light"/>
          <w:szCs w:val="20"/>
          <w:vertAlign w:val="superscript"/>
        </w:rPr>
        <w:footnoteReference w:id="53"/>
      </w:r>
      <w:r w:rsidRPr="00BA55BB">
        <w:rPr>
          <w:rFonts w:ascii="Calibri Light" w:eastAsia="Times New Roman" w:hAnsi="Calibri Light" w:cs="Calibri Light"/>
          <w:szCs w:val="20"/>
        </w:rPr>
        <w:t xml:space="preserve"> Private and religious elementary and secondary schools are not subject to FERPA because they generally do not receive funding from ED.</w:t>
      </w:r>
      <w:r w:rsidRPr="00BA55BB">
        <w:rPr>
          <w:rFonts w:ascii="Calibri Light" w:eastAsia="Times New Roman" w:hAnsi="Calibri Light" w:cs="Calibri Light"/>
          <w:szCs w:val="20"/>
          <w:vertAlign w:val="superscript"/>
        </w:rPr>
        <w:footnoteReference w:id="54"/>
      </w:r>
      <w:r w:rsidRPr="00BA55BB">
        <w:rPr>
          <w:rFonts w:ascii="Calibri Light" w:eastAsia="Times New Roman" w:hAnsi="Calibri Light" w:cs="Calibri Light"/>
          <w:szCs w:val="20"/>
        </w:rPr>
        <w:t xml:space="preserve"> ED regulations define “non-school” entities</w:t>
      </w:r>
      <w:r w:rsidR="001A7DCA">
        <w:rPr>
          <w:rFonts w:ascii="Calibri Light" w:eastAsia="Times New Roman" w:hAnsi="Calibri Light" w:cs="Calibri Light"/>
          <w:szCs w:val="20"/>
        </w:rPr>
        <w:t>/agencies</w:t>
      </w:r>
      <w:r w:rsidRPr="00BA55BB">
        <w:rPr>
          <w:rFonts w:ascii="Calibri Light" w:eastAsia="Times New Roman" w:hAnsi="Calibri Light" w:cs="Calibri Light"/>
          <w:szCs w:val="20"/>
        </w:rPr>
        <w:t xml:space="preserve"> (</w:t>
      </w:r>
      <w:r w:rsidR="001A7DCA">
        <w:rPr>
          <w:rFonts w:ascii="Calibri Light" w:eastAsia="Times New Roman" w:hAnsi="Calibri Light" w:cs="Calibri Light"/>
          <w:szCs w:val="20"/>
        </w:rPr>
        <w:t xml:space="preserve">i.e., </w:t>
      </w:r>
      <w:r w:rsidRPr="00BA55BB">
        <w:rPr>
          <w:rFonts w:ascii="Calibri Light" w:eastAsia="Times New Roman" w:hAnsi="Calibri Light" w:cs="Calibri Light"/>
          <w:szCs w:val="20"/>
        </w:rPr>
        <w:t xml:space="preserve">not attended by students) </w:t>
      </w:r>
      <w:r w:rsidR="001A7DCA">
        <w:rPr>
          <w:rFonts w:ascii="Calibri Light" w:eastAsia="Times New Roman" w:hAnsi="Calibri Light" w:cs="Calibri Light"/>
          <w:szCs w:val="20"/>
        </w:rPr>
        <w:t>as</w:t>
      </w:r>
      <w:r w:rsidRPr="00BA55BB">
        <w:rPr>
          <w:rFonts w:ascii="Calibri Light" w:eastAsia="Times New Roman" w:hAnsi="Calibri Light" w:cs="Calibri Light"/>
          <w:szCs w:val="20"/>
        </w:rPr>
        <w:t xml:space="preserve"> programs funded by ED or that disclose or receive protected information under the act.</w:t>
      </w:r>
      <w:r w:rsidRPr="00BA55BB">
        <w:rPr>
          <w:rFonts w:ascii="Calibri Light" w:eastAsia="Times New Roman" w:hAnsi="Calibri Light" w:cs="Calibri Light"/>
          <w:szCs w:val="20"/>
          <w:vertAlign w:val="superscript"/>
        </w:rPr>
        <w:footnoteReference w:id="55"/>
      </w:r>
      <w:r w:rsidRPr="00BA55BB">
        <w:rPr>
          <w:rFonts w:ascii="Calibri Light" w:eastAsia="Times New Roman" w:hAnsi="Calibri Light" w:cs="Calibri Light"/>
          <w:szCs w:val="20"/>
        </w:rPr>
        <w:t xml:space="preserve"> </w:t>
      </w:r>
      <w:r w:rsidR="00C76EFB">
        <w:rPr>
          <w:rFonts w:ascii="Calibri Light" w:eastAsia="Times New Roman" w:hAnsi="Calibri Light" w:cs="Calibri Light"/>
          <w:szCs w:val="20"/>
        </w:rPr>
        <w:t xml:space="preserve">When a public health agency is investigating </w:t>
      </w:r>
      <w:r w:rsidR="007F20CE">
        <w:rPr>
          <w:rFonts w:ascii="Calibri Light" w:eastAsia="Times New Roman" w:hAnsi="Calibri Light" w:cs="Calibri Light"/>
          <w:szCs w:val="20"/>
        </w:rPr>
        <w:t>an LD outbreak associated with a school</w:t>
      </w:r>
      <w:r w:rsidR="007B7564">
        <w:rPr>
          <w:rFonts w:ascii="Calibri Light" w:eastAsia="Times New Roman" w:hAnsi="Calibri Light" w:cs="Calibri Light"/>
          <w:szCs w:val="20"/>
        </w:rPr>
        <w:t xml:space="preserve"> or university</w:t>
      </w:r>
      <w:r w:rsidR="002C0DF3">
        <w:rPr>
          <w:rFonts w:ascii="Calibri Light" w:eastAsia="Times New Roman" w:hAnsi="Calibri Light" w:cs="Calibri Light"/>
          <w:szCs w:val="20"/>
        </w:rPr>
        <w:t>,</w:t>
      </w:r>
      <w:r w:rsidR="007B7564">
        <w:rPr>
          <w:rFonts w:ascii="Calibri Light" w:eastAsia="Times New Roman" w:hAnsi="Calibri Light" w:cs="Calibri Light"/>
          <w:szCs w:val="20"/>
        </w:rPr>
        <w:t xml:space="preserve"> or involving students</w:t>
      </w:r>
      <w:r w:rsidR="002C0DF3">
        <w:rPr>
          <w:rFonts w:ascii="Calibri Light" w:eastAsia="Times New Roman" w:hAnsi="Calibri Light" w:cs="Calibri Light"/>
          <w:szCs w:val="20"/>
        </w:rPr>
        <w:t xml:space="preserve"> covered under FERPA, accessing student health data must consider FERPA when attempting to retrieve records or disclose information about </w:t>
      </w:r>
      <w:r w:rsidR="002C34D2">
        <w:rPr>
          <w:rFonts w:ascii="Calibri Light" w:eastAsia="Times New Roman" w:hAnsi="Calibri Light" w:cs="Calibri Light"/>
          <w:szCs w:val="20"/>
        </w:rPr>
        <w:t>an LD outbreak involving educational facilities or students.</w:t>
      </w:r>
    </w:p>
    <w:p w14:paraId="6B97D26A" w14:textId="77777777" w:rsidR="004668BF" w:rsidRPr="00BA55BB" w:rsidRDefault="004668BF" w:rsidP="004668BF">
      <w:pPr>
        <w:spacing w:line="360" w:lineRule="auto"/>
        <w:rPr>
          <w:rFonts w:ascii="Calibri Light" w:eastAsia="Times New Roman" w:hAnsi="Calibri Light" w:cs="Calibri Light"/>
          <w:szCs w:val="20"/>
        </w:rPr>
      </w:pPr>
    </w:p>
    <w:p w14:paraId="3A7013D6" w14:textId="39B1FFCB" w:rsidR="004668BF" w:rsidRPr="00BA55BB" w:rsidRDefault="004668BF" w:rsidP="004668BF">
      <w:pPr>
        <w:spacing w:line="360" w:lineRule="auto"/>
        <w:rPr>
          <w:rFonts w:ascii="Calibri Light" w:eastAsia="Times New Roman" w:hAnsi="Calibri Light" w:cs="Calibri Light"/>
          <w:szCs w:val="20"/>
        </w:rPr>
      </w:pPr>
      <w:r w:rsidRPr="00BA55BB">
        <w:rPr>
          <w:rFonts w:ascii="Calibri Light" w:eastAsia="Calibri" w:hAnsi="Calibri Light" w:cs="Calibri Light"/>
        </w:rPr>
        <w:t>An “education record” is defined as records which are: (1) directly related to a student and (2) maintained by an educational agency or institution or by a person acting on behalf of the agency or institution.</w:t>
      </w:r>
      <w:r w:rsidRPr="00BA55BB">
        <w:rPr>
          <w:rFonts w:ascii="Calibri Light" w:eastAsia="Calibri" w:hAnsi="Calibri Light" w:cs="Calibri Light"/>
          <w:vertAlign w:val="superscript"/>
        </w:rPr>
        <w:footnoteReference w:id="56"/>
      </w:r>
      <w:r w:rsidRPr="00BA55BB">
        <w:rPr>
          <w:rFonts w:ascii="Calibri Light" w:eastAsia="Calibri" w:hAnsi="Calibri Light" w:cs="Calibri Light"/>
        </w:rPr>
        <w:t xml:space="preserve"> An education record is considered to </w:t>
      </w:r>
      <w:r w:rsidR="005D18FA" w:rsidRPr="00BA55BB">
        <w:rPr>
          <w:rFonts w:ascii="Calibri Light" w:eastAsia="Calibri" w:hAnsi="Calibri Light" w:cs="Calibri Light"/>
        </w:rPr>
        <w:t>contain</w:t>
      </w:r>
      <w:r w:rsidRPr="00BA55BB">
        <w:rPr>
          <w:rFonts w:ascii="Calibri Light" w:eastAsia="Calibri" w:hAnsi="Calibri Light" w:cs="Calibri Light"/>
        </w:rPr>
        <w:t xml:space="preserve"> personally identifiable information (PII), which includes </w:t>
      </w:r>
      <w:r w:rsidRPr="00BA55BB">
        <w:rPr>
          <w:rFonts w:ascii="Calibri Light" w:eastAsia="Times New Roman" w:hAnsi="Calibri Light" w:cs="Calibri Light"/>
          <w:szCs w:val="20"/>
        </w:rPr>
        <w:t>name, address, personal identifiers like S</w:t>
      </w:r>
      <w:r w:rsidR="001B3E10">
        <w:rPr>
          <w:rFonts w:ascii="Calibri Light" w:eastAsia="Times New Roman" w:hAnsi="Calibri Light" w:cs="Calibri Light"/>
          <w:szCs w:val="20"/>
        </w:rPr>
        <w:t>SN</w:t>
      </w:r>
      <w:r w:rsidRPr="00BA55BB">
        <w:rPr>
          <w:rFonts w:ascii="Calibri Light" w:eastAsia="Times New Roman" w:hAnsi="Calibri Light" w:cs="Calibri Light"/>
          <w:szCs w:val="20"/>
        </w:rPr>
        <w:t xml:space="preserve">, date of birth, biometric data, or other information that could be </w:t>
      </w:r>
      <w:r w:rsidRPr="00BA55BB">
        <w:rPr>
          <w:rFonts w:ascii="Calibri Light" w:eastAsia="Times New Roman" w:hAnsi="Calibri Light" w:cs="Calibri Light"/>
          <w:szCs w:val="20"/>
        </w:rPr>
        <w:lastRenderedPageBreak/>
        <w:t>used alone or in combination to identify a student.</w:t>
      </w:r>
      <w:r w:rsidRPr="00BA55BB">
        <w:rPr>
          <w:rFonts w:ascii="Calibri Light" w:eastAsia="Times New Roman" w:hAnsi="Calibri Light" w:cs="Calibri Light"/>
          <w:szCs w:val="20"/>
          <w:vertAlign w:val="superscript"/>
        </w:rPr>
        <w:footnoteReference w:id="57"/>
      </w:r>
      <w:r w:rsidRPr="00BA55BB">
        <w:rPr>
          <w:rFonts w:ascii="Calibri Light" w:eastAsia="Times New Roman" w:hAnsi="Calibri Light" w:cs="Calibri Light"/>
          <w:szCs w:val="20"/>
          <w:bdr w:val="none" w:sz="0" w:space="0" w:color="auto" w:frame="1"/>
        </w:rPr>
        <w:t xml:space="preserve"> </w:t>
      </w:r>
      <w:r w:rsidRPr="00BA55BB">
        <w:rPr>
          <w:rFonts w:ascii="Calibri Light" w:eastAsia="Times New Roman" w:hAnsi="Calibri Light" w:cs="Calibri Light"/>
          <w:szCs w:val="20"/>
        </w:rPr>
        <w:t>However, schools may disclose without consent “directory information” such as a student's name, address, telephone number, date and place of birth, honors and awards, and dates of attendance.</w:t>
      </w:r>
      <w:r w:rsidRPr="00BA55BB">
        <w:rPr>
          <w:rFonts w:ascii="Calibri Light" w:eastAsia="Times New Roman" w:hAnsi="Calibri Light" w:cs="Calibri Light"/>
          <w:szCs w:val="20"/>
          <w:vertAlign w:val="superscript"/>
        </w:rPr>
        <w:footnoteReference w:id="58"/>
      </w:r>
      <w:r w:rsidRPr="00BA55BB">
        <w:rPr>
          <w:rFonts w:ascii="Calibri Light" w:eastAsia="Times New Roman" w:hAnsi="Calibri Light" w:cs="Calibri Light"/>
          <w:szCs w:val="20"/>
        </w:rPr>
        <w:t xml:space="preserve"> Schools must tell parents and eligible students about directory information and allow parents and eligible students a reasonable amount of time to request that the school not disclose directory information about them.</w:t>
      </w:r>
      <w:r w:rsidRPr="00BA55BB">
        <w:rPr>
          <w:rFonts w:ascii="Calibri Light" w:eastAsia="Times New Roman" w:hAnsi="Calibri Light" w:cs="Calibri Light"/>
          <w:szCs w:val="20"/>
          <w:vertAlign w:val="superscript"/>
        </w:rPr>
        <w:footnoteReference w:id="59"/>
      </w:r>
    </w:p>
    <w:p w14:paraId="78B5BECC" w14:textId="77777777" w:rsidR="004668BF" w:rsidRPr="00BA55BB" w:rsidRDefault="004668BF" w:rsidP="004668BF">
      <w:pPr>
        <w:spacing w:line="360" w:lineRule="auto"/>
        <w:rPr>
          <w:rFonts w:ascii="Calibri Light" w:eastAsia="Times New Roman" w:hAnsi="Calibri Light" w:cs="Calibri Light"/>
          <w:szCs w:val="20"/>
        </w:rPr>
      </w:pPr>
    </w:p>
    <w:p w14:paraId="6F6591F1" w14:textId="237AD245" w:rsidR="004668BF" w:rsidRPr="00BA55BB" w:rsidRDefault="004668BF" w:rsidP="004668BF">
      <w:pPr>
        <w:spacing w:line="360" w:lineRule="auto"/>
        <w:rPr>
          <w:rFonts w:ascii="Calibri Light" w:eastAsia="Times New Roman" w:hAnsi="Calibri Light" w:cs="Calibri Light"/>
          <w:szCs w:val="20"/>
          <w:bdr w:val="none" w:sz="0" w:space="0" w:color="auto" w:frame="1"/>
        </w:rPr>
      </w:pPr>
      <w:r w:rsidRPr="00BA55BB">
        <w:rPr>
          <w:rFonts w:ascii="Calibri Light" w:eastAsia="Times New Roman" w:hAnsi="Calibri Light" w:cs="Calibri Light"/>
          <w:szCs w:val="20"/>
        </w:rPr>
        <w:t>A student’s health records, including records maintained by a school nurse, are considered part of the student’s education record, and thus are protected from disclosure under FERPA.  Records of medical and psychological treatment of eligible students at post-secondary institutions (“treatment records”) are excluded from the definition of education records under FERPA if the records are made, maintained, and used only in the treatment of the student and are disclosed only to persons providing treatment.</w:t>
      </w:r>
      <w:r w:rsidRPr="00BA55BB">
        <w:rPr>
          <w:rFonts w:ascii="Calibri Light" w:eastAsia="Times New Roman" w:hAnsi="Calibri Light" w:cs="Calibri Light"/>
          <w:szCs w:val="20"/>
          <w:vertAlign w:val="superscript"/>
        </w:rPr>
        <w:footnoteReference w:id="60"/>
      </w:r>
      <w:r w:rsidR="002B328B">
        <w:rPr>
          <w:rFonts w:ascii="Calibri Light" w:eastAsia="Times New Roman" w:hAnsi="Calibri Light" w:cs="Calibri Light"/>
          <w:szCs w:val="20"/>
        </w:rPr>
        <w:t xml:space="preserve"> </w:t>
      </w:r>
      <w:r w:rsidRPr="00BA55BB">
        <w:rPr>
          <w:rFonts w:ascii="Calibri Light" w:eastAsia="Times New Roman" w:hAnsi="Calibri Light" w:cs="Calibri Light"/>
          <w:szCs w:val="20"/>
        </w:rPr>
        <w:t>Treatment records can be disclosed for purposes other than treatment, but disclosure must be made with consent or under one of the exceptions to the consent requirement.</w:t>
      </w:r>
      <w:r w:rsidRPr="00BA55BB">
        <w:rPr>
          <w:rFonts w:ascii="Calibri Light" w:eastAsia="Times New Roman" w:hAnsi="Calibri Light" w:cs="Calibri Light"/>
          <w:szCs w:val="20"/>
          <w:vertAlign w:val="superscript"/>
        </w:rPr>
        <w:footnoteReference w:id="61"/>
      </w:r>
      <w:r w:rsidRPr="00BA55BB">
        <w:rPr>
          <w:rFonts w:ascii="Calibri Light" w:eastAsia="Times New Roman" w:hAnsi="Calibri Light" w:cs="Calibri Light"/>
          <w:szCs w:val="20"/>
        </w:rPr>
        <w:t xml:space="preserve"> If treatment records are released for purposes other than treatment, then they are considered to be education records and all the FERPA requirements then apply.</w:t>
      </w:r>
      <w:r w:rsidRPr="00BA55BB">
        <w:rPr>
          <w:rFonts w:ascii="Calibri Light" w:eastAsia="Times New Roman" w:hAnsi="Calibri Light" w:cs="Calibri Light"/>
          <w:szCs w:val="20"/>
          <w:vertAlign w:val="superscript"/>
        </w:rPr>
        <w:footnoteReference w:id="62"/>
      </w:r>
      <w:r w:rsidRPr="00BA55BB">
        <w:rPr>
          <w:rFonts w:ascii="Calibri Light" w:eastAsia="Times New Roman" w:hAnsi="Calibri Light" w:cs="Calibri Light"/>
          <w:szCs w:val="20"/>
          <w:bdr w:val="none" w:sz="0" w:space="0" w:color="auto" w:frame="1"/>
        </w:rPr>
        <w:t xml:space="preserve"> </w:t>
      </w:r>
    </w:p>
    <w:p w14:paraId="269CB1E1" w14:textId="77777777" w:rsidR="004668BF" w:rsidRPr="00BA55BB" w:rsidRDefault="004668BF" w:rsidP="004668BF">
      <w:pPr>
        <w:spacing w:line="360" w:lineRule="auto"/>
        <w:rPr>
          <w:rFonts w:ascii="Calibri Light" w:eastAsia="Times New Roman" w:hAnsi="Calibri Light" w:cs="Calibri Light"/>
        </w:rPr>
      </w:pPr>
    </w:p>
    <w:p w14:paraId="05025835" w14:textId="3341205C" w:rsidR="00C11156" w:rsidRPr="00C11156" w:rsidRDefault="00C11156" w:rsidP="004668BF">
      <w:pPr>
        <w:spacing w:after="120" w:line="360" w:lineRule="auto"/>
        <w:rPr>
          <w:rFonts w:ascii="Calibri Light" w:eastAsia="Times New Roman" w:hAnsi="Calibri Light" w:cs="Calibri Light"/>
          <w:i/>
          <w:iCs/>
          <w:szCs w:val="20"/>
        </w:rPr>
      </w:pPr>
      <w:r w:rsidRPr="00C11156">
        <w:rPr>
          <w:rFonts w:ascii="Calibri Light" w:eastAsia="Times New Roman" w:hAnsi="Calibri Light" w:cs="Calibri Light"/>
          <w:i/>
          <w:iCs/>
          <w:szCs w:val="20"/>
        </w:rPr>
        <w:t>FERPA Exceptions</w:t>
      </w:r>
    </w:p>
    <w:p w14:paraId="6460CACB" w14:textId="40909073" w:rsidR="004668BF" w:rsidRPr="00BA55BB" w:rsidRDefault="004668BF" w:rsidP="004668BF">
      <w:pPr>
        <w:spacing w:after="120" w:line="360" w:lineRule="auto"/>
        <w:rPr>
          <w:rFonts w:ascii="Calibri Light" w:eastAsia="Times New Roman" w:hAnsi="Calibri Light" w:cs="Calibri Light"/>
          <w:szCs w:val="20"/>
        </w:rPr>
      </w:pPr>
      <w:r w:rsidRPr="00BA55BB">
        <w:rPr>
          <w:rFonts w:ascii="Calibri Light" w:eastAsia="Times New Roman" w:hAnsi="Calibri Light" w:cs="Calibri Light"/>
          <w:szCs w:val="20"/>
        </w:rPr>
        <w:t>FERPA contains multiple exceptions that allow schools to disclose PII from a student’s education record without consent of a parent or an eligible student. Schools may disclose de-identified information without written consent.</w:t>
      </w:r>
      <w:r w:rsidRPr="00BA55BB">
        <w:rPr>
          <w:rFonts w:ascii="Calibri Light" w:eastAsia="Times New Roman" w:hAnsi="Calibri Light" w:cs="Calibri Light"/>
          <w:szCs w:val="20"/>
          <w:vertAlign w:val="superscript"/>
        </w:rPr>
        <w:footnoteReference w:id="63"/>
      </w:r>
      <w:r w:rsidRPr="00BA55BB">
        <w:rPr>
          <w:rFonts w:ascii="Calibri Light" w:eastAsia="Times New Roman" w:hAnsi="Calibri Light" w:cs="Calibri Light"/>
          <w:szCs w:val="20"/>
          <w:bdr w:val="none" w:sz="0" w:space="0" w:color="auto" w:frame="1"/>
        </w:rPr>
        <w:t xml:space="preserve"> </w:t>
      </w:r>
      <w:r w:rsidRPr="00BA55BB">
        <w:rPr>
          <w:rFonts w:ascii="Calibri Light" w:eastAsia="Times New Roman" w:hAnsi="Calibri Light" w:cs="Calibri Light"/>
          <w:szCs w:val="20"/>
        </w:rPr>
        <w:t>In addition to disclosures to parents and eligible students, and for directory information, FERPA regulations identify the parties to or circumstances in which disclosure of PII may be made without consent.</w:t>
      </w:r>
      <w:r w:rsidRPr="00BA55BB">
        <w:rPr>
          <w:rFonts w:ascii="Calibri Light" w:eastAsia="Times New Roman" w:hAnsi="Calibri Light" w:cs="Calibri Light"/>
          <w:szCs w:val="20"/>
          <w:vertAlign w:val="superscript"/>
        </w:rPr>
        <w:footnoteReference w:id="64"/>
      </w:r>
      <w:r w:rsidRPr="00BA55BB">
        <w:rPr>
          <w:rFonts w:ascii="Calibri Light" w:eastAsia="Times New Roman" w:hAnsi="Calibri Light" w:cs="Calibri Light"/>
          <w:szCs w:val="20"/>
        </w:rPr>
        <w:t xml:space="preserve"> Historically, these exceptions have been narrowly construed by ED to err on the side of protecting the student’s privacy over making a disclosure and are generally coupled with the requirement that the exceptional use is related to educational purposes.</w:t>
      </w:r>
      <w:r w:rsidRPr="00BA55BB">
        <w:rPr>
          <w:rFonts w:ascii="Calibri Light" w:eastAsia="Times New Roman" w:hAnsi="Calibri Light" w:cs="Calibri Light"/>
          <w:szCs w:val="20"/>
          <w:vertAlign w:val="superscript"/>
        </w:rPr>
        <w:footnoteReference w:id="65"/>
      </w:r>
      <w:r w:rsidRPr="00BA55BB">
        <w:rPr>
          <w:rFonts w:ascii="Calibri Light" w:eastAsia="Times New Roman" w:hAnsi="Calibri Light" w:cs="Calibri Light"/>
          <w:szCs w:val="20"/>
        </w:rPr>
        <w:t xml:space="preserve"> The two exceptions to FERPA that could arise during an LD outbreak investigation are covered here. </w:t>
      </w:r>
    </w:p>
    <w:p w14:paraId="7050C794" w14:textId="0159F7EE" w:rsidR="004668BF" w:rsidRPr="00BA55BB" w:rsidRDefault="004668BF" w:rsidP="004668BF">
      <w:pPr>
        <w:numPr>
          <w:ilvl w:val="0"/>
          <w:numId w:val="7"/>
        </w:numPr>
        <w:spacing w:line="360" w:lineRule="auto"/>
        <w:contextualSpacing/>
        <w:rPr>
          <w:rFonts w:ascii="Calibri Light" w:eastAsia="Times New Roman" w:hAnsi="Calibri Light" w:cs="Calibri Light"/>
        </w:rPr>
      </w:pPr>
      <w:r w:rsidRPr="00FD63F3">
        <w:rPr>
          <w:rFonts w:ascii="Calibri Light" w:eastAsia="Times New Roman" w:hAnsi="Calibri Light" w:cs="Calibri Light"/>
          <w:i/>
          <w:iCs/>
        </w:rPr>
        <w:t xml:space="preserve">Health and </w:t>
      </w:r>
      <w:r w:rsidR="00675204">
        <w:rPr>
          <w:rFonts w:ascii="Calibri Light" w:eastAsia="Times New Roman" w:hAnsi="Calibri Light" w:cs="Calibri Light"/>
          <w:i/>
          <w:iCs/>
        </w:rPr>
        <w:t>s</w:t>
      </w:r>
      <w:r w:rsidRPr="00FD63F3">
        <w:rPr>
          <w:rFonts w:ascii="Calibri Light" w:eastAsia="Times New Roman" w:hAnsi="Calibri Light" w:cs="Calibri Light"/>
          <w:i/>
          <w:iCs/>
        </w:rPr>
        <w:t xml:space="preserve">afety </w:t>
      </w:r>
      <w:r w:rsidR="00675204">
        <w:rPr>
          <w:rFonts w:ascii="Calibri Light" w:eastAsia="Times New Roman" w:hAnsi="Calibri Light" w:cs="Calibri Light"/>
          <w:i/>
          <w:iCs/>
        </w:rPr>
        <w:t>e</w:t>
      </w:r>
      <w:r w:rsidRPr="00FD63F3">
        <w:rPr>
          <w:rFonts w:ascii="Calibri Light" w:eastAsia="Times New Roman" w:hAnsi="Calibri Light" w:cs="Calibri Light"/>
          <w:i/>
          <w:iCs/>
        </w:rPr>
        <w:t>mergencies—</w:t>
      </w:r>
      <w:r w:rsidRPr="00BA55BB">
        <w:rPr>
          <w:rFonts w:ascii="Calibri Light" w:eastAsia="Times New Roman" w:hAnsi="Calibri Light" w:cs="Calibri Light"/>
        </w:rPr>
        <w:t>A school may disclose PII from education records in an emergency if the information is necessary to protect the health or safety of the student or other individuals.</w:t>
      </w:r>
      <w:r w:rsidRPr="00BA55BB">
        <w:rPr>
          <w:rFonts w:ascii="Calibri Light" w:eastAsia="Times New Roman" w:hAnsi="Calibri Light" w:cs="Calibri Light"/>
          <w:vertAlign w:val="superscript"/>
        </w:rPr>
        <w:footnoteReference w:id="66"/>
      </w:r>
      <w:r w:rsidRPr="00BA55BB">
        <w:rPr>
          <w:rFonts w:ascii="Calibri Light" w:eastAsia="Times New Roman" w:hAnsi="Calibri Light" w:cs="Calibri Light"/>
        </w:rPr>
        <w:t xml:space="preserve"> Information may be disclosed to appropriate parties, including the student’s parents and law enforcement, public health officials, and trained medical personnel.</w:t>
      </w:r>
      <w:r w:rsidRPr="00BA55BB">
        <w:rPr>
          <w:rFonts w:ascii="Calibri Light" w:eastAsia="Times New Roman" w:hAnsi="Calibri Light" w:cs="Calibri Light"/>
          <w:vertAlign w:val="superscript"/>
        </w:rPr>
        <w:footnoteReference w:id="67"/>
      </w:r>
      <w:r w:rsidRPr="00BA55BB">
        <w:rPr>
          <w:rFonts w:ascii="Calibri Light" w:eastAsia="Times New Roman" w:hAnsi="Calibri Light" w:cs="Calibri Light"/>
        </w:rPr>
        <w:t xml:space="preserve"> A school may take into account the totality of circumstances surrounding a threat to the health or safety of a student or other individuals.</w:t>
      </w:r>
      <w:r w:rsidRPr="00BA55BB">
        <w:rPr>
          <w:rFonts w:ascii="Calibri Light" w:eastAsia="Times New Roman" w:hAnsi="Calibri Light" w:cs="Calibri Light"/>
          <w:vertAlign w:val="superscript"/>
        </w:rPr>
        <w:footnoteReference w:id="68"/>
      </w:r>
      <w:r w:rsidRPr="00BA55BB">
        <w:rPr>
          <w:rFonts w:ascii="Calibri Light" w:eastAsia="Times New Roman" w:hAnsi="Calibri Light" w:cs="Calibri Light"/>
        </w:rPr>
        <w:t xml:space="preserve"> A school may disclose information necessary to protect the health or safety if it determines there is an articulable and significant threat.</w:t>
      </w:r>
      <w:r w:rsidRPr="00BA55BB">
        <w:rPr>
          <w:rFonts w:ascii="Calibri Light" w:eastAsia="Times New Roman" w:hAnsi="Calibri Light" w:cs="Calibri Light"/>
          <w:vertAlign w:val="superscript"/>
        </w:rPr>
        <w:footnoteReference w:id="69"/>
      </w:r>
      <w:r w:rsidRPr="00BA55BB">
        <w:rPr>
          <w:rFonts w:ascii="Calibri Light" w:eastAsia="Times New Roman" w:hAnsi="Calibri Light" w:cs="Calibri Light"/>
        </w:rPr>
        <w:t xml:space="preserve"> While ED has generally narrowly construed the health and safety exception, the agency defer to the judgment of a school in making a determination that there was a rational basis for the determination based on the information available to it at the time.</w:t>
      </w:r>
      <w:r w:rsidRPr="00BA55BB">
        <w:rPr>
          <w:rFonts w:ascii="Calibri Light" w:eastAsia="Times New Roman" w:hAnsi="Calibri Light" w:cs="Calibri Light"/>
          <w:vertAlign w:val="superscript"/>
        </w:rPr>
        <w:footnoteReference w:id="70"/>
      </w:r>
      <w:r w:rsidRPr="00BA55BB">
        <w:rPr>
          <w:rFonts w:ascii="Calibri Light" w:eastAsia="Times New Roman" w:hAnsi="Calibri Light" w:cs="Calibri Light"/>
        </w:rPr>
        <w:t xml:space="preserve">  ED defines an “emergency” under FERPA as “a situation in which there is an articulable and significant threat to the health or safety of students or other individuals.”</w:t>
      </w:r>
      <w:r w:rsidRPr="00BA55BB">
        <w:rPr>
          <w:rFonts w:ascii="Calibri Light" w:eastAsia="Times New Roman" w:hAnsi="Calibri Light" w:cs="Calibri Light"/>
          <w:vertAlign w:val="superscript"/>
        </w:rPr>
        <w:footnoteReference w:id="71"/>
      </w:r>
      <w:r w:rsidRPr="00BA55BB">
        <w:rPr>
          <w:rFonts w:ascii="Calibri Light" w:eastAsia="Times New Roman" w:hAnsi="Calibri Light" w:cs="Calibri Light"/>
        </w:rPr>
        <w:t xml:space="preserve"> Yet, an </w:t>
      </w:r>
      <w:r w:rsidRPr="00BA55BB">
        <w:rPr>
          <w:rFonts w:ascii="Calibri Light" w:eastAsia="Times New Roman" w:hAnsi="Calibri Light" w:cs="Calibri Light"/>
        </w:rPr>
        <w:lastRenderedPageBreak/>
        <w:t>emergency does not include threats of potential or eventual emergencies for which the likelihood of occurrence is unknown.</w:t>
      </w:r>
      <w:r w:rsidRPr="00BA55BB">
        <w:rPr>
          <w:rFonts w:ascii="Calibri Light" w:eastAsia="Times New Roman" w:hAnsi="Calibri Light" w:cs="Calibri Light"/>
          <w:vertAlign w:val="superscript"/>
        </w:rPr>
        <w:footnoteReference w:id="72"/>
      </w:r>
      <w:r w:rsidRPr="00BA55BB">
        <w:rPr>
          <w:rFonts w:ascii="Calibri Light" w:eastAsia="Times New Roman" w:hAnsi="Calibri Light" w:cs="Calibri Light"/>
        </w:rPr>
        <w:t xml:space="preserve"> In response to a university regarding potential conflicts between state notifiable diseases and conditions reporting requirements and FERPA, ED determined, among other things, that for those conditions the state health regulations require immediate reporting on an emergency basis would fall under the FERPA health and safety emergency exception.</w:t>
      </w:r>
      <w:r w:rsidRPr="00BA55BB">
        <w:rPr>
          <w:rFonts w:ascii="Calibri Light" w:eastAsia="Times New Roman" w:hAnsi="Calibri Light" w:cs="Calibri Light"/>
          <w:vertAlign w:val="superscript"/>
        </w:rPr>
        <w:footnoteReference w:id="73"/>
      </w:r>
      <w:r w:rsidRPr="00BA55BB">
        <w:rPr>
          <w:rFonts w:ascii="Calibri Light" w:eastAsia="Times New Roman" w:hAnsi="Calibri Light" w:cs="Calibri Light"/>
        </w:rPr>
        <w:t xml:space="preserve"> For conditions that did not require emergency reporting, the disclosure of PII in these circumstances would not meet the imminent threat requirement, so consent was required.</w:t>
      </w:r>
      <w:r w:rsidRPr="00BA55BB">
        <w:rPr>
          <w:rFonts w:ascii="Calibri Light" w:eastAsia="Times New Roman" w:hAnsi="Calibri Light" w:cs="Calibri Light"/>
          <w:vertAlign w:val="superscript"/>
        </w:rPr>
        <w:footnoteReference w:id="74"/>
      </w:r>
      <w:r w:rsidRPr="00BA55BB">
        <w:rPr>
          <w:rFonts w:ascii="Calibri Light" w:eastAsia="Times New Roman" w:hAnsi="Calibri Light" w:cs="Calibri Light"/>
        </w:rPr>
        <w:t xml:space="preserve"> </w:t>
      </w:r>
    </w:p>
    <w:p w14:paraId="66055FF1" w14:textId="77777777" w:rsidR="004668BF" w:rsidRPr="00BA55BB" w:rsidRDefault="004668BF" w:rsidP="004668BF">
      <w:pPr>
        <w:spacing w:line="360" w:lineRule="auto"/>
        <w:rPr>
          <w:rFonts w:ascii="Calibri Light" w:eastAsia="Times New Roman" w:hAnsi="Calibri Light" w:cs="Calibri Light"/>
        </w:rPr>
      </w:pPr>
    </w:p>
    <w:p w14:paraId="773E7F08" w14:textId="77777777" w:rsidR="004668BF" w:rsidRPr="00BA55BB" w:rsidRDefault="004668BF" w:rsidP="00A531E2">
      <w:pPr>
        <w:spacing w:after="120" w:line="360" w:lineRule="auto"/>
        <w:ind w:left="360"/>
        <w:rPr>
          <w:rFonts w:ascii="Calibri Light" w:eastAsia="Times New Roman" w:hAnsi="Calibri Light" w:cs="Calibri Light"/>
        </w:rPr>
      </w:pPr>
      <w:r w:rsidRPr="00BA55BB">
        <w:rPr>
          <w:rFonts w:ascii="Calibri Light" w:eastAsia="Times New Roman" w:hAnsi="Calibri Light" w:cs="Calibri Light"/>
        </w:rPr>
        <w:t>However, exceptions allow schools to provide some directory information, such as student name and contact information, and necessary information to appropriate officials in cases of health and safety emergencies.</w:t>
      </w:r>
      <w:r w:rsidRPr="00BA55BB">
        <w:rPr>
          <w:rFonts w:ascii="Calibri Light" w:eastAsia="Times New Roman" w:hAnsi="Calibri Light" w:cs="Calibri Light"/>
          <w:vertAlign w:val="superscript"/>
        </w:rPr>
        <w:footnoteReference w:id="75"/>
      </w:r>
      <w:r w:rsidRPr="00BA55BB">
        <w:rPr>
          <w:rFonts w:ascii="Calibri Light" w:eastAsia="Times New Roman" w:hAnsi="Calibri Light" w:cs="Calibri Light"/>
        </w:rPr>
        <w:t xml:space="preserve"> For the COVID-19 pandemic, the Department issued guidance that reaffirms its prior narrow interpretation of the health and safety exemption and definition of “emergency” but states: “If local public health authorities determine that a public health emergency, such as COVID-19, is a significant threat to students or other individuals in the community, an educational agency or institution in that community may determine that an emergency exists as well.”</w:t>
      </w:r>
      <w:r w:rsidRPr="00BA55BB">
        <w:rPr>
          <w:rFonts w:ascii="Calibri Light" w:eastAsia="Times New Roman" w:hAnsi="Calibri Light" w:cs="Calibri Light"/>
          <w:vertAlign w:val="superscript"/>
        </w:rPr>
        <w:footnoteReference w:id="76"/>
      </w:r>
      <w:r w:rsidRPr="00BA55BB">
        <w:rPr>
          <w:rFonts w:ascii="Calibri Light" w:eastAsia="Times New Roman" w:hAnsi="Calibri Light" w:cs="Calibri Light"/>
        </w:rPr>
        <w:t xml:space="preserve"> The agency also notes that public health officials may be considered “appropriate parties” under FERPA’s health or safety emergency exception—even in the absence of a formally declared health emergency—</w:t>
      </w:r>
      <w:r w:rsidRPr="00BA55BB">
        <w:rPr>
          <w:rFonts w:ascii="Calibri Light" w:eastAsia="Times New Roman" w:hAnsi="Calibri Light" w:cs="Calibri Light"/>
        </w:rPr>
        <w:lastRenderedPageBreak/>
        <w:t>especially since public health officials are the types of appropriate parties to whom PII from education records may be disclosed without consent under FERPA’s health and safety emergency exception.</w:t>
      </w:r>
      <w:r w:rsidRPr="00BA55BB">
        <w:rPr>
          <w:rFonts w:ascii="Calibri Light" w:eastAsia="Times New Roman" w:hAnsi="Calibri Light" w:cs="Calibri Light"/>
          <w:vertAlign w:val="superscript"/>
        </w:rPr>
        <w:footnoteReference w:id="77"/>
      </w:r>
    </w:p>
    <w:p w14:paraId="339C57FC" w14:textId="6562EFA9" w:rsidR="004668BF" w:rsidRPr="00BA55BB" w:rsidRDefault="004668BF" w:rsidP="004668BF">
      <w:pPr>
        <w:keepNext/>
        <w:numPr>
          <w:ilvl w:val="0"/>
          <w:numId w:val="8"/>
        </w:numPr>
        <w:spacing w:line="360" w:lineRule="auto"/>
        <w:rPr>
          <w:rFonts w:ascii="Calibri Light" w:eastAsia="Times New Roman" w:hAnsi="Calibri Light" w:cs="Calibri Light"/>
          <w:szCs w:val="20"/>
        </w:rPr>
      </w:pPr>
      <w:r w:rsidRPr="00675204">
        <w:rPr>
          <w:rFonts w:ascii="Calibri Light" w:eastAsia="Times New Roman" w:hAnsi="Calibri Light" w:cs="Calibri Light"/>
          <w:bCs/>
          <w:i/>
          <w:iCs/>
          <w:szCs w:val="20"/>
          <w:bdr w:val="none" w:sz="0" w:space="0" w:color="auto" w:frame="1"/>
        </w:rPr>
        <w:t xml:space="preserve">Judicial </w:t>
      </w:r>
      <w:r w:rsidR="00675204">
        <w:rPr>
          <w:rFonts w:ascii="Calibri Light" w:eastAsia="Times New Roman" w:hAnsi="Calibri Light" w:cs="Calibri Light"/>
          <w:bCs/>
          <w:i/>
          <w:iCs/>
          <w:szCs w:val="20"/>
          <w:bdr w:val="none" w:sz="0" w:space="0" w:color="auto" w:frame="1"/>
        </w:rPr>
        <w:t>a</w:t>
      </w:r>
      <w:r w:rsidRPr="00675204">
        <w:rPr>
          <w:rFonts w:ascii="Calibri Light" w:eastAsia="Times New Roman" w:hAnsi="Calibri Light" w:cs="Calibri Light"/>
          <w:bCs/>
          <w:i/>
          <w:iCs/>
          <w:szCs w:val="20"/>
          <w:bdr w:val="none" w:sz="0" w:space="0" w:color="auto" w:frame="1"/>
        </w:rPr>
        <w:t>ctions—</w:t>
      </w:r>
      <w:r w:rsidRPr="00BA55BB">
        <w:rPr>
          <w:rFonts w:ascii="Calibri Light" w:eastAsia="Times New Roman" w:hAnsi="Calibri Light" w:cs="Calibri Light"/>
          <w:bCs/>
          <w:szCs w:val="20"/>
          <w:bdr w:val="none" w:sz="0" w:space="0" w:color="auto" w:frame="1"/>
        </w:rPr>
        <w:t>S</w:t>
      </w:r>
      <w:r w:rsidRPr="00BA55BB">
        <w:rPr>
          <w:rFonts w:ascii="Calibri Light" w:eastAsia="Times New Roman" w:hAnsi="Calibri Light" w:cs="Calibri Light"/>
          <w:bCs/>
          <w:szCs w:val="20"/>
        </w:rPr>
        <w:t>chools</w:t>
      </w:r>
      <w:r w:rsidRPr="00BA55BB">
        <w:rPr>
          <w:rFonts w:ascii="Calibri Light" w:eastAsia="Times New Roman" w:hAnsi="Calibri Light" w:cs="Calibri Light"/>
          <w:szCs w:val="20"/>
        </w:rPr>
        <w:t xml:space="preserve"> may disclose education records without consent to comply with a judicial order or lawfully issued subpoena.</w:t>
      </w:r>
      <w:r w:rsidRPr="00BA55BB">
        <w:rPr>
          <w:rFonts w:ascii="Calibri Light" w:eastAsia="Times New Roman" w:hAnsi="Calibri Light" w:cs="Calibri Light"/>
          <w:szCs w:val="20"/>
          <w:vertAlign w:val="superscript"/>
        </w:rPr>
        <w:footnoteReference w:id="78"/>
      </w:r>
      <w:r w:rsidRPr="00BA55BB">
        <w:rPr>
          <w:rFonts w:ascii="Calibri Light" w:eastAsia="Times New Roman" w:hAnsi="Calibri Light" w:cs="Calibri Light"/>
          <w:szCs w:val="20"/>
        </w:rPr>
        <w:t xml:space="preserve"> If a school initiates legal action against a parent or student, or if the school is sued by a parent or student, the school may disclose education records relevant to the matter to the court without a court order or subpoena.</w:t>
      </w:r>
      <w:r w:rsidRPr="00BA55BB">
        <w:rPr>
          <w:rFonts w:ascii="Calibri Light" w:eastAsia="Times New Roman" w:hAnsi="Calibri Light" w:cs="Calibri Light"/>
          <w:szCs w:val="20"/>
          <w:vertAlign w:val="superscript"/>
        </w:rPr>
        <w:footnoteReference w:id="79"/>
      </w:r>
    </w:p>
    <w:p w14:paraId="0FE81E9D" w14:textId="56F3199D" w:rsidR="004668BF" w:rsidRDefault="004668BF" w:rsidP="004668BF">
      <w:pPr>
        <w:keepNext/>
        <w:spacing w:line="360" w:lineRule="auto"/>
        <w:rPr>
          <w:rFonts w:ascii="Calibri Light" w:eastAsia="Times New Roman" w:hAnsi="Calibri Light" w:cs="Calibri Light"/>
          <w:szCs w:val="20"/>
        </w:rPr>
      </w:pPr>
    </w:p>
    <w:p w14:paraId="472A707B" w14:textId="59A7DEB8" w:rsidR="00A66C7D" w:rsidRPr="00A66C7D" w:rsidRDefault="00A66C7D" w:rsidP="004668BF">
      <w:pPr>
        <w:keepNext/>
        <w:spacing w:line="360" w:lineRule="auto"/>
        <w:rPr>
          <w:rFonts w:ascii="Calibri Light" w:eastAsia="Times New Roman" w:hAnsi="Calibri Light" w:cs="Calibri Light"/>
          <w:i/>
          <w:iCs/>
          <w:szCs w:val="20"/>
        </w:rPr>
      </w:pPr>
      <w:r w:rsidRPr="00A66C7D">
        <w:rPr>
          <w:rFonts w:ascii="Calibri Light" w:eastAsia="Times New Roman" w:hAnsi="Calibri Light" w:cs="Calibri Light"/>
          <w:i/>
          <w:iCs/>
          <w:szCs w:val="20"/>
        </w:rPr>
        <w:t>FERPA Enforcement</w:t>
      </w:r>
    </w:p>
    <w:p w14:paraId="56EB2C20" w14:textId="77777777" w:rsidR="004668BF" w:rsidRPr="00A66C7D" w:rsidRDefault="004668BF" w:rsidP="004668BF">
      <w:pPr>
        <w:keepNext/>
        <w:spacing w:line="360" w:lineRule="auto"/>
        <w:rPr>
          <w:rFonts w:ascii="Calibri Light" w:eastAsia="Times New Roman" w:hAnsi="Calibri Light" w:cs="Calibri Light"/>
          <w:szCs w:val="20"/>
        </w:rPr>
      </w:pPr>
      <w:r w:rsidRPr="00BA55BB">
        <w:rPr>
          <w:rFonts w:ascii="Calibri Light" w:eastAsia="Times New Roman" w:hAnsi="Calibri Light" w:cs="Calibri Light"/>
          <w:szCs w:val="20"/>
        </w:rPr>
        <w:t>FERPA and its implementing regulations do not address any liability or immunity issues.</w:t>
      </w:r>
      <w:r w:rsidRPr="00BA55BB">
        <w:rPr>
          <w:rFonts w:ascii="Calibri Light" w:eastAsia="Times New Roman" w:hAnsi="Calibri Light" w:cs="Calibri Light"/>
          <w:szCs w:val="20"/>
          <w:vertAlign w:val="superscript"/>
        </w:rPr>
        <w:footnoteReference w:id="80"/>
      </w:r>
      <w:r w:rsidRPr="00BA55BB">
        <w:rPr>
          <w:rFonts w:ascii="Calibri Light" w:eastAsia="Times New Roman" w:hAnsi="Calibri Light" w:cs="Calibri Light"/>
          <w:szCs w:val="20"/>
        </w:rPr>
        <w:t xml:space="preserve"> There is no private cause of action in FERPA; individual parents or students may not bring a lawsuit to enforce the </w:t>
      </w:r>
      <w:r w:rsidRPr="00A66C7D">
        <w:rPr>
          <w:rFonts w:ascii="Calibri Light" w:eastAsia="Times New Roman" w:hAnsi="Calibri Light" w:cs="Calibri Light"/>
          <w:szCs w:val="20"/>
        </w:rPr>
        <w:t>act’s provisions.</w:t>
      </w:r>
      <w:r w:rsidRPr="00A66C7D">
        <w:rPr>
          <w:rFonts w:ascii="Calibri Light" w:eastAsia="Times New Roman" w:hAnsi="Calibri Light" w:cs="Calibri Light"/>
          <w:szCs w:val="20"/>
          <w:vertAlign w:val="superscript"/>
        </w:rPr>
        <w:footnoteReference w:id="81"/>
      </w:r>
      <w:r w:rsidRPr="00A66C7D">
        <w:rPr>
          <w:rFonts w:ascii="Calibri Light" w:eastAsia="Times New Roman" w:hAnsi="Calibri Light" w:cs="Calibri Light"/>
          <w:szCs w:val="20"/>
        </w:rPr>
        <w:t xml:space="preserve"> </w:t>
      </w:r>
    </w:p>
    <w:p w14:paraId="17089F38" w14:textId="18180F3D" w:rsidR="004668BF" w:rsidRPr="00A66C7D" w:rsidRDefault="004668BF" w:rsidP="004668BF">
      <w:pPr>
        <w:spacing w:line="360" w:lineRule="auto"/>
        <w:rPr>
          <w:rFonts w:ascii="Calibri Light" w:eastAsia="Times New Roman" w:hAnsi="Calibri Light" w:cs="Calibri Light"/>
          <w:szCs w:val="20"/>
        </w:rPr>
      </w:pPr>
    </w:p>
    <w:p w14:paraId="6E0D5B31" w14:textId="12656001" w:rsidR="00A66C7D" w:rsidRPr="00A66C7D" w:rsidRDefault="00A66C7D" w:rsidP="004668BF">
      <w:pPr>
        <w:spacing w:line="360" w:lineRule="auto"/>
        <w:rPr>
          <w:rFonts w:ascii="Calibri Light" w:eastAsia="Times New Roman" w:hAnsi="Calibri Light" w:cs="Calibri Light"/>
          <w:i/>
          <w:iCs/>
          <w:szCs w:val="20"/>
        </w:rPr>
      </w:pPr>
      <w:r w:rsidRPr="00A66C7D">
        <w:rPr>
          <w:rFonts w:ascii="Calibri Light" w:eastAsia="Times New Roman" w:hAnsi="Calibri Light" w:cs="Calibri Light"/>
          <w:i/>
          <w:iCs/>
          <w:szCs w:val="20"/>
        </w:rPr>
        <w:t xml:space="preserve">FERPA </w:t>
      </w:r>
      <w:r w:rsidR="009B3D85">
        <w:rPr>
          <w:rFonts w:ascii="Calibri Light" w:eastAsia="Times New Roman" w:hAnsi="Calibri Light" w:cs="Calibri Light"/>
          <w:i/>
          <w:iCs/>
          <w:szCs w:val="20"/>
        </w:rPr>
        <w:t>a</w:t>
      </w:r>
      <w:r w:rsidRPr="00A66C7D">
        <w:rPr>
          <w:rFonts w:ascii="Calibri Light" w:eastAsia="Times New Roman" w:hAnsi="Calibri Light" w:cs="Calibri Light"/>
          <w:i/>
          <w:iCs/>
          <w:szCs w:val="20"/>
        </w:rPr>
        <w:t>nd State Law</w:t>
      </w:r>
    </w:p>
    <w:p w14:paraId="40D0E7C8" w14:textId="5BFAB722" w:rsidR="004668BF" w:rsidRDefault="004668BF" w:rsidP="004668BF">
      <w:pPr>
        <w:keepNext/>
        <w:spacing w:line="360" w:lineRule="auto"/>
        <w:rPr>
          <w:rFonts w:ascii="Calibri Light" w:eastAsia="Times New Roman" w:hAnsi="Calibri Light" w:cs="Calibri Light"/>
          <w:szCs w:val="20"/>
        </w:rPr>
      </w:pPr>
      <w:r w:rsidRPr="00BA55BB">
        <w:rPr>
          <w:rFonts w:ascii="Calibri Light" w:eastAsia="Times New Roman" w:hAnsi="Calibri Light" w:cs="Calibri Light"/>
          <w:szCs w:val="20"/>
        </w:rPr>
        <w:t>If an educational agency or institution determines that it cannot comply with FERPA or its regulations due to a conflict with state law, it must notify ED within 45 days and provide the text and citation to the conflicting state law.</w:t>
      </w:r>
      <w:r w:rsidRPr="00BA55BB">
        <w:rPr>
          <w:rFonts w:ascii="Calibri Light" w:eastAsia="Times New Roman" w:hAnsi="Calibri Light" w:cs="Calibri Light"/>
          <w:szCs w:val="20"/>
          <w:vertAlign w:val="superscript"/>
        </w:rPr>
        <w:footnoteReference w:id="82"/>
      </w:r>
      <w:r w:rsidRPr="00BA55BB">
        <w:rPr>
          <w:rFonts w:ascii="Calibri Light" w:eastAsia="Times New Roman" w:hAnsi="Calibri Light" w:cs="Calibri Light"/>
          <w:szCs w:val="20"/>
        </w:rPr>
        <w:t xml:space="preserve"> The Department reviews the conflicting law and any interpretations of it made by the state and provides guidance to the requesting entity regarding FERPA’s applicability to the situation. With respect to state and local public health agencies, FERPA’s restrictions on sharing health information acquired by an educational institution have been an ongoing source of concern and a barrier to sharing relevant data. School personnel who are concerned and uncertain about their ability to legally share information in keeping with FERPA requirements may be reluctant or even refuse to share information </w:t>
      </w:r>
      <w:r w:rsidRPr="00BA55BB">
        <w:rPr>
          <w:rFonts w:ascii="Calibri Light" w:eastAsia="Times New Roman" w:hAnsi="Calibri Light" w:cs="Calibri Light"/>
          <w:szCs w:val="20"/>
        </w:rPr>
        <w:lastRenderedPageBreak/>
        <w:t>relevant for public health. States can also adopt more stringent privacy requirements for students’ information. Conversely, state open/public records laws may classify some student records as public information that would not be available under FERPA. The case law addressing the preemption of FERPA over state privacy and/or public records laws is dependent on the language of the state statutes or regulations and the specific type of information being sought (e.g., disciplinary records).</w:t>
      </w:r>
      <w:r w:rsidR="003C4069">
        <w:rPr>
          <w:rFonts w:ascii="Calibri Light" w:eastAsia="Times New Roman" w:hAnsi="Calibri Light" w:cs="Calibri Light"/>
          <w:szCs w:val="20"/>
        </w:rPr>
        <w:t xml:space="preserve"> Thus, it is important to understand how specific </w:t>
      </w:r>
      <w:r w:rsidR="00C31C2B">
        <w:rPr>
          <w:rFonts w:ascii="Calibri Light" w:eastAsia="Times New Roman" w:hAnsi="Calibri Light" w:cs="Calibri Light"/>
          <w:szCs w:val="20"/>
        </w:rPr>
        <w:t xml:space="preserve">state privacy and open records laws in a jurisdiction relate to FERPA and how </w:t>
      </w:r>
      <w:r w:rsidR="00576624">
        <w:rPr>
          <w:rFonts w:ascii="Calibri Light" w:eastAsia="Times New Roman" w:hAnsi="Calibri Light" w:cs="Calibri Light"/>
          <w:szCs w:val="20"/>
        </w:rPr>
        <w:t>these state laws have been interpreted by the courts governing that jurisdiction.</w:t>
      </w:r>
    </w:p>
    <w:p w14:paraId="3C50894A" w14:textId="78AFB1F9" w:rsidR="00351873" w:rsidRDefault="00351873" w:rsidP="004668BF">
      <w:pPr>
        <w:keepNext/>
        <w:spacing w:line="360" w:lineRule="auto"/>
        <w:rPr>
          <w:rFonts w:ascii="Calibri Light" w:eastAsia="Times New Roman" w:hAnsi="Calibri Light" w:cs="Calibri Light"/>
          <w:szCs w:val="20"/>
        </w:rPr>
      </w:pPr>
    </w:p>
    <w:p w14:paraId="5E82728A" w14:textId="72CE22F9" w:rsidR="00351873" w:rsidRPr="00351873" w:rsidRDefault="00351873" w:rsidP="00351873">
      <w:pPr>
        <w:keepNext/>
        <w:spacing w:after="120" w:line="360" w:lineRule="auto"/>
        <w:rPr>
          <w:rFonts w:ascii="Arial" w:eastAsia="Times New Roman" w:hAnsi="Arial" w:cs="Arial"/>
          <w:b/>
          <w:bCs/>
        </w:rPr>
      </w:pPr>
      <w:r w:rsidRPr="00351873">
        <w:rPr>
          <w:rFonts w:ascii="Arial" w:eastAsia="Times New Roman" w:hAnsi="Arial" w:cs="Arial"/>
          <w:b/>
          <w:bCs/>
        </w:rPr>
        <w:t>Balancing Disclosure with Privacy</w:t>
      </w:r>
    </w:p>
    <w:p w14:paraId="466B95A4" w14:textId="0A1F5728" w:rsidR="00B818CE" w:rsidRDefault="00316D28" w:rsidP="004668BF">
      <w:pPr>
        <w:spacing w:line="360" w:lineRule="auto"/>
        <w:rPr>
          <w:rFonts w:asciiTheme="majorHAnsi" w:eastAsia="Times New Roman" w:hAnsiTheme="majorHAnsi" w:cstheme="majorHAnsi"/>
        </w:rPr>
      </w:pPr>
      <w:r>
        <w:rPr>
          <w:rFonts w:asciiTheme="majorHAnsi" w:eastAsia="Times New Roman" w:hAnsiTheme="majorHAnsi" w:cstheme="majorHAnsi"/>
        </w:rPr>
        <w:t xml:space="preserve">Meeting the competing </w:t>
      </w:r>
      <w:r w:rsidR="006427F5">
        <w:rPr>
          <w:rFonts w:asciiTheme="majorHAnsi" w:eastAsia="Times New Roman" w:hAnsiTheme="majorHAnsi" w:cstheme="majorHAnsi"/>
        </w:rPr>
        <w:t xml:space="preserve">legal requirements </w:t>
      </w:r>
      <w:r w:rsidR="00BC0259">
        <w:rPr>
          <w:rFonts w:asciiTheme="majorHAnsi" w:eastAsia="Times New Roman" w:hAnsiTheme="majorHAnsi" w:cstheme="majorHAnsi"/>
        </w:rPr>
        <w:t>of protecting an individual</w:t>
      </w:r>
      <w:r w:rsidR="00C43737">
        <w:rPr>
          <w:rFonts w:asciiTheme="majorHAnsi" w:eastAsia="Times New Roman" w:hAnsiTheme="majorHAnsi" w:cstheme="majorHAnsi"/>
        </w:rPr>
        <w:t>’s or facility’s</w:t>
      </w:r>
      <w:r>
        <w:rPr>
          <w:rFonts w:asciiTheme="majorHAnsi" w:eastAsia="Times New Roman" w:hAnsiTheme="majorHAnsi" w:cstheme="majorHAnsi"/>
        </w:rPr>
        <w:t xml:space="preserve"> </w:t>
      </w:r>
      <w:r w:rsidR="009D28EC">
        <w:rPr>
          <w:rFonts w:asciiTheme="majorHAnsi" w:eastAsia="Times New Roman" w:hAnsiTheme="majorHAnsi" w:cstheme="majorHAnsi"/>
        </w:rPr>
        <w:t xml:space="preserve">private information </w:t>
      </w:r>
      <w:r w:rsidR="00F93BEA">
        <w:rPr>
          <w:rFonts w:asciiTheme="majorHAnsi" w:eastAsia="Times New Roman" w:hAnsiTheme="majorHAnsi" w:cstheme="majorHAnsi"/>
        </w:rPr>
        <w:t xml:space="preserve">while also </w:t>
      </w:r>
      <w:r w:rsidR="00D07765">
        <w:rPr>
          <w:rFonts w:asciiTheme="majorHAnsi" w:eastAsia="Times New Roman" w:hAnsiTheme="majorHAnsi" w:cstheme="majorHAnsi"/>
        </w:rPr>
        <w:t>furthering t</w:t>
      </w:r>
      <w:r w:rsidR="00F93BEA">
        <w:rPr>
          <w:rFonts w:asciiTheme="majorHAnsi" w:eastAsia="Times New Roman" w:hAnsiTheme="majorHAnsi" w:cstheme="majorHAnsi"/>
        </w:rPr>
        <w:t xml:space="preserve">he </w:t>
      </w:r>
      <w:r w:rsidR="007D2594">
        <w:rPr>
          <w:rFonts w:asciiTheme="majorHAnsi" w:eastAsia="Times New Roman" w:hAnsiTheme="majorHAnsi" w:cstheme="majorHAnsi"/>
        </w:rPr>
        <w:t>equal</w:t>
      </w:r>
      <w:r w:rsidR="00D07765">
        <w:rPr>
          <w:rFonts w:asciiTheme="majorHAnsi" w:eastAsia="Times New Roman" w:hAnsiTheme="majorHAnsi" w:cstheme="majorHAnsi"/>
        </w:rPr>
        <w:t>ly compelling</w:t>
      </w:r>
      <w:r w:rsidR="007D2594">
        <w:rPr>
          <w:rFonts w:asciiTheme="majorHAnsi" w:eastAsia="Times New Roman" w:hAnsiTheme="majorHAnsi" w:cstheme="majorHAnsi"/>
        </w:rPr>
        <w:t xml:space="preserve"> legal </w:t>
      </w:r>
      <w:r w:rsidR="00D821F2">
        <w:rPr>
          <w:rFonts w:asciiTheme="majorHAnsi" w:eastAsia="Times New Roman" w:hAnsiTheme="majorHAnsi" w:cstheme="majorHAnsi"/>
        </w:rPr>
        <w:t>mandate</w:t>
      </w:r>
      <w:r w:rsidR="007D2594">
        <w:rPr>
          <w:rFonts w:asciiTheme="majorHAnsi" w:eastAsia="Times New Roman" w:hAnsiTheme="majorHAnsi" w:cstheme="majorHAnsi"/>
        </w:rPr>
        <w:t>s</w:t>
      </w:r>
      <w:r w:rsidR="00D821F2">
        <w:rPr>
          <w:rFonts w:asciiTheme="majorHAnsi" w:eastAsia="Times New Roman" w:hAnsiTheme="majorHAnsi" w:cstheme="majorHAnsi"/>
        </w:rPr>
        <w:t xml:space="preserve"> to protect public health and be transparent </w:t>
      </w:r>
      <w:r w:rsidR="00A05498">
        <w:rPr>
          <w:rFonts w:asciiTheme="majorHAnsi" w:eastAsia="Times New Roman" w:hAnsiTheme="majorHAnsi" w:cstheme="majorHAnsi"/>
        </w:rPr>
        <w:t xml:space="preserve">with public </w:t>
      </w:r>
      <w:r w:rsidR="007D2594">
        <w:rPr>
          <w:rFonts w:asciiTheme="majorHAnsi" w:eastAsia="Times New Roman" w:hAnsiTheme="majorHAnsi" w:cstheme="majorHAnsi"/>
        </w:rPr>
        <w:t>information</w:t>
      </w:r>
      <w:r w:rsidR="00A05498">
        <w:rPr>
          <w:rFonts w:asciiTheme="majorHAnsi" w:eastAsia="Times New Roman" w:hAnsiTheme="majorHAnsi" w:cstheme="majorHAnsi"/>
        </w:rPr>
        <w:t xml:space="preserve"> is a challenging balancing act. </w:t>
      </w:r>
      <w:r w:rsidR="006C4123">
        <w:rPr>
          <w:rFonts w:asciiTheme="majorHAnsi" w:eastAsia="Times New Roman" w:hAnsiTheme="majorHAnsi" w:cstheme="majorHAnsi"/>
        </w:rPr>
        <w:t xml:space="preserve">Beyond </w:t>
      </w:r>
      <w:r w:rsidR="000E72CC">
        <w:rPr>
          <w:rFonts w:asciiTheme="majorHAnsi" w:eastAsia="Times New Roman" w:hAnsiTheme="majorHAnsi" w:cstheme="majorHAnsi"/>
        </w:rPr>
        <w:t>the</w:t>
      </w:r>
      <w:r w:rsidR="00FD3B68">
        <w:rPr>
          <w:rFonts w:asciiTheme="majorHAnsi" w:eastAsia="Times New Roman" w:hAnsiTheme="majorHAnsi" w:cstheme="majorHAnsi"/>
        </w:rPr>
        <w:t>se</w:t>
      </w:r>
      <w:r w:rsidR="000E72CC">
        <w:rPr>
          <w:rFonts w:asciiTheme="majorHAnsi" w:eastAsia="Times New Roman" w:hAnsiTheme="majorHAnsi" w:cstheme="majorHAnsi"/>
        </w:rPr>
        <w:t xml:space="preserve"> </w:t>
      </w:r>
      <w:r w:rsidR="006C4123">
        <w:rPr>
          <w:rFonts w:asciiTheme="majorHAnsi" w:eastAsia="Times New Roman" w:hAnsiTheme="majorHAnsi" w:cstheme="majorHAnsi"/>
        </w:rPr>
        <w:t xml:space="preserve">legal </w:t>
      </w:r>
      <w:r w:rsidR="000E72CC">
        <w:rPr>
          <w:rFonts w:asciiTheme="majorHAnsi" w:eastAsia="Times New Roman" w:hAnsiTheme="majorHAnsi" w:cstheme="majorHAnsi"/>
        </w:rPr>
        <w:t>obligations</w:t>
      </w:r>
      <w:r w:rsidR="006C4123">
        <w:rPr>
          <w:rFonts w:asciiTheme="majorHAnsi" w:eastAsia="Times New Roman" w:hAnsiTheme="majorHAnsi" w:cstheme="majorHAnsi"/>
        </w:rPr>
        <w:t>, the</w:t>
      </w:r>
      <w:r w:rsidR="00FD3B68">
        <w:rPr>
          <w:rFonts w:asciiTheme="majorHAnsi" w:eastAsia="Times New Roman" w:hAnsiTheme="majorHAnsi" w:cstheme="majorHAnsi"/>
        </w:rPr>
        <w:t xml:space="preserve">re is also </w:t>
      </w:r>
      <w:r w:rsidR="00390A9F">
        <w:rPr>
          <w:rFonts w:asciiTheme="majorHAnsi" w:eastAsia="Times New Roman" w:hAnsiTheme="majorHAnsi" w:cstheme="majorHAnsi"/>
        </w:rPr>
        <w:t xml:space="preserve">the </w:t>
      </w:r>
      <w:r w:rsidR="00F65DA8">
        <w:rPr>
          <w:rFonts w:asciiTheme="majorHAnsi" w:eastAsia="Times New Roman" w:hAnsiTheme="majorHAnsi" w:cstheme="majorHAnsi"/>
        </w:rPr>
        <w:t>responsibility</w:t>
      </w:r>
      <w:r w:rsidR="00390A9F">
        <w:rPr>
          <w:rFonts w:asciiTheme="majorHAnsi" w:eastAsia="Times New Roman" w:hAnsiTheme="majorHAnsi" w:cstheme="majorHAnsi"/>
        </w:rPr>
        <w:t xml:space="preserve"> to ensure </w:t>
      </w:r>
      <w:r w:rsidR="006C4123">
        <w:rPr>
          <w:rFonts w:asciiTheme="majorHAnsi" w:eastAsia="Times New Roman" w:hAnsiTheme="majorHAnsi" w:cstheme="majorHAnsi"/>
        </w:rPr>
        <w:t>the public’s</w:t>
      </w:r>
      <w:r w:rsidR="008C294C">
        <w:rPr>
          <w:rFonts w:asciiTheme="majorHAnsi" w:eastAsia="Times New Roman" w:hAnsiTheme="majorHAnsi" w:cstheme="majorHAnsi"/>
        </w:rPr>
        <w:t xml:space="preserve"> overall </w:t>
      </w:r>
      <w:r w:rsidR="006C4123">
        <w:rPr>
          <w:rFonts w:asciiTheme="majorHAnsi" w:eastAsia="Times New Roman" w:hAnsiTheme="majorHAnsi" w:cstheme="majorHAnsi"/>
        </w:rPr>
        <w:t xml:space="preserve">trust </w:t>
      </w:r>
      <w:r w:rsidR="00D51DBB">
        <w:rPr>
          <w:rFonts w:asciiTheme="majorHAnsi" w:eastAsia="Times New Roman" w:hAnsiTheme="majorHAnsi" w:cstheme="majorHAnsi"/>
        </w:rPr>
        <w:t xml:space="preserve">in </w:t>
      </w:r>
      <w:r w:rsidR="006C4123">
        <w:rPr>
          <w:rFonts w:asciiTheme="majorHAnsi" w:eastAsia="Times New Roman" w:hAnsiTheme="majorHAnsi" w:cstheme="majorHAnsi"/>
        </w:rPr>
        <w:t xml:space="preserve">how </w:t>
      </w:r>
      <w:r w:rsidR="004A6059">
        <w:rPr>
          <w:rFonts w:asciiTheme="majorHAnsi" w:eastAsia="Times New Roman" w:hAnsiTheme="majorHAnsi" w:cstheme="majorHAnsi"/>
        </w:rPr>
        <w:t xml:space="preserve">a public health agency handles </w:t>
      </w:r>
      <w:r w:rsidR="00332573">
        <w:rPr>
          <w:rFonts w:asciiTheme="majorHAnsi" w:eastAsia="Times New Roman" w:hAnsiTheme="majorHAnsi" w:cstheme="majorHAnsi"/>
        </w:rPr>
        <w:t xml:space="preserve">sensitive information while </w:t>
      </w:r>
      <w:r w:rsidR="00D51DBB">
        <w:rPr>
          <w:rFonts w:asciiTheme="majorHAnsi" w:eastAsia="Times New Roman" w:hAnsiTheme="majorHAnsi" w:cstheme="majorHAnsi"/>
        </w:rPr>
        <w:t xml:space="preserve">informing </w:t>
      </w:r>
      <w:r w:rsidR="00214D92">
        <w:rPr>
          <w:rFonts w:asciiTheme="majorHAnsi" w:eastAsia="Times New Roman" w:hAnsiTheme="majorHAnsi" w:cstheme="majorHAnsi"/>
        </w:rPr>
        <w:t>the</w:t>
      </w:r>
      <w:r w:rsidR="00D51DBB">
        <w:rPr>
          <w:rFonts w:asciiTheme="majorHAnsi" w:eastAsia="Times New Roman" w:hAnsiTheme="majorHAnsi" w:cstheme="majorHAnsi"/>
        </w:rPr>
        <w:t xml:space="preserve"> </w:t>
      </w:r>
      <w:r w:rsidR="00214D92">
        <w:rPr>
          <w:rFonts w:asciiTheme="majorHAnsi" w:eastAsia="Times New Roman" w:hAnsiTheme="majorHAnsi" w:cstheme="majorHAnsi"/>
        </w:rPr>
        <w:t xml:space="preserve">public </w:t>
      </w:r>
      <w:r w:rsidR="00D51DBB">
        <w:rPr>
          <w:rFonts w:asciiTheme="majorHAnsi" w:eastAsia="Times New Roman" w:hAnsiTheme="majorHAnsi" w:cstheme="majorHAnsi"/>
        </w:rPr>
        <w:t xml:space="preserve">about </w:t>
      </w:r>
      <w:r w:rsidR="00AB2BE2">
        <w:rPr>
          <w:rFonts w:asciiTheme="majorHAnsi" w:eastAsia="Times New Roman" w:hAnsiTheme="majorHAnsi" w:cstheme="majorHAnsi"/>
        </w:rPr>
        <w:t xml:space="preserve">health threats </w:t>
      </w:r>
      <w:r w:rsidR="004A6059">
        <w:rPr>
          <w:rFonts w:asciiTheme="majorHAnsi" w:eastAsia="Times New Roman" w:hAnsiTheme="majorHAnsi" w:cstheme="majorHAnsi"/>
        </w:rPr>
        <w:t>to</w:t>
      </w:r>
      <w:r w:rsidR="00AB2BE2">
        <w:rPr>
          <w:rFonts w:asciiTheme="majorHAnsi" w:eastAsia="Times New Roman" w:hAnsiTheme="majorHAnsi" w:cstheme="majorHAnsi"/>
        </w:rPr>
        <w:t xml:space="preserve"> the community.</w:t>
      </w:r>
      <w:r w:rsidR="00544B5D">
        <w:rPr>
          <w:rFonts w:asciiTheme="majorHAnsi" w:eastAsia="Times New Roman" w:hAnsiTheme="majorHAnsi" w:cstheme="majorHAnsi"/>
        </w:rPr>
        <w:t xml:space="preserve"> </w:t>
      </w:r>
    </w:p>
    <w:p w14:paraId="66B023CF" w14:textId="49BB904A" w:rsidR="00B818CE" w:rsidRDefault="00B818CE" w:rsidP="004668BF">
      <w:pPr>
        <w:spacing w:line="360" w:lineRule="auto"/>
        <w:rPr>
          <w:rFonts w:asciiTheme="majorHAnsi" w:eastAsia="Times New Roman" w:hAnsiTheme="majorHAnsi" w:cstheme="majorHAnsi"/>
        </w:rPr>
      </w:pPr>
    </w:p>
    <w:p w14:paraId="3B9B406C" w14:textId="6B6475BE" w:rsidR="00D210FC" w:rsidRDefault="00D210FC" w:rsidP="004668BF">
      <w:pPr>
        <w:spacing w:line="360" w:lineRule="auto"/>
        <w:rPr>
          <w:rFonts w:asciiTheme="majorHAnsi" w:eastAsia="Times New Roman" w:hAnsiTheme="majorHAnsi" w:cstheme="majorHAnsi"/>
        </w:rPr>
      </w:pPr>
      <w:r>
        <w:rPr>
          <w:rFonts w:asciiTheme="majorHAnsi" w:eastAsia="Times New Roman" w:hAnsiTheme="majorHAnsi" w:cstheme="majorHAnsi"/>
        </w:rPr>
        <w:t xml:space="preserve">Public health officials must also determine what information it can </w:t>
      </w:r>
      <w:r w:rsidR="007B7A61">
        <w:rPr>
          <w:rFonts w:asciiTheme="majorHAnsi" w:eastAsia="Times New Roman" w:hAnsiTheme="majorHAnsi" w:cstheme="majorHAnsi"/>
        </w:rPr>
        <w:t xml:space="preserve">or should </w:t>
      </w:r>
      <w:r>
        <w:rPr>
          <w:rFonts w:asciiTheme="majorHAnsi" w:eastAsia="Times New Roman" w:hAnsiTheme="majorHAnsi" w:cstheme="majorHAnsi"/>
        </w:rPr>
        <w:t xml:space="preserve">share with other </w:t>
      </w:r>
      <w:r w:rsidR="003B745F">
        <w:rPr>
          <w:rFonts w:asciiTheme="majorHAnsi" w:eastAsia="Times New Roman" w:hAnsiTheme="majorHAnsi" w:cstheme="majorHAnsi"/>
        </w:rPr>
        <w:t>parties</w:t>
      </w:r>
      <w:r w:rsidR="007B7A61">
        <w:rPr>
          <w:rFonts w:asciiTheme="majorHAnsi" w:eastAsia="Times New Roman" w:hAnsiTheme="majorHAnsi" w:cstheme="majorHAnsi"/>
        </w:rPr>
        <w:t xml:space="preserve"> </w:t>
      </w:r>
      <w:r w:rsidR="003866B3">
        <w:rPr>
          <w:rFonts w:asciiTheme="majorHAnsi" w:eastAsia="Times New Roman" w:hAnsiTheme="majorHAnsi" w:cstheme="majorHAnsi"/>
        </w:rPr>
        <w:t xml:space="preserve">in the process of investigating and mediating an LD outbreak. </w:t>
      </w:r>
      <w:r w:rsidR="00257941">
        <w:rPr>
          <w:rFonts w:asciiTheme="majorHAnsi" w:eastAsia="Times New Roman" w:hAnsiTheme="majorHAnsi" w:cstheme="majorHAnsi"/>
        </w:rPr>
        <w:t>These o</w:t>
      </w:r>
      <w:r w:rsidR="005B036D">
        <w:rPr>
          <w:rFonts w:asciiTheme="majorHAnsi" w:eastAsia="Times New Roman" w:hAnsiTheme="majorHAnsi" w:cstheme="majorHAnsi"/>
        </w:rPr>
        <w:t>ther parties can range from government agencies</w:t>
      </w:r>
      <w:r w:rsidR="00257941">
        <w:rPr>
          <w:rFonts w:asciiTheme="majorHAnsi" w:eastAsia="Times New Roman" w:hAnsiTheme="majorHAnsi" w:cstheme="majorHAnsi"/>
        </w:rPr>
        <w:t xml:space="preserve">, law enforcement, healthcare providers, </w:t>
      </w:r>
      <w:r w:rsidR="00CE50CE">
        <w:rPr>
          <w:rFonts w:asciiTheme="majorHAnsi" w:eastAsia="Times New Roman" w:hAnsiTheme="majorHAnsi" w:cstheme="majorHAnsi"/>
        </w:rPr>
        <w:t xml:space="preserve">exposed or potentially affected individuals and businesses, </w:t>
      </w:r>
      <w:r w:rsidR="004C6407">
        <w:rPr>
          <w:rFonts w:asciiTheme="majorHAnsi" w:eastAsia="Times New Roman" w:hAnsiTheme="majorHAnsi" w:cstheme="majorHAnsi"/>
        </w:rPr>
        <w:t xml:space="preserve">media, and the general public. </w:t>
      </w:r>
      <w:r w:rsidR="004C6407" w:rsidRPr="00371EFC">
        <w:rPr>
          <w:rFonts w:asciiTheme="majorHAnsi" w:eastAsia="Times New Roman" w:hAnsiTheme="majorHAnsi" w:cstheme="majorHAnsi"/>
        </w:rPr>
        <w:t>While s</w:t>
      </w:r>
      <w:r w:rsidR="004C6407" w:rsidRPr="00371EFC">
        <w:rPr>
          <w:rFonts w:asciiTheme="majorHAnsi" w:eastAsia="Times New Roman" w:hAnsiTheme="majorHAnsi" w:cstheme="majorHAnsi"/>
        </w:rPr>
        <w:t xml:space="preserve">ome jurisdictions </w:t>
      </w:r>
      <w:r w:rsidR="004C6407" w:rsidRPr="00371EFC">
        <w:rPr>
          <w:rFonts w:asciiTheme="majorHAnsi" w:eastAsia="Times New Roman" w:hAnsiTheme="majorHAnsi" w:cstheme="majorHAnsi"/>
        </w:rPr>
        <w:t xml:space="preserve">may have </w:t>
      </w:r>
      <w:r w:rsidR="00D901E1" w:rsidRPr="00371EFC">
        <w:rPr>
          <w:rFonts w:asciiTheme="majorHAnsi" w:eastAsia="Times New Roman" w:hAnsiTheme="majorHAnsi" w:cstheme="majorHAnsi"/>
        </w:rPr>
        <w:t xml:space="preserve">laws or regulations that require them to share information </w:t>
      </w:r>
      <w:r w:rsidR="00BC42E5" w:rsidRPr="00371EFC">
        <w:rPr>
          <w:rFonts w:asciiTheme="majorHAnsi" w:eastAsia="Times New Roman" w:hAnsiTheme="majorHAnsi" w:cstheme="majorHAnsi"/>
        </w:rPr>
        <w:t xml:space="preserve">as part of the investigation and mitigation process, other jurisdictions </w:t>
      </w:r>
      <w:r w:rsidR="00EF34F9" w:rsidRPr="00371EFC">
        <w:rPr>
          <w:rFonts w:asciiTheme="majorHAnsi" w:eastAsia="Times New Roman" w:hAnsiTheme="majorHAnsi" w:cstheme="majorHAnsi"/>
        </w:rPr>
        <w:t>may be able to achieve this by relying on their general authority to protect the public’s health.</w:t>
      </w:r>
      <w:r w:rsidR="00EF34F9">
        <w:rPr>
          <w:rFonts w:ascii="Calibri" w:eastAsia="Times New Roman" w:hAnsi="Calibri" w:cs="Calibri"/>
        </w:rPr>
        <w:t xml:space="preserve"> </w:t>
      </w:r>
      <w:r w:rsidR="003B745F">
        <w:rPr>
          <w:rFonts w:asciiTheme="majorHAnsi" w:eastAsia="Times New Roman" w:hAnsiTheme="majorHAnsi" w:cstheme="majorHAnsi"/>
        </w:rPr>
        <w:t xml:space="preserve"> </w:t>
      </w:r>
    </w:p>
    <w:p w14:paraId="25873BA5" w14:textId="77777777" w:rsidR="00B818CE" w:rsidRDefault="00B818CE" w:rsidP="004668BF">
      <w:pPr>
        <w:spacing w:line="360" w:lineRule="auto"/>
        <w:rPr>
          <w:rFonts w:asciiTheme="majorHAnsi" w:eastAsia="Times New Roman" w:hAnsiTheme="majorHAnsi" w:cstheme="majorHAnsi"/>
        </w:rPr>
      </w:pPr>
    </w:p>
    <w:p w14:paraId="26D7A159" w14:textId="686EA724" w:rsidR="002F471C" w:rsidRDefault="00544B5D" w:rsidP="004668BF">
      <w:pPr>
        <w:spacing w:line="360" w:lineRule="auto"/>
        <w:rPr>
          <w:rFonts w:asciiTheme="majorHAnsi" w:eastAsia="Times New Roman" w:hAnsiTheme="majorHAnsi" w:cstheme="majorHAnsi"/>
        </w:rPr>
      </w:pPr>
      <w:r>
        <w:rPr>
          <w:rFonts w:asciiTheme="majorHAnsi" w:eastAsia="Times New Roman" w:hAnsiTheme="majorHAnsi" w:cstheme="majorHAnsi"/>
        </w:rPr>
        <w:t xml:space="preserve">Where a public health official is uncertain about </w:t>
      </w:r>
      <w:r w:rsidR="00B818CE">
        <w:rPr>
          <w:rFonts w:asciiTheme="majorHAnsi" w:eastAsia="Times New Roman" w:hAnsiTheme="majorHAnsi" w:cstheme="majorHAnsi"/>
        </w:rPr>
        <w:t xml:space="preserve">how to achieve the balance of disclosure and privacy, </w:t>
      </w:r>
      <w:r w:rsidR="008864D6">
        <w:rPr>
          <w:rFonts w:asciiTheme="majorHAnsi" w:eastAsia="Times New Roman" w:hAnsiTheme="majorHAnsi" w:cstheme="majorHAnsi"/>
        </w:rPr>
        <w:t>they should consult with their legal counsel to identify the legal parameters affecting the disclosure decision</w:t>
      </w:r>
      <w:r w:rsidR="00032E69">
        <w:rPr>
          <w:rFonts w:asciiTheme="majorHAnsi" w:eastAsia="Times New Roman" w:hAnsiTheme="majorHAnsi" w:cstheme="majorHAnsi"/>
        </w:rPr>
        <w:t>.</w:t>
      </w:r>
      <w:r w:rsidR="007D1E20">
        <w:rPr>
          <w:rFonts w:asciiTheme="majorHAnsi" w:eastAsia="Times New Roman" w:hAnsiTheme="majorHAnsi" w:cstheme="majorHAnsi"/>
        </w:rPr>
        <w:t xml:space="preserve"> Consult the “Practice Tips” following this section to </w:t>
      </w:r>
      <w:r w:rsidR="006B54A8">
        <w:rPr>
          <w:rFonts w:asciiTheme="majorHAnsi" w:eastAsia="Times New Roman" w:hAnsiTheme="majorHAnsi" w:cstheme="majorHAnsi"/>
        </w:rPr>
        <w:t xml:space="preserve">help guide the discussion with legal counsel and to develop </w:t>
      </w:r>
      <w:r w:rsidR="007E49B6">
        <w:rPr>
          <w:rFonts w:asciiTheme="majorHAnsi" w:eastAsia="Times New Roman" w:hAnsiTheme="majorHAnsi" w:cstheme="majorHAnsi"/>
        </w:rPr>
        <w:t xml:space="preserve">guidelines for privacy and disclosure based on the </w:t>
      </w:r>
      <w:r w:rsidR="00393CCB">
        <w:rPr>
          <w:rFonts w:asciiTheme="majorHAnsi" w:eastAsia="Times New Roman" w:hAnsiTheme="majorHAnsi" w:cstheme="majorHAnsi"/>
        </w:rPr>
        <w:t>law in the jurisdic</w:t>
      </w:r>
      <w:r w:rsidR="003208E4">
        <w:rPr>
          <w:rFonts w:asciiTheme="majorHAnsi" w:eastAsia="Times New Roman" w:hAnsiTheme="majorHAnsi" w:cstheme="majorHAnsi"/>
        </w:rPr>
        <w:t>tion.</w:t>
      </w:r>
    </w:p>
    <w:p w14:paraId="780F00B1" w14:textId="77777777" w:rsidR="002F471C" w:rsidRDefault="002F471C">
      <w:pPr>
        <w:rPr>
          <w:rFonts w:asciiTheme="majorHAnsi" w:eastAsia="Times New Roman" w:hAnsiTheme="majorHAnsi" w:cstheme="majorHAnsi"/>
        </w:rPr>
      </w:pPr>
      <w:r>
        <w:rPr>
          <w:rFonts w:asciiTheme="majorHAnsi" w:eastAsia="Times New Roman" w:hAnsiTheme="majorHAnsi" w:cstheme="majorHAnsi"/>
        </w:rPr>
        <w:br w:type="page"/>
      </w:r>
    </w:p>
    <w:p w14:paraId="1F2BA53C" w14:textId="6B844369" w:rsidR="00351873" w:rsidRPr="00EE3CC7" w:rsidRDefault="002F471C" w:rsidP="004668BF">
      <w:pPr>
        <w:spacing w:line="360" w:lineRule="auto"/>
        <w:rPr>
          <w:rFonts w:asciiTheme="majorHAnsi" w:eastAsia="Times New Roman" w:hAnsiTheme="majorHAnsi" w:cstheme="majorHAnsi"/>
        </w:rPr>
      </w:pPr>
      <w:r>
        <w:rPr>
          <w:noProof/>
        </w:rPr>
        <w:lastRenderedPageBreak/>
        <mc:AlternateContent>
          <mc:Choice Requires="wps">
            <w:drawing>
              <wp:anchor distT="45720" distB="45720" distL="114300" distR="114300" simplePos="0" relativeHeight="251661312" behindDoc="0" locked="0" layoutInCell="1" allowOverlap="1" wp14:anchorId="4C1AF107" wp14:editId="1D5C3CBA">
                <wp:simplePos x="0" y="0"/>
                <wp:positionH relativeFrom="margin">
                  <wp:align>center</wp:align>
                </wp:positionH>
                <wp:positionV relativeFrom="paragraph">
                  <wp:posOffset>0</wp:posOffset>
                </wp:positionV>
                <wp:extent cx="6565392" cy="7973568"/>
                <wp:effectExtent l="0" t="0" r="26035"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392" cy="7973568"/>
                        </a:xfrm>
                        <a:prstGeom prst="rect">
                          <a:avLst/>
                        </a:prstGeom>
                        <a:solidFill>
                          <a:srgbClr val="FFFFFF"/>
                        </a:solidFill>
                        <a:ln w="9525">
                          <a:solidFill>
                            <a:srgbClr val="000000"/>
                          </a:solidFill>
                          <a:miter lim="800000"/>
                          <a:headEnd/>
                          <a:tailEnd/>
                        </a:ln>
                      </wps:spPr>
                      <wps:txbx>
                        <w:txbxContent>
                          <w:p w14:paraId="729A86BA" w14:textId="77777777" w:rsidR="002F471C" w:rsidRPr="0058248F" w:rsidRDefault="002F471C" w:rsidP="002F471C">
                            <w:pPr>
                              <w:spacing w:after="120"/>
                              <w:jc w:val="center"/>
                              <w:rPr>
                                <w:rFonts w:ascii="Arial" w:hAnsi="Arial" w:cs="Arial"/>
                                <w:b/>
                                <w:bCs/>
                              </w:rPr>
                            </w:pPr>
                            <w:r w:rsidRPr="0058248F">
                              <w:rPr>
                                <w:rFonts w:ascii="Arial" w:hAnsi="Arial" w:cs="Arial"/>
                                <w:b/>
                                <w:bCs/>
                              </w:rPr>
                              <w:t>Practice Tips</w:t>
                            </w:r>
                          </w:p>
                          <w:p w14:paraId="2D2F744C" w14:textId="77777777" w:rsidR="002F471C" w:rsidRPr="0058248F" w:rsidRDefault="002F471C" w:rsidP="002F471C">
                            <w:pPr>
                              <w:jc w:val="center"/>
                              <w:rPr>
                                <w:rFonts w:ascii="Arial" w:hAnsi="Arial" w:cs="Arial"/>
                                <w:b/>
                                <w:bCs/>
                              </w:rPr>
                            </w:pPr>
                            <w:r w:rsidRPr="0058248F">
                              <w:rPr>
                                <w:rFonts w:ascii="Arial" w:hAnsi="Arial" w:cs="Arial"/>
                                <w:b/>
                                <w:bCs/>
                              </w:rPr>
                              <w:t>Access to Information and Confidentiality</w:t>
                            </w:r>
                          </w:p>
                          <w:p w14:paraId="108D62A7" w14:textId="77777777" w:rsidR="002F471C" w:rsidRDefault="002F471C" w:rsidP="002F471C">
                            <w:pPr>
                              <w:spacing w:line="360" w:lineRule="auto"/>
                              <w:rPr>
                                <w:rFonts w:asciiTheme="majorHAnsi" w:hAnsiTheme="majorHAnsi" w:cstheme="majorHAnsi"/>
                              </w:rPr>
                            </w:pPr>
                          </w:p>
                          <w:p w14:paraId="1B0E4862" w14:textId="77777777" w:rsidR="002F471C" w:rsidRPr="001D62AA" w:rsidRDefault="002F471C" w:rsidP="002F471C">
                            <w:pPr>
                              <w:rPr>
                                <w:rFonts w:ascii="Arial" w:hAnsi="Arial" w:cs="Arial"/>
                                <w:i/>
                                <w:iCs/>
                                <w:sz w:val="18"/>
                                <w:szCs w:val="18"/>
                              </w:rPr>
                            </w:pPr>
                            <w:r w:rsidRPr="001D62AA">
                              <w:rPr>
                                <w:rFonts w:ascii="Arial" w:hAnsi="Arial" w:cs="Arial"/>
                                <w:i/>
                                <w:iCs/>
                                <w:sz w:val="18"/>
                                <w:szCs w:val="18"/>
                              </w:rPr>
                              <w:t>Use these tips to guide conversation with legal counsel and develop guidelines for collecting, using, and disclosing information during an LD outbreak.</w:t>
                            </w:r>
                          </w:p>
                          <w:p w14:paraId="0DFB956C" w14:textId="77777777" w:rsidR="002F471C" w:rsidRPr="0085271C" w:rsidRDefault="002F471C" w:rsidP="002F471C">
                            <w:pPr>
                              <w:rPr>
                                <w:rFonts w:ascii="Arial" w:hAnsi="Arial" w:cs="Arial"/>
                                <w:sz w:val="18"/>
                                <w:szCs w:val="18"/>
                              </w:rPr>
                            </w:pPr>
                          </w:p>
                          <w:p w14:paraId="079FFE18" w14:textId="77777777" w:rsidR="002F471C" w:rsidRPr="0085271C" w:rsidRDefault="002F471C" w:rsidP="002F471C">
                            <w:pPr>
                              <w:spacing w:after="120"/>
                              <w:rPr>
                                <w:rFonts w:ascii="Arial" w:hAnsi="Arial" w:cs="Arial"/>
                                <w:sz w:val="18"/>
                                <w:szCs w:val="18"/>
                              </w:rPr>
                            </w:pPr>
                            <w:r w:rsidRPr="0085271C">
                              <w:rPr>
                                <w:rFonts w:ascii="Arial" w:hAnsi="Arial" w:cs="Arial"/>
                                <w:sz w:val="18"/>
                                <w:szCs w:val="18"/>
                              </w:rPr>
                              <w:t xml:space="preserve">Identify legal authorities that authorize your public health agency to collect and use information from sources like individuals, businesses, and organizations. </w:t>
                            </w:r>
                          </w:p>
                          <w:p w14:paraId="1FE3987E" w14:textId="77777777" w:rsidR="002F471C" w:rsidRPr="001D62AA" w:rsidRDefault="002F471C" w:rsidP="002F471C">
                            <w:pPr>
                              <w:pStyle w:val="ListParagraph"/>
                              <w:numPr>
                                <w:ilvl w:val="0"/>
                                <w:numId w:val="13"/>
                              </w:numPr>
                              <w:spacing w:after="120"/>
                              <w:contextualSpacing w:val="0"/>
                              <w:rPr>
                                <w:rFonts w:ascii="Arial" w:hAnsi="Arial" w:cs="Arial"/>
                                <w:sz w:val="18"/>
                                <w:szCs w:val="18"/>
                              </w:rPr>
                            </w:pPr>
                            <w:r w:rsidRPr="001D62AA">
                              <w:rPr>
                                <w:rFonts w:ascii="Arial" w:hAnsi="Arial" w:cs="Arial"/>
                                <w:sz w:val="18"/>
                                <w:szCs w:val="18"/>
                              </w:rPr>
                              <w:t xml:space="preserve">For each type of legal authority listed below, identify the types of data information that can be collected from/about each type of source. </w:t>
                            </w:r>
                          </w:p>
                          <w:p w14:paraId="795DCEF8" w14:textId="77777777" w:rsidR="002F471C" w:rsidRPr="001D62AA" w:rsidRDefault="002F471C" w:rsidP="002F471C">
                            <w:pPr>
                              <w:pStyle w:val="ListParagraph"/>
                              <w:numPr>
                                <w:ilvl w:val="0"/>
                                <w:numId w:val="13"/>
                              </w:numPr>
                              <w:spacing w:after="120"/>
                              <w:contextualSpacing w:val="0"/>
                              <w:rPr>
                                <w:rFonts w:ascii="Arial" w:hAnsi="Arial" w:cs="Arial"/>
                                <w:sz w:val="18"/>
                                <w:szCs w:val="18"/>
                              </w:rPr>
                            </w:pPr>
                            <w:r w:rsidRPr="001D62AA">
                              <w:rPr>
                                <w:rFonts w:ascii="Arial" w:hAnsi="Arial" w:cs="Arial"/>
                                <w:sz w:val="18"/>
                                <w:szCs w:val="18"/>
                              </w:rPr>
                              <w:t xml:space="preserve">Also note any prerequisites, conditions, or limitations on the type of information allowed or how it is used. </w:t>
                            </w:r>
                          </w:p>
                          <w:p w14:paraId="1ED9FEF3"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General public health authority</w:t>
                            </w:r>
                          </w:p>
                          <w:p w14:paraId="2C1677B0"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Disease specific</w:t>
                            </w:r>
                          </w:p>
                          <w:p w14:paraId="74FA5262"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Setting specific</w:t>
                            </w:r>
                          </w:p>
                          <w:p w14:paraId="42376353"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Other conditions (e.g., criminal, suspected acts of bioterrorism)</w:t>
                            </w:r>
                          </w:p>
                          <w:p w14:paraId="61EA4C61"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Catch-all (e.g., unusual occurrence of a disease, infection, or condition)</w:t>
                            </w:r>
                          </w:p>
                          <w:p w14:paraId="74810E49" w14:textId="77777777" w:rsidR="002F471C" w:rsidRPr="0085271C" w:rsidRDefault="002F471C" w:rsidP="002F471C">
                            <w:pPr>
                              <w:pStyle w:val="ListParagraph"/>
                              <w:numPr>
                                <w:ilvl w:val="0"/>
                                <w:numId w:val="10"/>
                              </w:numPr>
                              <w:ind w:left="1080"/>
                              <w:rPr>
                                <w:rFonts w:ascii="Arial" w:hAnsi="Arial" w:cs="Arial"/>
                                <w:sz w:val="18"/>
                                <w:szCs w:val="18"/>
                              </w:rPr>
                            </w:pPr>
                            <w:r w:rsidRPr="0085271C">
                              <w:rPr>
                                <w:rFonts w:ascii="Arial" w:hAnsi="Arial" w:cs="Arial"/>
                                <w:sz w:val="18"/>
                                <w:szCs w:val="18"/>
                              </w:rPr>
                              <w:t>Other</w:t>
                            </w:r>
                          </w:p>
                          <w:p w14:paraId="160DF9B0" w14:textId="77777777" w:rsidR="002F471C" w:rsidRPr="0085271C" w:rsidRDefault="002F471C" w:rsidP="002F471C">
                            <w:pPr>
                              <w:rPr>
                                <w:rFonts w:ascii="Arial" w:hAnsi="Arial" w:cs="Arial"/>
                                <w:sz w:val="18"/>
                                <w:szCs w:val="18"/>
                              </w:rPr>
                            </w:pPr>
                          </w:p>
                          <w:p w14:paraId="31308F75" w14:textId="77777777" w:rsidR="002F471C" w:rsidRPr="0085271C" w:rsidRDefault="002F471C" w:rsidP="002F471C">
                            <w:pPr>
                              <w:spacing w:after="120"/>
                              <w:rPr>
                                <w:rFonts w:ascii="Arial" w:hAnsi="Arial" w:cs="Arial"/>
                                <w:sz w:val="18"/>
                                <w:szCs w:val="18"/>
                              </w:rPr>
                            </w:pPr>
                            <w:r w:rsidRPr="0085271C">
                              <w:rPr>
                                <w:rFonts w:ascii="Arial" w:hAnsi="Arial" w:cs="Arial"/>
                                <w:sz w:val="18"/>
                                <w:szCs w:val="18"/>
                              </w:rPr>
                              <w:t xml:space="preserve">Identify legal authorities that authorize or require the public health agency to disclose information. </w:t>
                            </w:r>
                          </w:p>
                          <w:p w14:paraId="2EFC5006" w14:textId="77777777" w:rsidR="002F471C" w:rsidRPr="001D62AA" w:rsidRDefault="002F471C" w:rsidP="002F471C">
                            <w:pPr>
                              <w:pStyle w:val="ListParagraph"/>
                              <w:numPr>
                                <w:ilvl w:val="0"/>
                                <w:numId w:val="14"/>
                              </w:numPr>
                              <w:spacing w:after="120"/>
                              <w:contextualSpacing w:val="0"/>
                              <w:rPr>
                                <w:rFonts w:ascii="Arial" w:hAnsi="Arial" w:cs="Arial"/>
                                <w:sz w:val="18"/>
                                <w:szCs w:val="18"/>
                              </w:rPr>
                            </w:pPr>
                            <w:r w:rsidRPr="001D62AA">
                              <w:rPr>
                                <w:rFonts w:ascii="Arial" w:hAnsi="Arial" w:cs="Arial"/>
                                <w:sz w:val="18"/>
                                <w:szCs w:val="18"/>
                              </w:rPr>
                              <w:t xml:space="preserve">Note any prerequisites, conditions, or limitations on the type of information that can be disclosed and to whom it may or must be disclosed. </w:t>
                            </w:r>
                          </w:p>
                          <w:p w14:paraId="2096CBD3" w14:textId="77777777" w:rsidR="002F471C" w:rsidRPr="001D62AA" w:rsidRDefault="002F471C" w:rsidP="002F471C">
                            <w:pPr>
                              <w:pStyle w:val="ListParagraph"/>
                              <w:numPr>
                                <w:ilvl w:val="0"/>
                                <w:numId w:val="14"/>
                              </w:numPr>
                              <w:spacing w:after="80"/>
                              <w:contextualSpacing w:val="0"/>
                              <w:rPr>
                                <w:rFonts w:ascii="Arial" w:hAnsi="Arial" w:cs="Arial"/>
                                <w:b/>
                                <w:bCs/>
                                <w:sz w:val="18"/>
                                <w:szCs w:val="18"/>
                              </w:rPr>
                            </w:pPr>
                            <w:r w:rsidRPr="001D62AA">
                              <w:rPr>
                                <w:rFonts w:ascii="Arial" w:hAnsi="Arial" w:cs="Arial"/>
                                <w:sz w:val="18"/>
                                <w:szCs w:val="18"/>
                              </w:rPr>
                              <w:t xml:space="preserve">Consider each of the following types of legal authorities:  </w:t>
                            </w:r>
                          </w:p>
                          <w:p w14:paraId="541628BB"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Freedom of information/open records laws</w:t>
                            </w:r>
                          </w:p>
                          <w:p w14:paraId="712567EB"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Health information privacy laws</w:t>
                            </w:r>
                          </w:p>
                          <w:p w14:paraId="4310A858"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Data practices laws</w:t>
                            </w:r>
                          </w:p>
                          <w:p w14:paraId="7117091D"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Right to privacy statutes</w:t>
                            </w:r>
                          </w:p>
                          <w:p w14:paraId="1BC592E0"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General public health laws</w:t>
                            </w:r>
                          </w:p>
                          <w:p w14:paraId="05A0603D" w14:textId="77777777" w:rsidR="002F471C" w:rsidRPr="0085271C" w:rsidRDefault="002F471C" w:rsidP="002F471C">
                            <w:pPr>
                              <w:pStyle w:val="ListParagraph"/>
                              <w:numPr>
                                <w:ilvl w:val="0"/>
                                <w:numId w:val="11"/>
                              </w:numPr>
                              <w:contextualSpacing w:val="0"/>
                              <w:rPr>
                                <w:rFonts w:ascii="Arial" w:hAnsi="Arial" w:cs="Arial"/>
                                <w:sz w:val="18"/>
                                <w:szCs w:val="18"/>
                              </w:rPr>
                            </w:pPr>
                            <w:r w:rsidRPr="0085271C">
                              <w:rPr>
                                <w:rFonts w:ascii="Arial" w:hAnsi="Arial" w:cs="Arial"/>
                                <w:sz w:val="18"/>
                                <w:szCs w:val="18"/>
                              </w:rPr>
                              <w:t xml:space="preserve">Court decisions </w:t>
                            </w:r>
                          </w:p>
                          <w:p w14:paraId="7498B4DC" w14:textId="77777777" w:rsidR="002F471C" w:rsidRPr="0085271C" w:rsidRDefault="002F471C" w:rsidP="002F471C">
                            <w:pPr>
                              <w:ind w:left="360"/>
                              <w:rPr>
                                <w:rFonts w:ascii="Arial" w:hAnsi="Arial" w:cs="Arial"/>
                                <w:sz w:val="18"/>
                                <w:szCs w:val="18"/>
                              </w:rPr>
                            </w:pPr>
                          </w:p>
                          <w:p w14:paraId="215F5EAD" w14:textId="77777777" w:rsidR="002F471C" w:rsidRPr="0085271C" w:rsidRDefault="002F471C" w:rsidP="002F471C">
                            <w:pPr>
                              <w:spacing w:after="120"/>
                              <w:rPr>
                                <w:rFonts w:ascii="Arial" w:hAnsi="Arial" w:cs="Arial"/>
                                <w:sz w:val="18"/>
                                <w:szCs w:val="18"/>
                              </w:rPr>
                            </w:pPr>
                            <w:r w:rsidRPr="0085271C">
                              <w:rPr>
                                <w:rFonts w:ascii="Arial" w:hAnsi="Arial" w:cs="Arial"/>
                                <w:sz w:val="18"/>
                                <w:szCs w:val="18"/>
                              </w:rPr>
                              <w:t xml:space="preserve">Identify legal authorities that require your agency to protect information from sources like individuals, businesses, and organizations. </w:t>
                            </w:r>
                          </w:p>
                          <w:p w14:paraId="62BFC4F9" w14:textId="77777777" w:rsidR="002F471C" w:rsidRPr="001D62AA" w:rsidRDefault="002F471C" w:rsidP="002F471C">
                            <w:pPr>
                              <w:pStyle w:val="ListParagraph"/>
                              <w:numPr>
                                <w:ilvl w:val="0"/>
                                <w:numId w:val="15"/>
                              </w:numPr>
                              <w:spacing w:after="120"/>
                              <w:contextualSpacing w:val="0"/>
                              <w:rPr>
                                <w:rFonts w:ascii="Arial" w:hAnsi="Arial" w:cs="Arial"/>
                                <w:sz w:val="18"/>
                                <w:szCs w:val="18"/>
                              </w:rPr>
                            </w:pPr>
                            <w:r w:rsidRPr="001D62AA">
                              <w:rPr>
                                <w:rFonts w:ascii="Arial" w:hAnsi="Arial" w:cs="Arial"/>
                                <w:sz w:val="18"/>
                                <w:szCs w:val="18"/>
                              </w:rPr>
                              <w:t xml:space="preserve">For each type of legal authority listed below, identify the types of information protected that must be protected from/about each type of source. </w:t>
                            </w:r>
                          </w:p>
                          <w:p w14:paraId="71F47226" w14:textId="77777777" w:rsidR="002F471C" w:rsidRPr="001D62AA" w:rsidRDefault="002F471C" w:rsidP="002F471C">
                            <w:pPr>
                              <w:pStyle w:val="ListParagraph"/>
                              <w:numPr>
                                <w:ilvl w:val="0"/>
                                <w:numId w:val="15"/>
                              </w:numPr>
                              <w:spacing w:after="120"/>
                              <w:contextualSpacing w:val="0"/>
                              <w:rPr>
                                <w:rFonts w:ascii="Arial" w:hAnsi="Arial" w:cs="Arial"/>
                                <w:sz w:val="18"/>
                                <w:szCs w:val="18"/>
                              </w:rPr>
                            </w:pPr>
                            <w:r w:rsidRPr="001D62AA">
                              <w:rPr>
                                <w:rFonts w:ascii="Arial" w:hAnsi="Arial" w:cs="Arial"/>
                                <w:sz w:val="18"/>
                                <w:szCs w:val="18"/>
                              </w:rPr>
                              <w:t>Also note any prerequisites, conditions, or limitations on the privacy protections allowed or how they are implemented.</w:t>
                            </w:r>
                          </w:p>
                          <w:p w14:paraId="49CC1902" w14:textId="77777777" w:rsidR="002F471C" w:rsidRPr="0085271C" w:rsidRDefault="002F471C" w:rsidP="002F471C">
                            <w:pPr>
                              <w:pStyle w:val="ListParagraph"/>
                              <w:numPr>
                                <w:ilvl w:val="0"/>
                                <w:numId w:val="12"/>
                              </w:numPr>
                              <w:spacing w:after="80"/>
                              <w:ind w:left="1080"/>
                              <w:contextualSpacing w:val="0"/>
                              <w:rPr>
                                <w:rFonts w:ascii="Arial" w:hAnsi="Arial" w:cs="Arial"/>
                                <w:sz w:val="18"/>
                                <w:szCs w:val="18"/>
                              </w:rPr>
                            </w:pPr>
                            <w:r w:rsidRPr="0085271C">
                              <w:rPr>
                                <w:rFonts w:ascii="Arial" w:hAnsi="Arial" w:cs="Arial"/>
                                <w:sz w:val="18"/>
                                <w:szCs w:val="18"/>
                              </w:rPr>
                              <w:t>Freedom of information/open records laws</w:t>
                            </w:r>
                          </w:p>
                          <w:p w14:paraId="35E84FA6" w14:textId="77777777" w:rsidR="002F471C" w:rsidRPr="0085271C" w:rsidRDefault="002F471C" w:rsidP="002F471C">
                            <w:pPr>
                              <w:pStyle w:val="ListParagraph"/>
                              <w:numPr>
                                <w:ilvl w:val="1"/>
                                <w:numId w:val="12"/>
                              </w:numPr>
                              <w:spacing w:after="80"/>
                              <w:ind w:left="1800"/>
                              <w:contextualSpacing w:val="0"/>
                              <w:rPr>
                                <w:rFonts w:ascii="Arial" w:hAnsi="Arial" w:cs="Arial"/>
                                <w:sz w:val="18"/>
                                <w:szCs w:val="18"/>
                              </w:rPr>
                            </w:pPr>
                            <w:r w:rsidRPr="0085271C">
                              <w:rPr>
                                <w:rFonts w:ascii="Arial" w:hAnsi="Arial" w:cs="Arial"/>
                                <w:sz w:val="18"/>
                                <w:szCs w:val="18"/>
                              </w:rPr>
                              <w:t>Information excluded from the definition of public records</w:t>
                            </w:r>
                          </w:p>
                          <w:p w14:paraId="2C4458B1" w14:textId="77777777" w:rsidR="002F471C" w:rsidRPr="0085271C" w:rsidRDefault="002F471C" w:rsidP="002F471C">
                            <w:pPr>
                              <w:pStyle w:val="ListParagraph"/>
                              <w:numPr>
                                <w:ilvl w:val="1"/>
                                <w:numId w:val="12"/>
                              </w:numPr>
                              <w:spacing w:after="80"/>
                              <w:ind w:left="1800"/>
                              <w:contextualSpacing w:val="0"/>
                              <w:rPr>
                                <w:rFonts w:ascii="Arial" w:hAnsi="Arial" w:cs="Arial"/>
                                <w:sz w:val="18"/>
                                <w:szCs w:val="18"/>
                              </w:rPr>
                            </w:pPr>
                            <w:r w:rsidRPr="0085271C">
                              <w:rPr>
                                <w:rFonts w:ascii="Arial" w:hAnsi="Arial" w:cs="Arial"/>
                                <w:sz w:val="18"/>
                                <w:szCs w:val="18"/>
                              </w:rPr>
                              <w:t>Permitted exceptions to disclosure:</w:t>
                            </w:r>
                          </w:p>
                          <w:p w14:paraId="550B396B"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Information not subject to disclosure under another law</w:t>
                            </w:r>
                          </w:p>
                          <w:p w14:paraId="2AA6A3C6"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Personal privacy</w:t>
                            </w:r>
                          </w:p>
                          <w:p w14:paraId="55E5BDF7"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Investigatory records</w:t>
                            </w:r>
                          </w:p>
                          <w:p w14:paraId="69B5A12B"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Health information or medical records</w:t>
                            </w:r>
                          </w:p>
                          <w:p w14:paraId="77F4D2CC"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Business information</w:t>
                            </w:r>
                          </w:p>
                          <w:p w14:paraId="0647D6B2"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Other</w:t>
                            </w:r>
                          </w:p>
                          <w:p w14:paraId="0D042470" w14:textId="77777777" w:rsidR="002F471C" w:rsidRPr="0085271C" w:rsidRDefault="002F471C" w:rsidP="002F471C">
                            <w:pPr>
                              <w:pStyle w:val="ListParagraph"/>
                              <w:numPr>
                                <w:ilvl w:val="0"/>
                                <w:numId w:val="12"/>
                              </w:numPr>
                              <w:ind w:left="1080"/>
                              <w:rPr>
                                <w:rFonts w:ascii="Arial" w:hAnsi="Arial" w:cs="Arial"/>
                                <w:sz w:val="18"/>
                                <w:szCs w:val="18"/>
                              </w:rPr>
                            </w:pPr>
                            <w:r w:rsidRPr="0085271C">
                              <w:rPr>
                                <w:rFonts w:ascii="Arial" w:hAnsi="Arial" w:cs="Arial"/>
                                <w:sz w:val="18"/>
                                <w:szCs w:val="18"/>
                              </w:rPr>
                              <w:t>Other laws</w:t>
                            </w:r>
                          </w:p>
                          <w:p w14:paraId="72F691E2" w14:textId="77777777" w:rsidR="002F471C" w:rsidRDefault="002F471C" w:rsidP="002F471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1AF107" id="_x0000_s1027" type="#_x0000_t202" style="position:absolute;margin-left:0;margin-top:0;width:516.95pt;height:627.8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HXKAIAAEwEAAAOAAAAZHJzL2Uyb0RvYy54bWysVNuO0zAQfUfiHyy/07TZpttGTVdLlyKk&#10;5SLt8gGO4zQWtifYbpPy9YydbImAJ0QeLI9nfHzmzEy2d71W5Cysk2AKupjNKRGGQyXNsaBfnw9v&#10;1pQ4z0zFFBhR0Itw9G73+tW2a3ORQgOqEpYgiHF51xa08b7Nk8TxRmjmZtAKg84arGYeTXtMKss6&#10;RNcqSefzVdKBrVoLXDiHpw+Dk+4ifl0L7j/XtROeqIIiNx9XG9cyrMluy/KjZW0j+UiD/QMLzaTB&#10;R69QD8wzcrLyDygtuQUHtZ9x0AnUteQi5oDZLOa/ZfPUsFbEXFAc115lcv8Pln86f7FEVlg7SgzT&#10;WKJn0XvyFnqSBnW61uUY9NRimO/xOESGTF37CPybIwb2DTNHcW8tdI1gFbJbhJvJ5OqA4wJI2X2E&#10;Cp9hJw8RqK+tDoAoBkF0rNLlWplAhePhKltlN5uUEo6+283tTbZaxzdY/nK9tc6/F6BJ2BTUYukj&#10;PDs/Oh/osPwlJNIHJauDVCoa9ljulSVnhm1yiN+I7qZhypCuoJsszQYFpj43hZjH728QWnrsdyV1&#10;QdfXIJYH3d6ZKnajZ1INe6SszChk0G5Q0fdlP1ZsrE8J1QWVtTC0N44jbhqwPyjpsLUL6r6fmBWU&#10;qA8Gq7NZLJdhFqKxzG5TNOzUU049zHCEKqinZNjufZyfoJuBe6xiLaO+odwDk5EytmyUfRyvMBNT&#10;O0b9+gnsfgIAAP//AwBQSwMEFAAGAAgAAAAhAAH+NdvdAAAABwEAAA8AAABkcnMvZG93bnJldi54&#10;bWxMj81OwzAQhO9IvIO1SFwQdWjoX4hTISQQ3KAguLrxNomw18HepuHtcbnAZTWrWc18W65HZ8WA&#10;IXaeFFxNMhBItTcdNQreXu8vlyAiazLaekIF3xhhXZ2elLow/kAvOGy4ESmEYqEVtMx9IWWsW3Q6&#10;TnyPlLydD05zWkMjTdCHFO6snGbZXDrdUWpodY93Ldafm71TsLx+HD7iU/78Xs93dsUXi+HhKyh1&#10;fjbe3oBgHPnvGI74CR2qxLT1ezJRWAXpEf6dRy/L8xWIbVLT2WwBsirlf/7qBwAA//8DAFBLAQIt&#10;ABQABgAIAAAAIQC2gziS/gAAAOEBAAATAAAAAAAAAAAAAAAAAAAAAABbQ29udGVudF9UeXBlc10u&#10;eG1sUEsBAi0AFAAGAAgAAAAhADj9If/WAAAAlAEAAAsAAAAAAAAAAAAAAAAALwEAAF9yZWxzLy5y&#10;ZWxzUEsBAi0AFAAGAAgAAAAhABmVYdcoAgAATAQAAA4AAAAAAAAAAAAAAAAALgIAAGRycy9lMm9E&#10;b2MueG1sUEsBAi0AFAAGAAgAAAAhAAH+NdvdAAAABwEAAA8AAAAAAAAAAAAAAAAAggQAAGRycy9k&#10;b3ducmV2LnhtbFBLBQYAAAAABAAEAPMAAACMBQAAAAA=&#10;">
                <v:textbox>
                  <w:txbxContent>
                    <w:p w14:paraId="729A86BA" w14:textId="77777777" w:rsidR="002F471C" w:rsidRPr="0058248F" w:rsidRDefault="002F471C" w:rsidP="002F471C">
                      <w:pPr>
                        <w:spacing w:after="120"/>
                        <w:jc w:val="center"/>
                        <w:rPr>
                          <w:rFonts w:ascii="Arial" w:hAnsi="Arial" w:cs="Arial"/>
                          <w:b/>
                          <w:bCs/>
                        </w:rPr>
                      </w:pPr>
                      <w:r w:rsidRPr="0058248F">
                        <w:rPr>
                          <w:rFonts w:ascii="Arial" w:hAnsi="Arial" w:cs="Arial"/>
                          <w:b/>
                          <w:bCs/>
                        </w:rPr>
                        <w:t>Practice Tips</w:t>
                      </w:r>
                    </w:p>
                    <w:p w14:paraId="2D2F744C" w14:textId="77777777" w:rsidR="002F471C" w:rsidRPr="0058248F" w:rsidRDefault="002F471C" w:rsidP="002F471C">
                      <w:pPr>
                        <w:jc w:val="center"/>
                        <w:rPr>
                          <w:rFonts w:ascii="Arial" w:hAnsi="Arial" w:cs="Arial"/>
                          <w:b/>
                          <w:bCs/>
                        </w:rPr>
                      </w:pPr>
                      <w:r w:rsidRPr="0058248F">
                        <w:rPr>
                          <w:rFonts w:ascii="Arial" w:hAnsi="Arial" w:cs="Arial"/>
                          <w:b/>
                          <w:bCs/>
                        </w:rPr>
                        <w:t>Access to Information and Confidentiality</w:t>
                      </w:r>
                    </w:p>
                    <w:p w14:paraId="108D62A7" w14:textId="77777777" w:rsidR="002F471C" w:rsidRDefault="002F471C" w:rsidP="002F471C">
                      <w:pPr>
                        <w:spacing w:line="360" w:lineRule="auto"/>
                        <w:rPr>
                          <w:rFonts w:asciiTheme="majorHAnsi" w:hAnsiTheme="majorHAnsi" w:cstheme="majorHAnsi"/>
                        </w:rPr>
                      </w:pPr>
                    </w:p>
                    <w:p w14:paraId="1B0E4862" w14:textId="77777777" w:rsidR="002F471C" w:rsidRPr="001D62AA" w:rsidRDefault="002F471C" w:rsidP="002F471C">
                      <w:pPr>
                        <w:rPr>
                          <w:rFonts w:ascii="Arial" w:hAnsi="Arial" w:cs="Arial"/>
                          <w:i/>
                          <w:iCs/>
                          <w:sz w:val="18"/>
                          <w:szCs w:val="18"/>
                        </w:rPr>
                      </w:pPr>
                      <w:r w:rsidRPr="001D62AA">
                        <w:rPr>
                          <w:rFonts w:ascii="Arial" w:hAnsi="Arial" w:cs="Arial"/>
                          <w:i/>
                          <w:iCs/>
                          <w:sz w:val="18"/>
                          <w:szCs w:val="18"/>
                        </w:rPr>
                        <w:t>Use these tips to guide conversation with legal counsel and develop guidelines for collecting, using, and disclosing information during an LD outbreak.</w:t>
                      </w:r>
                    </w:p>
                    <w:p w14:paraId="0DFB956C" w14:textId="77777777" w:rsidR="002F471C" w:rsidRPr="0085271C" w:rsidRDefault="002F471C" w:rsidP="002F471C">
                      <w:pPr>
                        <w:rPr>
                          <w:rFonts w:ascii="Arial" w:hAnsi="Arial" w:cs="Arial"/>
                          <w:sz w:val="18"/>
                          <w:szCs w:val="18"/>
                        </w:rPr>
                      </w:pPr>
                    </w:p>
                    <w:p w14:paraId="079FFE18" w14:textId="77777777" w:rsidR="002F471C" w:rsidRPr="0085271C" w:rsidRDefault="002F471C" w:rsidP="002F471C">
                      <w:pPr>
                        <w:spacing w:after="120"/>
                        <w:rPr>
                          <w:rFonts w:ascii="Arial" w:hAnsi="Arial" w:cs="Arial"/>
                          <w:sz w:val="18"/>
                          <w:szCs w:val="18"/>
                        </w:rPr>
                      </w:pPr>
                      <w:r w:rsidRPr="0085271C">
                        <w:rPr>
                          <w:rFonts w:ascii="Arial" w:hAnsi="Arial" w:cs="Arial"/>
                          <w:sz w:val="18"/>
                          <w:szCs w:val="18"/>
                        </w:rPr>
                        <w:t xml:space="preserve">Identify legal authorities that authorize your public health agency to collect and use information from sources like individuals, businesses, and organizations. </w:t>
                      </w:r>
                    </w:p>
                    <w:p w14:paraId="1FE3987E" w14:textId="77777777" w:rsidR="002F471C" w:rsidRPr="001D62AA" w:rsidRDefault="002F471C" w:rsidP="002F471C">
                      <w:pPr>
                        <w:pStyle w:val="ListParagraph"/>
                        <w:numPr>
                          <w:ilvl w:val="0"/>
                          <w:numId w:val="13"/>
                        </w:numPr>
                        <w:spacing w:after="120"/>
                        <w:contextualSpacing w:val="0"/>
                        <w:rPr>
                          <w:rFonts w:ascii="Arial" w:hAnsi="Arial" w:cs="Arial"/>
                          <w:sz w:val="18"/>
                          <w:szCs w:val="18"/>
                        </w:rPr>
                      </w:pPr>
                      <w:r w:rsidRPr="001D62AA">
                        <w:rPr>
                          <w:rFonts w:ascii="Arial" w:hAnsi="Arial" w:cs="Arial"/>
                          <w:sz w:val="18"/>
                          <w:szCs w:val="18"/>
                        </w:rPr>
                        <w:t xml:space="preserve">For each type of legal authority listed below, identify the types of data information that can be collected from/about each type of source. </w:t>
                      </w:r>
                    </w:p>
                    <w:p w14:paraId="795DCEF8" w14:textId="77777777" w:rsidR="002F471C" w:rsidRPr="001D62AA" w:rsidRDefault="002F471C" w:rsidP="002F471C">
                      <w:pPr>
                        <w:pStyle w:val="ListParagraph"/>
                        <w:numPr>
                          <w:ilvl w:val="0"/>
                          <w:numId w:val="13"/>
                        </w:numPr>
                        <w:spacing w:after="120"/>
                        <w:contextualSpacing w:val="0"/>
                        <w:rPr>
                          <w:rFonts w:ascii="Arial" w:hAnsi="Arial" w:cs="Arial"/>
                          <w:sz w:val="18"/>
                          <w:szCs w:val="18"/>
                        </w:rPr>
                      </w:pPr>
                      <w:r w:rsidRPr="001D62AA">
                        <w:rPr>
                          <w:rFonts w:ascii="Arial" w:hAnsi="Arial" w:cs="Arial"/>
                          <w:sz w:val="18"/>
                          <w:szCs w:val="18"/>
                        </w:rPr>
                        <w:t xml:space="preserve">Also note any prerequisites, conditions, or limitations on the type of information allowed or how it is used. </w:t>
                      </w:r>
                    </w:p>
                    <w:p w14:paraId="1ED9FEF3"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General public health authority</w:t>
                      </w:r>
                    </w:p>
                    <w:p w14:paraId="2C1677B0"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Disease specific</w:t>
                      </w:r>
                    </w:p>
                    <w:p w14:paraId="74FA5262"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Setting specific</w:t>
                      </w:r>
                    </w:p>
                    <w:p w14:paraId="42376353"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Other conditions (e.g., criminal, suspected acts of bioterrorism)</w:t>
                      </w:r>
                    </w:p>
                    <w:p w14:paraId="61EA4C61" w14:textId="77777777" w:rsidR="002F471C" w:rsidRPr="0085271C" w:rsidRDefault="002F471C" w:rsidP="002F471C">
                      <w:pPr>
                        <w:pStyle w:val="ListParagraph"/>
                        <w:numPr>
                          <w:ilvl w:val="0"/>
                          <w:numId w:val="10"/>
                        </w:numPr>
                        <w:spacing w:after="80"/>
                        <w:ind w:left="1080"/>
                        <w:contextualSpacing w:val="0"/>
                        <w:rPr>
                          <w:rFonts w:ascii="Arial" w:hAnsi="Arial" w:cs="Arial"/>
                          <w:sz w:val="18"/>
                          <w:szCs w:val="18"/>
                        </w:rPr>
                      </w:pPr>
                      <w:r w:rsidRPr="0085271C">
                        <w:rPr>
                          <w:rFonts w:ascii="Arial" w:hAnsi="Arial" w:cs="Arial"/>
                          <w:sz w:val="18"/>
                          <w:szCs w:val="18"/>
                        </w:rPr>
                        <w:t>Catch-all (e.g., unusual occurrence of a disease, infection, or condition)</w:t>
                      </w:r>
                    </w:p>
                    <w:p w14:paraId="74810E49" w14:textId="77777777" w:rsidR="002F471C" w:rsidRPr="0085271C" w:rsidRDefault="002F471C" w:rsidP="002F471C">
                      <w:pPr>
                        <w:pStyle w:val="ListParagraph"/>
                        <w:numPr>
                          <w:ilvl w:val="0"/>
                          <w:numId w:val="10"/>
                        </w:numPr>
                        <w:ind w:left="1080"/>
                        <w:rPr>
                          <w:rFonts w:ascii="Arial" w:hAnsi="Arial" w:cs="Arial"/>
                          <w:sz w:val="18"/>
                          <w:szCs w:val="18"/>
                        </w:rPr>
                      </w:pPr>
                      <w:r w:rsidRPr="0085271C">
                        <w:rPr>
                          <w:rFonts w:ascii="Arial" w:hAnsi="Arial" w:cs="Arial"/>
                          <w:sz w:val="18"/>
                          <w:szCs w:val="18"/>
                        </w:rPr>
                        <w:t>Other</w:t>
                      </w:r>
                    </w:p>
                    <w:p w14:paraId="160DF9B0" w14:textId="77777777" w:rsidR="002F471C" w:rsidRPr="0085271C" w:rsidRDefault="002F471C" w:rsidP="002F471C">
                      <w:pPr>
                        <w:rPr>
                          <w:rFonts w:ascii="Arial" w:hAnsi="Arial" w:cs="Arial"/>
                          <w:sz w:val="18"/>
                          <w:szCs w:val="18"/>
                        </w:rPr>
                      </w:pPr>
                    </w:p>
                    <w:p w14:paraId="31308F75" w14:textId="77777777" w:rsidR="002F471C" w:rsidRPr="0085271C" w:rsidRDefault="002F471C" w:rsidP="002F471C">
                      <w:pPr>
                        <w:spacing w:after="120"/>
                        <w:rPr>
                          <w:rFonts w:ascii="Arial" w:hAnsi="Arial" w:cs="Arial"/>
                          <w:sz w:val="18"/>
                          <w:szCs w:val="18"/>
                        </w:rPr>
                      </w:pPr>
                      <w:r w:rsidRPr="0085271C">
                        <w:rPr>
                          <w:rFonts w:ascii="Arial" w:hAnsi="Arial" w:cs="Arial"/>
                          <w:sz w:val="18"/>
                          <w:szCs w:val="18"/>
                        </w:rPr>
                        <w:t xml:space="preserve">Identify legal authorities that authorize or require the public health agency to disclose information. </w:t>
                      </w:r>
                    </w:p>
                    <w:p w14:paraId="2EFC5006" w14:textId="77777777" w:rsidR="002F471C" w:rsidRPr="001D62AA" w:rsidRDefault="002F471C" w:rsidP="002F471C">
                      <w:pPr>
                        <w:pStyle w:val="ListParagraph"/>
                        <w:numPr>
                          <w:ilvl w:val="0"/>
                          <w:numId w:val="14"/>
                        </w:numPr>
                        <w:spacing w:after="120"/>
                        <w:contextualSpacing w:val="0"/>
                        <w:rPr>
                          <w:rFonts w:ascii="Arial" w:hAnsi="Arial" w:cs="Arial"/>
                          <w:sz w:val="18"/>
                          <w:szCs w:val="18"/>
                        </w:rPr>
                      </w:pPr>
                      <w:r w:rsidRPr="001D62AA">
                        <w:rPr>
                          <w:rFonts w:ascii="Arial" w:hAnsi="Arial" w:cs="Arial"/>
                          <w:sz w:val="18"/>
                          <w:szCs w:val="18"/>
                        </w:rPr>
                        <w:t xml:space="preserve">Note any prerequisites, conditions, or limitations on the type of information that can be disclosed and to whom it may or must be disclosed. </w:t>
                      </w:r>
                    </w:p>
                    <w:p w14:paraId="2096CBD3" w14:textId="77777777" w:rsidR="002F471C" w:rsidRPr="001D62AA" w:rsidRDefault="002F471C" w:rsidP="002F471C">
                      <w:pPr>
                        <w:pStyle w:val="ListParagraph"/>
                        <w:numPr>
                          <w:ilvl w:val="0"/>
                          <w:numId w:val="14"/>
                        </w:numPr>
                        <w:spacing w:after="80"/>
                        <w:contextualSpacing w:val="0"/>
                        <w:rPr>
                          <w:rFonts w:ascii="Arial" w:hAnsi="Arial" w:cs="Arial"/>
                          <w:b/>
                          <w:bCs/>
                          <w:sz w:val="18"/>
                          <w:szCs w:val="18"/>
                        </w:rPr>
                      </w:pPr>
                      <w:r w:rsidRPr="001D62AA">
                        <w:rPr>
                          <w:rFonts w:ascii="Arial" w:hAnsi="Arial" w:cs="Arial"/>
                          <w:sz w:val="18"/>
                          <w:szCs w:val="18"/>
                        </w:rPr>
                        <w:t xml:space="preserve">Consider each of the following types of legal authorities:  </w:t>
                      </w:r>
                    </w:p>
                    <w:p w14:paraId="541628BB"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Freedom of information/open records laws</w:t>
                      </w:r>
                    </w:p>
                    <w:p w14:paraId="712567EB"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Health information privacy laws</w:t>
                      </w:r>
                    </w:p>
                    <w:p w14:paraId="4310A858"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Data practices laws</w:t>
                      </w:r>
                    </w:p>
                    <w:p w14:paraId="7117091D"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Right to privacy statutes</w:t>
                      </w:r>
                    </w:p>
                    <w:p w14:paraId="1BC592E0" w14:textId="77777777" w:rsidR="002F471C" w:rsidRPr="0085271C" w:rsidRDefault="002F471C" w:rsidP="002F471C">
                      <w:pPr>
                        <w:pStyle w:val="ListParagraph"/>
                        <w:numPr>
                          <w:ilvl w:val="0"/>
                          <w:numId w:val="11"/>
                        </w:numPr>
                        <w:spacing w:after="80"/>
                        <w:contextualSpacing w:val="0"/>
                        <w:rPr>
                          <w:rFonts w:ascii="Arial" w:hAnsi="Arial" w:cs="Arial"/>
                          <w:sz w:val="18"/>
                          <w:szCs w:val="18"/>
                        </w:rPr>
                      </w:pPr>
                      <w:r w:rsidRPr="0085271C">
                        <w:rPr>
                          <w:rFonts w:ascii="Arial" w:hAnsi="Arial" w:cs="Arial"/>
                          <w:sz w:val="18"/>
                          <w:szCs w:val="18"/>
                        </w:rPr>
                        <w:t>General public health laws</w:t>
                      </w:r>
                    </w:p>
                    <w:p w14:paraId="05A0603D" w14:textId="77777777" w:rsidR="002F471C" w:rsidRPr="0085271C" w:rsidRDefault="002F471C" w:rsidP="002F471C">
                      <w:pPr>
                        <w:pStyle w:val="ListParagraph"/>
                        <w:numPr>
                          <w:ilvl w:val="0"/>
                          <w:numId w:val="11"/>
                        </w:numPr>
                        <w:contextualSpacing w:val="0"/>
                        <w:rPr>
                          <w:rFonts w:ascii="Arial" w:hAnsi="Arial" w:cs="Arial"/>
                          <w:sz w:val="18"/>
                          <w:szCs w:val="18"/>
                        </w:rPr>
                      </w:pPr>
                      <w:r w:rsidRPr="0085271C">
                        <w:rPr>
                          <w:rFonts w:ascii="Arial" w:hAnsi="Arial" w:cs="Arial"/>
                          <w:sz w:val="18"/>
                          <w:szCs w:val="18"/>
                        </w:rPr>
                        <w:t xml:space="preserve">Court decisions </w:t>
                      </w:r>
                    </w:p>
                    <w:p w14:paraId="7498B4DC" w14:textId="77777777" w:rsidR="002F471C" w:rsidRPr="0085271C" w:rsidRDefault="002F471C" w:rsidP="002F471C">
                      <w:pPr>
                        <w:ind w:left="360"/>
                        <w:rPr>
                          <w:rFonts w:ascii="Arial" w:hAnsi="Arial" w:cs="Arial"/>
                          <w:sz w:val="18"/>
                          <w:szCs w:val="18"/>
                        </w:rPr>
                      </w:pPr>
                    </w:p>
                    <w:p w14:paraId="215F5EAD" w14:textId="77777777" w:rsidR="002F471C" w:rsidRPr="0085271C" w:rsidRDefault="002F471C" w:rsidP="002F471C">
                      <w:pPr>
                        <w:spacing w:after="120"/>
                        <w:rPr>
                          <w:rFonts w:ascii="Arial" w:hAnsi="Arial" w:cs="Arial"/>
                          <w:sz w:val="18"/>
                          <w:szCs w:val="18"/>
                        </w:rPr>
                      </w:pPr>
                      <w:r w:rsidRPr="0085271C">
                        <w:rPr>
                          <w:rFonts w:ascii="Arial" w:hAnsi="Arial" w:cs="Arial"/>
                          <w:sz w:val="18"/>
                          <w:szCs w:val="18"/>
                        </w:rPr>
                        <w:t xml:space="preserve">Identify legal authorities that require your agency to protect information from sources like individuals, businesses, and organizations. </w:t>
                      </w:r>
                    </w:p>
                    <w:p w14:paraId="62BFC4F9" w14:textId="77777777" w:rsidR="002F471C" w:rsidRPr="001D62AA" w:rsidRDefault="002F471C" w:rsidP="002F471C">
                      <w:pPr>
                        <w:pStyle w:val="ListParagraph"/>
                        <w:numPr>
                          <w:ilvl w:val="0"/>
                          <w:numId w:val="15"/>
                        </w:numPr>
                        <w:spacing w:after="120"/>
                        <w:contextualSpacing w:val="0"/>
                        <w:rPr>
                          <w:rFonts w:ascii="Arial" w:hAnsi="Arial" w:cs="Arial"/>
                          <w:sz w:val="18"/>
                          <w:szCs w:val="18"/>
                        </w:rPr>
                      </w:pPr>
                      <w:r w:rsidRPr="001D62AA">
                        <w:rPr>
                          <w:rFonts w:ascii="Arial" w:hAnsi="Arial" w:cs="Arial"/>
                          <w:sz w:val="18"/>
                          <w:szCs w:val="18"/>
                        </w:rPr>
                        <w:t xml:space="preserve">For each type of legal authority listed below, identify the types of information protected that must be protected from/about each type of source. </w:t>
                      </w:r>
                    </w:p>
                    <w:p w14:paraId="71F47226" w14:textId="77777777" w:rsidR="002F471C" w:rsidRPr="001D62AA" w:rsidRDefault="002F471C" w:rsidP="002F471C">
                      <w:pPr>
                        <w:pStyle w:val="ListParagraph"/>
                        <w:numPr>
                          <w:ilvl w:val="0"/>
                          <w:numId w:val="15"/>
                        </w:numPr>
                        <w:spacing w:after="120"/>
                        <w:contextualSpacing w:val="0"/>
                        <w:rPr>
                          <w:rFonts w:ascii="Arial" w:hAnsi="Arial" w:cs="Arial"/>
                          <w:sz w:val="18"/>
                          <w:szCs w:val="18"/>
                        </w:rPr>
                      </w:pPr>
                      <w:r w:rsidRPr="001D62AA">
                        <w:rPr>
                          <w:rFonts w:ascii="Arial" w:hAnsi="Arial" w:cs="Arial"/>
                          <w:sz w:val="18"/>
                          <w:szCs w:val="18"/>
                        </w:rPr>
                        <w:t>Also note any prerequisites, conditions, or limitations on the privacy protections allowed or how they are implemented.</w:t>
                      </w:r>
                    </w:p>
                    <w:p w14:paraId="49CC1902" w14:textId="77777777" w:rsidR="002F471C" w:rsidRPr="0085271C" w:rsidRDefault="002F471C" w:rsidP="002F471C">
                      <w:pPr>
                        <w:pStyle w:val="ListParagraph"/>
                        <w:numPr>
                          <w:ilvl w:val="0"/>
                          <w:numId w:val="12"/>
                        </w:numPr>
                        <w:spacing w:after="80"/>
                        <w:ind w:left="1080"/>
                        <w:contextualSpacing w:val="0"/>
                        <w:rPr>
                          <w:rFonts w:ascii="Arial" w:hAnsi="Arial" w:cs="Arial"/>
                          <w:sz w:val="18"/>
                          <w:szCs w:val="18"/>
                        </w:rPr>
                      </w:pPr>
                      <w:r w:rsidRPr="0085271C">
                        <w:rPr>
                          <w:rFonts w:ascii="Arial" w:hAnsi="Arial" w:cs="Arial"/>
                          <w:sz w:val="18"/>
                          <w:szCs w:val="18"/>
                        </w:rPr>
                        <w:t>Freedom of information/open records laws</w:t>
                      </w:r>
                    </w:p>
                    <w:p w14:paraId="35E84FA6" w14:textId="77777777" w:rsidR="002F471C" w:rsidRPr="0085271C" w:rsidRDefault="002F471C" w:rsidP="002F471C">
                      <w:pPr>
                        <w:pStyle w:val="ListParagraph"/>
                        <w:numPr>
                          <w:ilvl w:val="1"/>
                          <w:numId w:val="12"/>
                        </w:numPr>
                        <w:spacing w:after="80"/>
                        <w:ind w:left="1800"/>
                        <w:contextualSpacing w:val="0"/>
                        <w:rPr>
                          <w:rFonts w:ascii="Arial" w:hAnsi="Arial" w:cs="Arial"/>
                          <w:sz w:val="18"/>
                          <w:szCs w:val="18"/>
                        </w:rPr>
                      </w:pPr>
                      <w:r w:rsidRPr="0085271C">
                        <w:rPr>
                          <w:rFonts w:ascii="Arial" w:hAnsi="Arial" w:cs="Arial"/>
                          <w:sz w:val="18"/>
                          <w:szCs w:val="18"/>
                        </w:rPr>
                        <w:t>Information excluded from the definition of public records</w:t>
                      </w:r>
                    </w:p>
                    <w:p w14:paraId="2C4458B1" w14:textId="77777777" w:rsidR="002F471C" w:rsidRPr="0085271C" w:rsidRDefault="002F471C" w:rsidP="002F471C">
                      <w:pPr>
                        <w:pStyle w:val="ListParagraph"/>
                        <w:numPr>
                          <w:ilvl w:val="1"/>
                          <w:numId w:val="12"/>
                        </w:numPr>
                        <w:spacing w:after="80"/>
                        <w:ind w:left="1800"/>
                        <w:contextualSpacing w:val="0"/>
                        <w:rPr>
                          <w:rFonts w:ascii="Arial" w:hAnsi="Arial" w:cs="Arial"/>
                          <w:sz w:val="18"/>
                          <w:szCs w:val="18"/>
                        </w:rPr>
                      </w:pPr>
                      <w:r w:rsidRPr="0085271C">
                        <w:rPr>
                          <w:rFonts w:ascii="Arial" w:hAnsi="Arial" w:cs="Arial"/>
                          <w:sz w:val="18"/>
                          <w:szCs w:val="18"/>
                        </w:rPr>
                        <w:t>Permitted exceptions to disclosure:</w:t>
                      </w:r>
                    </w:p>
                    <w:p w14:paraId="550B396B"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Information not subject to disclosure under another law</w:t>
                      </w:r>
                    </w:p>
                    <w:p w14:paraId="2AA6A3C6"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Personal privacy</w:t>
                      </w:r>
                    </w:p>
                    <w:p w14:paraId="55E5BDF7"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Investigatory records</w:t>
                      </w:r>
                    </w:p>
                    <w:p w14:paraId="69B5A12B"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Health information or medical records</w:t>
                      </w:r>
                    </w:p>
                    <w:p w14:paraId="77F4D2CC"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Business information</w:t>
                      </w:r>
                    </w:p>
                    <w:p w14:paraId="0647D6B2" w14:textId="77777777" w:rsidR="002F471C" w:rsidRPr="0085271C" w:rsidRDefault="002F471C" w:rsidP="002F471C">
                      <w:pPr>
                        <w:pStyle w:val="ListParagraph"/>
                        <w:numPr>
                          <w:ilvl w:val="2"/>
                          <w:numId w:val="12"/>
                        </w:numPr>
                        <w:spacing w:after="80"/>
                        <w:ind w:left="2520"/>
                        <w:contextualSpacing w:val="0"/>
                        <w:rPr>
                          <w:rFonts w:ascii="Arial" w:hAnsi="Arial" w:cs="Arial"/>
                          <w:sz w:val="18"/>
                          <w:szCs w:val="18"/>
                        </w:rPr>
                      </w:pPr>
                      <w:r w:rsidRPr="0085271C">
                        <w:rPr>
                          <w:rFonts w:ascii="Arial" w:hAnsi="Arial" w:cs="Arial"/>
                          <w:sz w:val="18"/>
                          <w:szCs w:val="18"/>
                        </w:rPr>
                        <w:t>Other</w:t>
                      </w:r>
                    </w:p>
                    <w:p w14:paraId="0D042470" w14:textId="77777777" w:rsidR="002F471C" w:rsidRPr="0085271C" w:rsidRDefault="002F471C" w:rsidP="002F471C">
                      <w:pPr>
                        <w:pStyle w:val="ListParagraph"/>
                        <w:numPr>
                          <w:ilvl w:val="0"/>
                          <w:numId w:val="12"/>
                        </w:numPr>
                        <w:ind w:left="1080"/>
                        <w:rPr>
                          <w:rFonts w:ascii="Arial" w:hAnsi="Arial" w:cs="Arial"/>
                          <w:sz w:val="18"/>
                          <w:szCs w:val="18"/>
                        </w:rPr>
                      </w:pPr>
                      <w:r w:rsidRPr="0085271C">
                        <w:rPr>
                          <w:rFonts w:ascii="Arial" w:hAnsi="Arial" w:cs="Arial"/>
                          <w:sz w:val="18"/>
                          <w:szCs w:val="18"/>
                        </w:rPr>
                        <w:t>Other laws</w:t>
                      </w:r>
                    </w:p>
                    <w:p w14:paraId="72F691E2" w14:textId="77777777" w:rsidR="002F471C" w:rsidRDefault="002F471C" w:rsidP="002F471C"/>
                  </w:txbxContent>
                </v:textbox>
                <w10:wrap type="square" anchorx="margin"/>
              </v:shape>
            </w:pict>
          </mc:Fallback>
        </mc:AlternateContent>
      </w:r>
    </w:p>
    <w:p w14:paraId="5F947D41" w14:textId="6A3D8A90" w:rsidR="00032E69" w:rsidRDefault="00971AF1" w:rsidP="00955C6E">
      <w:pPr>
        <w:spacing w:line="360" w:lineRule="auto"/>
        <w:rPr>
          <w:rFonts w:ascii="Calibri" w:eastAsia="Times New Roman" w:hAnsi="Calibri" w:cs="Calibri"/>
        </w:rPr>
      </w:pPr>
      <w:r w:rsidRPr="0075240F">
        <w:rPr>
          <w:rFonts w:ascii="Calibri" w:eastAsia="Calibri" w:hAnsi="Calibri" w:cs="Times New Roman"/>
          <w:noProof/>
        </w:rPr>
        <w:lastRenderedPageBreak/>
        <mc:AlternateContent>
          <mc:Choice Requires="wps">
            <w:drawing>
              <wp:anchor distT="45720" distB="45720" distL="114300" distR="114300" simplePos="0" relativeHeight="251663360" behindDoc="0" locked="0" layoutInCell="1" allowOverlap="1" wp14:anchorId="259AA68A" wp14:editId="04BD010E">
                <wp:simplePos x="0" y="0"/>
                <wp:positionH relativeFrom="margin">
                  <wp:align>center</wp:align>
                </wp:positionH>
                <wp:positionV relativeFrom="paragraph">
                  <wp:posOffset>423545</wp:posOffset>
                </wp:positionV>
                <wp:extent cx="5989320" cy="4407408"/>
                <wp:effectExtent l="0" t="0" r="1143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4407408"/>
                        </a:xfrm>
                        <a:prstGeom prst="rect">
                          <a:avLst/>
                        </a:prstGeom>
                        <a:solidFill>
                          <a:srgbClr val="FFFFFF"/>
                        </a:solidFill>
                        <a:ln w="9525">
                          <a:solidFill>
                            <a:srgbClr val="000000"/>
                          </a:solidFill>
                          <a:miter lim="800000"/>
                          <a:headEnd/>
                          <a:tailEnd/>
                        </a:ln>
                      </wps:spPr>
                      <wps:txbx>
                        <w:txbxContent>
                          <w:p w14:paraId="379AE73F" w14:textId="77777777" w:rsidR="00B302E2" w:rsidRDefault="00B302E2" w:rsidP="0075240F">
                            <w:pPr>
                              <w:spacing w:after="120"/>
                              <w:jc w:val="center"/>
                              <w:rPr>
                                <w:rFonts w:ascii="Arial" w:hAnsi="Arial" w:cs="Arial"/>
                                <w:b/>
                                <w:bCs/>
                              </w:rPr>
                            </w:pPr>
                          </w:p>
                          <w:p w14:paraId="1D024276" w14:textId="3E28A050" w:rsidR="0075240F" w:rsidRPr="0058248F" w:rsidRDefault="0075240F" w:rsidP="0075240F">
                            <w:pPr>
                              <w:spacing w:after="120"/>
                              <w:jc w:val="center"/>
                              <w:rPr>
                                <w:rFonts w:ascii="Arial" w:hAnsi="Arial" w:cs="Arial"/>
                                <w:b/>
                                <w:bCs/>
                              </w:rPr>
                            </w:pPr>
                            <w:r>
                              <w:rPr>
                                <w:rFonts w:ascii="Arial" w:hAnsi="Arial" w:cs="Arial"/>
                                <w:b/>
                                <w:bCs/>
                              </w:rPr>
                              <w:t>Resources</w:t>
                            </w:r>
                          </w:p>
                          <w:p w14:paraId="7ABC76F0" w14:textId="74637E6A" w:rsidR="0075240F" w:rsidRPr="0058248F" w:rsidRDefault="0075240F" w:rsidP="0075240F">
                            <w:pPr>
                              <w:jc w:val="center"/>
                              <w:rPr>
                                <w:rFonts w:ascii="Arial" w:hAnsi="Arial" w:cs="Arial"/>
                                <w:b/>
                                <w:bCs/>
                              </w:rPr>
                            </w:pPr>
                          </w:p>
                          <w:p w14:paraId="2B2BDFBB" w14:textId="16E24CE6" w:rsidR="0075240F" w:rsidRPr="0070495B" w:rsidRDefault="0013450D" w:rsidP="0070495B">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w:t>
                            </w:r>
                            <w:r w:rsidR="0070495B" w:rsidRPr="0070495B">
                              <w:rPr>
                                <w:rFonts w:ascii="Arial" w:hAnsi="Arial" w:cs="Arial"/>
                                <w:i/>
                                <w:iCs/>
                                <w:sz w:val="20"/>
                                <w:szCs w:val="20"/>
                                <w:highlight w:val="yellow"/>
                              </w:rPr>
                              <w:t>feel free to identify additional resources</w:t>
                            </w:r>
                          </w:p>
                          <w:p w14:paraId="0BDB03C3" w14:textId="15F59447" w:rsidR="0075240F" w:rsidRDefault="0075240F" w:rsidP="0075240F">
                            <w:pPr>
                              <w:rPr>
                                <w:rFonts w:ascii="Arial" w:hAnsi="Arial" w:cs="Arial"/>
                                <w:sz w:val="20"/>
                                <w:szCs w:val="20"/>
                              </w:rPr>
                            </w:pPr>
                          </w:p>
                          <w:p w14:paraId="094628C2" w14:textId="77777777" w:rsidR="00971AF1" w:rsidRDefault="00971AF1" w:rsidP="0075240F">
                            <w:pPr>
                              <w:rPr>
                                <w:rFonts w:ascii="Arial" w:hAnsi="Arial" w:cs="Arial"/>
                                <w:sz w:val="20"/>
                                <w:szCs w:val="20"/>
                              </w:rPr>
                            </w:pPr>
                          </w:p>
                          <w:p w14:paraId="716A4C14" w14:textId="77777777" w:rsidR="00971AF1" w:rsidRPr="0013450D" w:rsidRDefault="00971AF1" w:rsidP="00971AF1">
                            <w:pPr>
                              <w:pStyle w:val="ListParagraph"/>
                              <w:numPr>
                                <w:ilvl w:val="0"/>
                                <w:numId w:val="16"/>
                              </w:numPr>
                              <w:rPr>
                                <w:rFonts w:ascii="Arial" w:hAnsi="Arial" w:cs="Arial"/>
                                <w:sz w:val="20"/>
                                <w:szCs w:val="20"/>
                              </w:rPr>
                            </w:pPr>
                            <w:r w:rsidRPr="0013450D">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7" w:history="1">
                              <w:r w:rsidRPr="0013450D">
                                <w:rPr>
                                  <w:rStyle w:val="Hyperlink"/>
                                  <w:rFonts w:ascii="Arial" w:hAnsi="Arial" w:cs="Arial"/>
                                  <w:sz w:val="20"/>
                                  <w:szCs w:val="20"/>
                                </w:rPr>
                                <w:t>http://healthjournalism.org/secondarypage-details.php?id=965</w:t>
                              </w:r>
                            </w:hyperlink>
                            <w:r w:rsidRPr="0013450D">
                              <w:rPr>
                                <w:rFonts w:ascii="Arial" w:hAnsi="Arial" w:cs="Arial"/>
                                <w:sz w:val="20"/>
                                <w:szCs w:val="20"/>
                              </w:rPr>
                              <w:t>.</w:t>
                            </w:r>
                          </w:p>
                          <w:p w14:paraId="1C17F865" w14:textId="48E7428E" w:rsidR="00B302E2" w:rsidRPr="001E1E9F" w:rsidRDefault="00B302E2" w:rsidP="0075240F">
                            <w:pPr>
                              <w:rPr>
                                <w:rFonts w:ascii="Arial" w:hAnsi="Arial" w:cs="Arial"/>
                                <w:sz w:val="20"/>
                                <w:szCs w:val="20"/>
                              </w:rPr>
                            </w:pPr>
                          </w:p>
                          <w:p w14:paraId="3284CA9A" w14:textId="4A8301E0" w:rsidR="001E1E9F" w:rsidRPr="0070495B" w:rsidRDefault="001F1B55" w:rsidP="00785EF7">
                            <w:pPr>
                              <w:pStyle w:val="ListParagraph"/>
                              <w:numPr>
                                <w:ilvl w:val="0"/>
                                <w:numId w:val="16"/>
                              </w:numPr>
                              <w:rPr>
                                <w:rFonts w:ascii="Arial" w:hAnsi="Arial" w:cs="Arial"/>
                                <w:sz w:val="20"/>
                                <w:szCs w:val="20"/>
                              </w:rPr>
                            </w:pPr>
                            <w:r w:rsidRPr="0070495B">
                              <w:rPr>
                                <w:rFonts w:ascii="Arial" w:hAnsi="Arial" w:cs="Arial"/>
                                <w:sz w:val="20"/>
                                <w:szCs w:val="20"/>
                              </w:rPr>
                              <w:t xml:space="preserve">The Reporters Committee for Freedom of the Press. Open Government Guide. 2019. </w:t>
                            </w:r>
                            <w:r w:rsidR="00E75F40" w:rsidRPr="0070495B">
                              <w:rPr>
                                <w:rFonts w:ascii="Arial" w:hAnsi="Arial" w:cs="Arial"/>
                                <w:sz w:val="20"/>
                                <w:szCs w:val="20"/>
                              </w:rPr>
                              <w:t>Available at</w:t>
                            </w:r>
                            <w:r w:rsidR="00E75F40" w:rsidRPr="0070495B">
                              <w:rPr>
                                <w:rFonts w:ascii="Arial" w:hAnsi="Arial" w:cs="Arial"/>
                                <w:sz w:val="20"/>
                                <w:szCs w:val="20"/>
                              </w:rPr>
                              <w:t xml:space="preserve"> </w:t>
                            </w:r>
                            <w:hyperlink r:id="rId8" w:history="1">
                              <w:r w:rsidRPr="0070495B">
                                <w:rPr>
                                  <w:rStyle w:val="Hyperlink"/>
                                  <w:rFonts w:ascii="Arial" w:hAnsi="Arial" w:cs="Arial"/>
                                  <w:sz w:val="20"/>
                                  <w:szCs w:val="20"/>
                                </w:rPr>
                                <w:t>https://www.rcfp.org/open-government-guide/</w:t>
                              </w:r>
                            </w:hyperlink>
                            <w:r w:rsidRPr="0070495B">
                              <w:rPr>
                                <w:rFonts w:ascii="Arial" w:hAnsi="Arial" w:cs="Arial"/>
                                <w:sz w:val="20"/>
                                <w:szCs w:val="20"/>
                              </w:rPr>
                              <w:t>.</w:t>
                            </w:r>
                          </w:p>
                          <w:p w14:paraId="317AD55B" w14:textId="77777777" w:rsidR="001E1E9F" w:rsidRPr="001E1E9F" w:rsidRDefault="001E1E9F" w:rsidP="001E1E9F">
                            <w:pPr>
                              <w:rPr>
                                <w:rFonts w:ascii="Arial" w:hAnsi="Arial" w:cs="Arial"/>
                                <w:sz w:val="20"/>
                                <w:szCs w:val="20"/>
                              </w:rPr>
                            </w:pPr>
                          </w:p>
                          <w:p w14:paraId="5057C0AD" w14:textId="77777777" w:rsidR="001E1E9F" w:rsidRPr="0013450D" w:rsidRDefault="001E1E9F" w:rsidP="0013450D">
                            <w:pPr>
                              <w:pStyle w:val="ListParagraph"/>
                              <w:numPr>
                                <w:ilvl w:val="0"/>
                                <w:numId w:val="16"/>
                              </w:numPr>
                              <w:rPr>
                                <w:rFonts w:ascii="Arial" w:hAnsi="Arial" w:cs="Arial"/>
                                <w:sz w:val="20"/>
                                <w:szCs w:val="20"/>
                              </w:rPr>
                            </w:pPr>
                            <w:r w:rsidRPr="0013450D">
                              <w:rPr>
                                <w:rFonts w:ascii="Arial" w:hAnsi="Arial" w:cs="Arial"/>
                                <w:sz w:val="20"/>
                                <w:szCs w:val="20"/>
                              </w:rPr>
                              <w:t xml:space="preserve">CSTE. Legal Issues Concerning Identifiable Health Data Sharing Between State/Local Public Health Authorities and Tribal Epidemiology Centers in Selected U.S. Jurisdictions. Original Draft March 30, 2009; Revised as of November 8, 2011. Available at  </w:t>
                            </w:r>
                            <w:hyperlink r:id="rId9" w:history="1">
                              <w:r w:rsidRPr="0013450D">
                                <w:rPr>
                                  <w:rStyle w:val="Hyperlink"/>
                                  <w:rFonts w:ascii="Arial" w:hAnsi="Arial" w:cs="Arial"/>
                                  <w:sz w:val="20"/>
                                  <w:szCs w:val="20"/>
                                </w:rPr>
                                <w:t>https://cdn.ymaws.com/www.cste.org/resource/resmgr/PDFs/LegalIssuesTribalJuris.pdf</w:t>
                              </w:r>
                            </w:hyperlink>
                            <w:r w:rsidRPr="0013450D">
                              <w:rPr>
                                <w:rFonts w:ascii="Arial" w:hAnsi="Arial" w:cs="Arial"/>
                                <w:sz w:val="20"/>
                                <w:szCs w:val="20"/>
                              </w:rPr>
                              <w:t>.</w:t>
                            </w:r>
                          </w:p>
                          <w:p w14:paraId="518784AA" w14:textId="77777777" w:rsidR="001E1E9F" w:rsidRPr="001E1E9F" w:rsidRDefault="001E1E9F" w:rsidP="001E1E9F">
                            <w:pPr>
                              <w:rPr>
                                <w:rFonts w:ascii="Arial" w:hAnsi="Arial" w:cs="Arial"/>
                                <w:sz w:val="20"/>
                                <w:szCs w:val="20"/>
                              </w:rPr>
                            </w:pPr>
                          </w:p>
                          <w:p w14:paraId="56F9431A" w14:textId="3D889165" w:rsidR="001E1E9F" w:rsidRDefault="001E1E9F" w:rsidP="0013450D">
                            <w:pPr>
                              <w:pStyle w:val="ListParagraph"/>
                              <w:numPr>
                                <w:ilvl w:val="0"/>
                                <w:numId w:val="16"/>
                              </w:numPr>
                              <w:rPr>
                                <w:rFonts w:ascii="Arial" w:hAnsi="Arial" w:cs="Arial"/>
                                <w:sz w:val="20"/>
                                <w:szCs w:val="20"/>
                              </w:rPr>
                            </w:pPr>
                            <w:r w:rsidRPr="0013450D">
                              <w:rPr>
                                <w:rFonts w:ascii="Arial" w:hAnsi="Arial" w:cs="Arial"/>
                                <w:sz w:val="20"/>
                                <w:szCs w:val="20"/>
                              </w:rPr>
                              <w:t xml:space="preserve">Partnership for Public Health Law. Legal Issues Related to Sharing of Clinical Health Data with Public Health Agencies. April 2016. Available at </w:t>
                            </w:r>
                            <w:hyperlink r:id="rId10" w:history="1">
                              <w:r w:rsidRPr="0013450D">
                                <w:rPr>
                                  <w:rStyle w:val="Hyperlink"/>
                                  <w:rFonts w:ascii="Arial" w:hAnsi="Arial" w:cs="Arial"/>
                                  <w:sz w:val="20"/>
                                  <w:szCs w:val="20"/>
                                </w:rPr>
                                <w:t>https://www.astho.org/Public-Policy/Public-Health-Law/Legal-Issues-Related-to-sharing-Clinical-Health-Data-with-Public-Health-Agencies/</w:t>
                              </w:r>
                            </w:hyperlink>
                            <w:r w:rsidRPr="0013450D">
                              <w:rPr>
                                <w:rFonts w:ascii="Arial" w:hAnsi="Arial" w:cs="Arial"/>
                                <w:sz w:val="20"/>
                                <w:szCs w:val="20"/>
                              </w:rPr>
                              <w:t>.</w:t>
                            </w:r>
                            <w:r w:rsidRPr="0013450D">
                              <w:rPr>
                                <w:rFonts w:ascii="Arial" w:hAnsi="Arial" w:cs="Arial"/>
                                <w:sz w:val="20"/>
                                <w:szCs w:val="20"/>
                              </w:rPr>
                              <w:cr/>
                            </w:r>
                          </w:p>
                          <w:p w14:paraId="3FED05A6" w14:textId="77777777" w:rsidR="00971AF1" w:rsidRPr="0013450D" w:rsidRDefault="00971AF1" w:rsidP="00971AF1">
                            <w:pPr>
                              <w:pStyle w:val="ListParagraph"/>
                              <w:numPr>
                                <w:ilvl w:val="0"/>
                                <w:numId w:val="16"/>
                              </w:numPr>
                              <w:rPr>
                                <w:rFonts w:ascii="Arial" w:hAnsi="Arial" w:cs="Arial"/>
                                <w:sz w:val="20"/>
                                <w:szCs w:val="20"/>
                              </w:rPr>
                            </w:pPr>
                            <w:r w:rsidRPr="0013450D">
                              <w:rPr>
                                <w:rFonts w:ascii="Arial" w:hAnsi="Arial" w:cs="Arial"/>
                                <w:sz w:val="20"/>
                                <w:szCs w:val="20"/>
                              </w:rPr>
                              <w:t xml:space="preserve">Network for Public Health Law and Data Across Sectors for Health. The Legal Bibliography. Available at </w:t>
                            </w:r>
                            <w:hyperlink r:id="rId11" w:history="1">
                              <w:r w:rsidRPr="0013450D">
                                <w:rPr>
                                  <w:rStyle w:val="Hyperlink"/>
                                  <w:rFonts w:ascii="Arial" w:hAnsi="Arial" w:cs="Arial"/>
                                  <w:sz w:val="20"/>
                                  <w:szCs w:val="20"/>
                                </w:rPr>
                                <w:t>http://legalbib.communitycommons.org/</w:t>
                              </w:r>
                            </w:hyperlink>
                            <w:r w:rsidRPr="0013450D">
                              <w:rPr>
                                <w:rFonts w:ascii="Arial" w:hAnsi="Arial" w:cs="Arial"/>
                                <w:sz w:val="20"/>
                                <w:szCs w:val="20"/>
                              </w:rPr>
                              <w:t>.</w:t>
                            </w:r>
                          </w:p>
                          <w:p w14:paraId="3B3E959A" w14:textId="77777777" w:rsidR="00971AF1" w:rsidRPr="0013450D" w:rsidRDefault="00971AF1" w:rsidP="00971AF1">
                            <w:pPr>
                              <w:pStyle w:val="ListParagraph"/>
                              <w:rPr>
                                <w:rFonts w:ascii="Arial" w:hAnsi="Arial" w:cs="Arial"/>
                                <w:sz w:val="20"/>
                                <w:szCs w:val="20"/>
                              </w:rPr>
                            </w:pPr>
                          </w:p>
                          <w:p w14:paraId="520B1A25" w14:textId="77777777" w:rsidR="001E1E9F" w:rsidRDefault="001E1E9F" w:rsidP="007524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AA68A" id="_x0000_s1028" type="#_x0000_t202" style="position:absolute;margin-left:0;margin-top:33.35pt;width:471.6pt;height:347.0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UZJQIAAEwEAAAOAAAAZHJzL2Uyb0RvYy54bWysVNuO2yAQfa/Uf0C8N3bcpJtYcVbbbFNV&#10;2l6k3X4AxjhGBYYCib39+g7Ym6a3l6p+QMAMZ2bOmfHmetCKnITzEkxF57OcEmE4NNIcKvr5Yf9i&#10;RYkPzDRMgREVfRSeXm+fP9v0thQFdKAa4QiCGF/2tqJdCLbMMs87oZmfgRUGjS04zQIe3SFrHOsR&#10;XausyPNXWQ+usQ648B5vb0cj3Sb8thU8fGxbLwJRFcXcQlpdWuu4ZtsNKw+O2U7yKQ32D1loJg0G&#10;PUPdssDI0cnfoLTkDjy0YcZBZ9C2kotUA1Yzz3+p5r5jVqRakBxvzzT5/wfLP5w+OSKbihaUGKZR&#10;ogcxBPIaBlJEdnrrS3S6t+gWBrxGlVOl3t4B/+KJgV3HzEHcOAd9J1iD2c3jy+zi6YjjI0jdv4cG&#10;w7BjgAQ0tE5H6pAMguio0uNZmZgKx8vlerV+WaCJo22xyK8W+SrFYOXTc+t8eCtAk7ipqEPpEzw7&#10;3fkQ02Hlk0uM5kHJZi+VSgd3qHfKkRPDNtmnb0L/yU0Z0ld0vSyWIwN/hcjT9ycILQP2u5K6oquz&#10;Eysjb29Mk7oxMKnGPaaszERk5G5kMQz1MCk26VND84jMOhjbG8cRNx24b5T02NoV9V+PzAlK1DuD&#10;6qznyCDOQjoslleRV3dpqS8tzHCEqmigZNzuQpqfyJuBG1SxlYnfKPeYyZQytmyifRqvOBOX5+T1&#10;4yew/Q4AAP//AwBQSwMEFAAGAAgAAAAhAKfLYjzeAAAABwEAAA8AAABkcnMvZG93bnJldi54bWxM&#10;j8FOwzAQRO9I/IO1SFwQdWgrJw1xKoQEglspVbm68TaJsNfBdtPw95gTHEczmnlTrSdr2Ig+9I4k&#10;3M0yYEiN0z21EnbvT7cFsBAVaWUcoYRvDLCuLy8qVWp3pjcct7FlqYRCqSR0MQ4l56Hp0KowcwNS&#10;8o7OWxWT9C3XXp1TuTV8nmWCW9VTWujUgI8dNp/bk5VQLF/Gj/C62OwbcTSreJOPz19eyuur6eEe&#10;WMQp/oXhFz+hQ52YDu5EOjAjIR2JEoTIgSV3tVzMgR0k5CIrgNcV/89f/wAAAP//AwBQSwECLQAU&#10;AAYACAAAACEAtoM4kv4AAADhAQAAEwAAAAAAAAAAAAAAAAAAAAAAW0NvbnRlbnRfVHlwZXNdLnht&#10;bFBLAQItABQABgAIAAAAIQA4/SH/1gAAAJQBAAALAAAAAAAAAAAAAAAAAC8BAABfcmVscy8ucmVs&#10;c1BLAQItABQABgAIAAAAIQBNowUZJQIAAEwEAAAOAAAAAAAAAAAAAAAAAC4CAABkcnMvZTJvRG9j&#10;LnhtbFBLAQItABQABgAIAAAAIQCny2I83gAAAAcBAAAPAAAAAAAAAAAAAAAAAH8EAABkcnMvZG93&#10;bnJldi54bWxQSwUGAAAAAAQABADzAAAAigUAAAAA&#10;">
                <v:textbox>
                  <w:txbxContent>
                    <w:p w14:paraId="379AE73F" w14:textId="77777777" w:rsidR="00B302E2" w:rsidRDefault="00B302E2" w:rsidP="0075240F">
                      <w:pPr>
                        <w:spacing w:after="120"/>
                        <w:jc w:val="center"/>
                        <w:rPr>
                          <w:rFonts w:ascii="Arial" w:hAnsi="Arial" w:cs="Arial"/>
                          <w:b/>
                          <w:bCs/>
                        </w:rPr>
                      </w:pPr>
                    </w:p>
                    <w:p w14:paraId="1D024276" w14:textId="3E28A050" w:rsidR="0075240F" w:rsidRPr="0058248F" w:rsidRDefault="0075240F" w:rsidP="0075240F">
                      <w:pPr>
                        <w:spacing w:after="120"/>
                        <w:jc w:val="center"/>
                        <w:rPr>
                          <w:rFonts w:ascii="Arial" w:hAnsi="Arial" w:cs="Arial"/>
                          <w:b/>
                          <w:bCs/>
                        </w:rPr>
                      </w:pPr>
                      <w:r>
                        <w:rPr>
                          <w:rFonts w:ascii="Arial" w:hAnsi="Arial" w:cs="Arial"/>
                          <w:b/>
                          <w:bCs/>
                        </w:rPr>
                        <w:t>Resources</w:t>
                      </w:r>
                    </w:p>
                    <w:p w14:paraId="7ABC76F0" w14:textId="74637E6A" w:rsidR="0075240F" w:rsidRPr="0058248F" w:rsidRDefault="0075240F" w:rsidP="0075240F">
                      <w:pPr>
                        <w:jc w:val="center"/>
                        <w:rPr>
                          <w:rFonts w:ascii="Arial" w:hAnsi="Arial" w:cs="Arial"/>
                          <w:b/>
                          <w:bCs/>
                        </w:rPr>
                      </w:pPr>
                    </w:p>
                    <w:p w14:paraId="2B2BDFBB" w14:textId="16E24CE6" w:rsidR="0075240F" w:rsidRPr="0070495B" w:rsidRDefault="0013450D" w:rsidP="0070495B">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w:t>
                      </w:r>
                      <w:r w:rsidR="0070495B" w:rsidRPr="0070495B">
                        <w:rPr>
                          <w:rFonts w:ascii="Arial" w:hAnsi="Arial" w:cs="Arial"/>
                          <w:i/>
                          <w:iCs/>
                          <w:sz w:val="20"/>
                          <w:szCs w:val="20"/>
                          <w:highlight w:val="yellow"/>
                        </w:rPr>
                        <w:t>feel free to identify additional resources</w:t>
                      </w:r>
                    </w:p>
                    <w:p w14:paraId="0BDB03C3" w14:textId="15F59447" w:rsidR="0075240F" w:rsidRDefault="0075240F" w:rsidP="0075240F">
                      <w:pPr>
                        <w:rPr>
                          <w:rFonts w:ascii="Arial" w:hAnsi="Arial" w:cs="Arial"/>
                          <w:sz w:val="20"/>
                          <w:szCs w:val="20"/>
                        </w:rPr>
                      </w:pPr>
                    </w:p>
                    <w:p w14:paraId="094628C2" w14:textId="77777777" w:rsidR="00971AF1" w:rsidRDefault="00971AF1" w:rsidP="0075240F">
                      <w:pPr>
                        <w:rPr>
                          <w:rFonts w:ascii="Arial" w:hAnsi="Arial" w:cs="Arial"/>
                          <w:sz w:val="20"/>
                          <w:szCs w:val="20"/>
                        </w:rPr>
                      </w:pPr>
                    </w:p>
                    <w:p w14:paraId="716A4C14" w14:textId="77777777" w:rsidR="00971AF1" w:rsidRPr="0013450D" w:rsidRDefault="00971AF1" w:rsidP="00971AF1">
                      <w:pPr>
                        <w:pStyle w:val="ListParagraph"/>
                        <w:numPr>
                          <w:ilvl w:val="0"/>
                          <w:numId w:val="16"/>
                        </w:numPr>
                        <w:rPr>
                          <w:rFonts w:ascii="Arial" w:hAnsi="Arial" w:cs="Arial"/>
                          <w:sz w:val="20"/>
                          <w:szCs w:val="20"/>
                        </w:rPr>
                      </w:pPr>
                      <w:r w:rsidRPr="0013450D">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12" w:history="1">
                        <w:r w:rsidRPr="0013450D">
                          <w:rPr>
                            <w:rStyle w:val="Hyperlink"/>
                            <w:rFonts w:ascii="Arial" w:hAnsi="Arial" w:cs="Arial"/>
                            <w:sz w:val="20"/>
                            <w:szCs w:val="20"/>
                          </w:rPr>
                          <w:t>http://healthjournalism.org/secondarypage-details.php?id=965</w:t>
                        </w:r>
                      </w:hyperlink>
                      <w:r w:rsidRPr="0013450D">
                        <w:rPr>
                          <w:rFonts w:ascii="Arial" w:hAnsi="Arial" w:cs="Arial"/>
                          <w:sz w:val="20"/>
                          <w:szCs w:val="20"/>
                        </w:rPr>
                        <w:t>.</w:t>
                      </w:r>
                    </w:p>
                    <w:p w14:paraId="1C17F865" w14:textId="48E7428E" w:rsidR="00B302E2" w:rsidRPr="001E1E9F" w:rsidRDefault="00B302E2" w:rsidP="0075240F">
                      <w:pPr>
                        <w:rPr>
                          <w:rFonts w:ascii="Arial" w:hAnsi="Arial" w:cs="Arial"/>
                          <w:sz w:val="20"/>
                          <w:szCs w:val="20"/>
                        </w:rPr>
                      </w:pPr>
                    </w:p>
                    <w:p w14:paraId="3284CA9A" w14:textId="4A8301E0" w:rsidR="001E1E9F" w:rsidRPr="0070495B" w:rsidRDefault="001F1B55" w:rsidP="00785EF7">
                      <w:pPr>
                        <w:pStyle w:val="ListParagraph"/>
                        <w:numPr>
                          <w:ilvl w:val="0"/>
                          <w:numId w:val="16"/>
                        </w:numPr>
                        <w:rPr>
                          <w:rFonts w:ascii="Arial" w:hAnsi="Arial" w:cs="Arial"/>
                          <w:sz w:val="20"/>
                          <w:szCs w:val="20"/>
                        </w:rPr>
                      </w:pPr>
                      <w:r w:rsidRPr="0070495B">
                        <w:rPr>
                          <w:rFonts w:ascii="Arial" w:hAnsi="Arial" w:cs="Arial"/>
                          <w:sz w:val="20"/>
                          <w:szCs w:val="20"/>
                        </w:rPr>
                        <w:t xml:space="preserve">The Reporters Committee for Freedom of the Press. Open Government Guide. 2019. </w:t>
                      </w:r>
                      <w:r w:rsidR="00E75F40" w:rsidRPr="0070495B">
                        <w:rPr>
                          <w:rFonts w:ascii="Arial" w:hAnsi="Arial" w:cs="Arial"/>
                          <w:sz w:val="20"/>
                          <w:szCs w:val="20"/>
                        </w:rPr>
                        <w:t>Available at</w:t>
                      </w:r>
                      <w:r w:rsidR="00E75F40" w:rsidRPr="0070495B">
                        <w:rPr>
                          <w:rFonts w:ascii="Arial" w:hAnsi="Arial" w:cs="Arial"/>
                          <w:sz w:val="20"/>
                          <w:szCs w:val="20"/>
                        </w:rPr>
                        <w:t xml:space="preserve"> </w:t>
                      </w:r>
                      <w:hyperlink r:id="rId13" w:history="1">
                        <w:r w:rsidRPr="0070495B">
                          <w:rPr>
                            <w:rStyle w:val="Hyperlink"/>
                            <w:rFonts w:ascii="Arial" w:hAnsi="Arial" w:cs="Arial"/>
                            <w:sz w:val="20"/>
                            <w:szCs w:val="20"/>
                          </w:rPr>
                          <w:t>https://www.rcfp.org/open-government-guide/</w:t>
                        </w:r>
                      </w:hyperlink>
                      <w:r w:rsidRPr="0070495B">
                        <w:rPr>
                          <w:rFonts w:ascii="Arial" w:hAnsi="Arial" w:cs="Arial"/>
                          <w:sz w:val="20"/>
                          <w:szCs w:val="20"/>
                        </w:rPr>
                        <w:t>.</w:t>
                      </w:r>
                    </w:p>
                    <w:p w14:paraId="317AD55B" w14:textId="77777777" w:rsidR="001E1E9F" w:rsidRPr="001E1E9F" w:rsidRDefault="001E1E9F" w:rsidP="001E1E9F">
                      <w:pPr>
                        <w:rPr>
                          <w:rFonts w:ascii="Arial" w:hAnsi="Arial" w:cs="Arial"/>
                          <w:sz w:val="20"/>
                          <w:szCs w:val="20"/>
                        </w:rPr>
                      </w:pPr>
                    </w:p>
                    <w:p w14:paraId="5057C0AD" w14:textId="77777777" w:rsidR="001E1E9F" w:rsidRPr="0013450D" w:rsidRDefault="001E1E9F" w:rsidP="0013450D">
                      <w:pPr>
                        <w:pStyle w:val="ListParagraph"/>
                        <w:numPr>
                          <w:ilvl w:val="0"/>
                          <w:numId w:val="16"/>
                        </w:numPr>
                        <w:rPr>
                          <w:rFonts w:ascii="Arial" w:hAnsi="Arial" w:cs="Arial"/>
                          <w:sz w:val="20"/>
                          <w:szCs w:val="20"/>
                        </w:rPr>
                      </w:pPr>
                      <w:r w:rsidRPr="0013450D">
                        <w:rPr>
                          <w:rFonts w:ascii="Arial" w:hAnsi="Arial" w:cs="Arial"/>
                          <w:sz w:val="20"/>
                          <w:szCs w:val="20"/>
                        </w:rPr>
                        <w:t xml:space="preserve">CSTE. Legal Issues Concerning Identifiable Health Data Sharing Between State/Local Public Health Authorities and Tribal Epidemiology Centers in Selected U.S. Jurisdictions. Original Draft March 30, 2009; Revised as of November 8, 2011. Available at  </w:t>
                      </w:r>
                      <w:hyperlink r:id="rId14" w:history="1">
                        <w:r w:rsidRPr="0013450D">
                          <w:rPr>
                            <w:rStyle w:val="Hyperlink"/>
                            <w:rFonts w:ascii="Arial" w:hAnsi="Arial" w:cs="Arial"/>
                            <w:sz w:val="20"/>
                            <w:szCs w:val="20"/>
                          </w:rPr>
                          <w:t>https://cdn.ymaws.com/www.cste.org/resource/resmgr/PDFs/LegalIssuesTribalJuris.pdf</w:t>
                        </w:r>
                      </w:hyperlink>
                      <w:r w:rsidRPr="0013450D">
                        <w:rPr>
                          <w:rFonts w:ascii="Arial" w:hAnsi="Arial" w:cs="Arial"/>
                          <w:sz w:val="20"/>
                          <w:szCs w:val="20"/>
                        </w:rPr>
                        <w:t>.</w:t>
                      </w:r>
                    </w:p>
                    <w:p w14:paraId="518784AA" w14:textId="77777777" w:rsidR="001E1E9F" w:rsidRPr="001E1E9F" w:rsidRDefault="001E1E9F" w:rsidP="001E1E9F">
                      <w:pPr>
                        <w:rPr>
                          <w:rFonts w:ascii="Arial" w:hAnsi="Arial" w:cs="Arial"/>
                          <w:sz w:val="20"/>
                          <w:szCs w:val="20"/>
                        </w:rPr>
                      </w:pPr>
                    </w:p>
                    <w:p w14:paraId="56F9431A" w14:textId="3D889165" w:rsidR="001E1E9F" w:rsidRDefault="001E1E9F" w:rsidP="0013450D">
                      <w:pPr>
                        <w:pStyle w:val="ListParagraph"/>
                        <w:numPr>
                          <w:ilvl w:val="0"/>
                          <w:numId w:val="16"/>
                        </w:numPr>
                        <w:rPr>
                          <w:rFonts w:ascii="Arial" w:hAnsi="Arial" w:cs="Arial"/>
                          <w:sz w:val="20"/>
                          <w:szCs w:val="20"/>
                        </w:rPr>
                      </w:pPr>
                      <w:r w:rsidRPr="0013450D">
                        <w:rPr>
                          <w:rFonts w:ascii="Arial" w:hAnsi="Arial" w:cs="Arial"/>
                          <w:sz w:val="20"/>
                          <w:szCs w:val="20"/>
                        </w:rPr>
                        <w:t xml:space="preserve">Partnership for Public Health Law. Legal Issues Related to Sharing of Clinical Health Data with Public Health Agencies. April 2016. Available at </w:t>
                      </w:r>
                      <w:hyperlink r:id="rId15" w:history="1">
                        <w:r w:rsidRPr="0013450D">
                          <w:rPr>
                            <w:rStyle w:val="Hyperlink"/>
                            <w:rFonts w:ascii="Arial" w:hAnsi="Arial" w:cs="Arial"/>
                            <w:sz w:val="20"/>
                            <w:szCs w:val="20"/>
                          </w:rPr>
                          <w:t>https://www.astho.org/Public-Policy/Public-Health-Law/Legal-Issues-Related-to-sharing-Clinical-Health-Data-with-Public-Health-Agencies/</w:t>
                        </w:r>
                      </w:hyperlink>
                      <w:r w:rsidRPr="0013450D">
                        <w:rPr>
                          <w:rFonts w:ascii="Arial" w:hAnsi="Arial" w:cs="Arial"/>
                          <w:sz w:val="20"/>
                          <w:szCs w:val="20"/>
                        </w:rPr>
                        <w:t>.</w:t>
                      </w:r>
                      <w:r w:rsidRPr="0013450D">
                        <w:rPr>
                          <w:rFonts w:ascii="Arial" w:hAnsi="Arial" w:cs="Arial"/>
                          <w:sz w:val="20"/>
                          <w:szCs w:val="20"/>
                        </w:rPr>
                        <w:cr/>
                      </w:r>
                    </w:p>
                    <w:p w14:paraId="3FED05A6" w14:textId="77777777" w:rsidR="00971AF1" w:rsidRPr="0013450D" w:rsidRDefault="00971AF1" w:rsidP="00971AF1">
                      <w:pPr>
                        <w:pStyle w:val="ListParagraph"/>
                        <w:numPr>
                          <w:ilvl w:val="0"/>
                          <w:numId w:val="16"/>
                        </w:numPr>
                        <w:rPr>
                          <w:rFonts w:ascii="Arial" w:hAnsi="Arial" w:cs="Arial"/>
                          <w:sz w:val="20"/>
                          <w:szCs w:val="20"/>
                        </w:rPr>
                      </w:pPr>
                      <w:r w:rsidRPr="0013450D">
                        <w:rPr>
                          <w:rFonts w:ascii="Arial" w:hAnsi="Arial" w:cs="Arial"/>
                          <w:sz w:val="20"/>
                          <w:szCs w:val="20"/>
                        </w:rPr>
                        <w:t xml:space="preserve">Network for Public Health Law and Data Across Sectors for Health. The Legal Bibliography. Available at </w:t>
                      </w:r>
                      <w:hyperlink r:id="rId16" w:history="1">
                        <w:r w:rsidRPr="0013450D">
                          <w:rPr>
                            <w:rStyle w:val="Hyperlink"/>
                            <w:rFonts w:ascii="Arial" w:hAnsi="Arial" w:cs="Arial"/>
                            <w:sz w:val="20"/>
                            <w:szCs w:val="20"/>
                          </w:rPr>
                          <w:t>http://legalbib.communitycommons.org/</w:t>
                        </w:r>
                      </w:hyperlink>
                      <w:r w:rsidRPr="0013450D">
                        <w:rPr>
                          <w:rFonts w:ascii="Arial" w:hAnsi="Arial" w:cs="Arial"/>
                          <w:sz w:val="20"/>
                          <w:szCs w:val="20"/>
                        </w:rPr>
                        <w:t>.</w:t>
                      </w:r>
                    </w:p>
                    <w:p w14:paraId="3B3E959A" w14:textId="77777777" w:rsidR="00971AF1" w:rsidRPr="0013450D" w:rsidRDefault="00971AF1" w:rsidP="00971AF1">
                      <w:pPr>
                        <w:pStyle w:val="ListParagraph"/>
                        <w:rPr>
                          <w:rFonts w:ascii="Arial" w:hAnsi="Arial" w:cs="Arial"/>
                          <w:sz w:val="20"/>
                          <w:szCs w:val="20"/>
                        </w:rPr>
                      </w:pPr>
                    </w:p>
                    <w:p w14:paraId="520B1A25" w14:textId="77777777" w:rsidR="001E1E9F" w:rsidRDefault="001E1E9F" w:rsidP="0075240F"/>
                  </w:txbxContent>
                </v:textbox>
                <w10:wrap type="square" anchorx="margin"/>
              </v:shape>
            </w:pict>
          </mc:Fallback>
        </mc:AlternateContent>
      </w:r>
    </w:p>
    <w:p w14:paraId="285A5DD0" w14:textId="452CFEF3" w:rsidR="00351873" w:rsidRPr="00EE3CC7" w:rsidRDefault="00351873" w:rsidP="004668BF">
      <w:pPr>
        <w:spacing w:line="360" w:lineRule="auto"/>
        <w:rPr>
          <w:rFonts w:asciiTheme="majorHAnsi" w:eastAsia="Times New Roman" w:hAnsiTheme="majorHAnsi" w:cstheme="majorHAnsi"/>
        </w:rPr>
      </w:pPr>
    </w:p>
    <w:p w14:paraId="6622E179" w14:textId="77777777" w:rsidR="004668BF" w:rsidRPr="00BA55BB" w:rsidRDefault="004668BF" w:rsidP="004668BF">
      <w:pPr>
        <w:spacing w:line="360" w:lineRule="auto"/>
        <w:rPr>
          <w:rFonts w:ascii="Calibri" w:eastAsia="Times New Roman" w:hAnsi="Calibri" w:cs="Calibri"/>
          <w:b/>
          <w:bCs/>
        </w:rPr>
      </w:pPr>
    </w:p>
    <w:p w14:paraId="402A54BC" w14:textId="77777777" w:rsidR="004668BF" w:rsidRPr="00BA55BB" w:rsidRDefault="004668BF" w:rsidP="004668BF">
      <w:pPr>
        <w:spacing w:line="360" w:lineRule="auto"/>
        <w:rPr>
          <w:rFonts w:ascii="Calibri" w:eastAsia="Times New Roman" w:hAnsi="Calibri" w:cs="Calibri"/>
          <w:b/>
          <w:bCs/>
        </w:rPr>
      </w:pPr>
    </w:p>
    <w:sectPr w:rsidR="004668BF" w:rsidRPr="00BA55BB">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7BEA6" w14:textId="77777777" w:rsidR="00104ED0" w:rsidRDefault="00104ED0" w:rsidP="004668BF">
      <w:r>
        <w:separator/>
      </w:r>
    </w:p>
  </w:endnote>
  <w:endnote w:type="continuationSeparator" w:id="0">
    <w:p w14:paraId="3FAFC2D2" w14:textId="77777777" w:rsidR="00104ED0" w:rsidRDefault="00104ED0" w:rsidP="00466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1312153"/>
      <w:docPartObj>
        <w:docPartGallery w:val="Page Numbers (Bottom of Page)"/>
        <w:docPartUnique/>
      </w:docPartObj>
    </w:sdtPr>
    <w:sdtEndPr>
      <w:rPr>
        <w:rFonts w:asciiTheme="majorHAnsi" w:hAnsiTheme="majorHAnsi" w:cstheme="majorHAnsi"/>
        <w:noProof/>
      </w:rPr>
    </w:sdtEndPr>
    <w:sdtContent>
      <w:p w14:paraId="42C05DFE" w14:textId="5CF05AE8" w:rsidR="00583B6E" w:rsidRPr="006557D7" w:rsidRDefault="006557D7" w:rsidP="006557D7">
        <w:pPr>
          <w:pStyle w:val="Footer"/>
          <w:jc w:val="center"/>
          <w:rPr>
            <w:rFonts w:asciiTheme="majorHAnsi" w:hAnsiTheme="majorHAnsi" w:cstheme="majorHAnsi"/>
          </w:rPr>
        </w:pPr>
        <w:r w:rsidRPr="006557D7">
          <w:rPr>
            <w:rFonts w:asciiTheme="majorHAnsi" w:hAnsiTheme="majorHAnsi" w:cstheme="majorHAnsi"/>
          </w:rPr>
          <w:fldChar w:fldCharType="begin"/>
        </w:r>
        <w:r w:rsidRPr="006557D7">
          <w:rPr>
            <w:rFonts w:asciiTheme="majorHAnsi" w:hAnsiTheme="majorHAnsi" w:cstheme="majorHAnsi"/>
          </w:rPr>
          <w:instrText xml:space="preserve"> PAGE   \* MERGEFORMAT </w:instrText>
        </w:r>
        <w:r w:rsidRPr="006557D7">
          <w:rPr>
            <w:rFonts w:asciiTheme="majorHAnsi" w:hAnsiTheme="majorHAnsi" w:cstheme="majorHAnsi"/>
          </w:rPr>
          <w:fldChar w:fldCharType="separate"/>
        </w:r>
        <w:r w:rsidRPr="006557D7">
          <w:rPr>
            <w:rFonts w:asciiTheme="majorHAnsi" w:hAnsiTheme="majorHAnsi" w:cstheme="majorHAnsi"/>
            <w:noProof/>
          </w:rPr>
          <w:t>2</w:t>
        </w:r>
        <w:r w:rsidRPr="006557D7">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EA0560" w14:textId="77777777" w:rsidR="00104ED0" w:rsidRDefault="00104ED0" w:rsidP="004668BF">
      <w:r>
        <w:separator/>
      </w:r>
    </w:p>
  </w:footnote>
  <w:footnote w:type="continuationSeparator" w:id="0">
    <w:p w14:paraId="2BDCDD3B" w14:textId="77777777" w:rsidR="00104ED0" w:rsidRDefault="00104ED0" w:rsidP="004668BF">
      <w:r>
        <w:continuationSeparator/>
      </w:r>
    </w:p>
  </w:footnote>
  <w:footnote w:id="1">
    <w:p w14:paraId="14154FF2" w14:textId="77777777" w:rsidR="004668BF" w:rsidRDefault="004668BF" w:rsidP="004668BF">
      <w:pPr>
        <w:tabs>
          <w:tab w:val="left" w:pos="686"/>
        </w:tabs>
        <w:rPr>
          <w:rFonts w:ascii="Calibri Light" w:hAnsi="Calibri Light" w:cs="Calibri Light"/>
          <w:b/>
          <w:bCs/>
          <w:sz w:val="20"/>
          <w:szCs w:val="20"/>
        </w:rPr>
      </w:pPr>
      <w:r>
        <w:rPr>
          <w:rFonts w:ascii="Calibri Light" w:hAnsi="Calibri Light" w:cs="Calibri Light"/>
          <w:b/>
          <w:bCs/>
          <w:sz w:val="20"/>
          <w:szCs w:val="20"/>
          <w:highlight w:val="yellow"/>
        </w:rPr>
        <w:t>Footnotes will be streamlined and edited to style guide once text is finalized</w:t>
      </w:r>
    </w:p>
    <w:p w14:paraId="10A8B362"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FOI laws may be known by a number of names, including open records, public records, open meetings, and/or sunshine laws. These statutes—or the regulations implementing them—will also include specifics about processes for requesting, allowable costs and charges for fulfilling the request, timeframes for responding to a request, and processing for appealing denied requests.</w:t>
      </w:r>
    </w:p>
  </w:footnote>
  <w:footnote w:id="2">
    <w:p w14:paraId="32F6807B"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Public Law No. 89-487; Codified at 5 U.S.C. § 552.</w:t>
      </w:r>
    </w:p>
  </w:footnote>
  <w:footnote w:id="3">
    <w:p w14:paraId="35ABCC45" w14:textId="2C679E5E"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For an overview of the federal FOIA, </w:t>
      </w:r>
      <w:r>
        <w:rPr>
          <w:rFonts w:ascii="Calibri Light" w:hAnsi="Calibri Light" w:cs="Calibri Light"/>
          <w:i/>
          <w:iCs/>
        </w:rPr>
        <w:t>see</w:t>
      </w:r>
      <w:r>
        <w:rPr>
          <w:rFonts w:ascii="Calibri Light" w:hAnsi="Calibri Light" w:cs="Calibri Light"/>
        </w:rPr>
        <w:t xml:space="preserve"> Berger M. The Freedom of Information Act: implications for public health policy and practice. Public Health Rep. 2011;126(3):428-432. Retrieved from </w:t>
      </w:r>
      <w:hyperlink r:id="rId1" w:history="1">
        <w:r>
          <w:rPr>
            <w:rStyle w:val="Hyperlink"/>
            <w:rFonts w:ascii="Calibri Light" w:hAnsi="Calibri Light" w:cs="Calibri Light"/>
          </w:rPr>
          <w:t>https://dx.doi.org/10.1177%2F003335491112600317</w:t>
        </w:r>
      </w:hyperlink>
      <w:r>
        <w:rPr>
          <w:rFonts w:ascii="Calibri Light" w:hAnsi="Calibri Light" w:cs="Calibri Light"/>
        </w:rPr>
        <w:t xml:space="preserve">. Accessed </w:t>
      </w:r>
      <w:r w:rsidR="00A531E2">
        <w:rPr>
          <w:rFonts w:ascii="Calibri Light" w:hAnsi="Calibri Light" w:cs="Calibri Light"/>
        </w:rPr>
        <w:t>August 17, 2020.</w:t>
      </w:r>
      <w:r>
        <w:rPr>
          <w:rFonts w:ascii="Calibri Light" w:hAnsi="Calibri Light" w:cs="Calibri Light"/>
        </w:rPr>
        <w:t xml:space="preserve">  </w:t>
      </w:r>
    </w:p>
  </w:footnote>
  <w:footnote w:id="4">
    <w:p w14:paraId="1AC847E3" w14:textId="64CCC77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Berger M. The Freedom of Information Act: Implications for Public Health Policy and Practice. Public Health Rep. 2011;126(3):428-432. Retrieved from </w:t>
      </w:r>
      <w:hyperlink r:id="rId2" w:history="1">
        <w:r>
          <w:rPr>
            <w:rStyle w:val="Hyperlink"/>
            <w:rFonts w:ascii="Calibri Light" w:hAnsi="Calibri Light" w:cs="Calibri Light"/>
          </w:rPr>
          <w:t>https://dx.doi.org/10.1177%2F003335491112600317</w:t>
        </w:r>
      </w:hyperlink>
      <w:r>
        <w:rPr>
          <w:rFonts w:ascii="Calibri Light" w:hAnsi="Calibri Light" w:cs="Calibri Light"/>
        </w:rPr>
        <w:t xml:space="preserve">. Accessed </w:t>
      </w:r>
      <w:r w:rsidR="0039625C">
        <w:rPr>
          <w:rFonts w:ascii="Calibri Light" w:hAnsi="Calibri Light" w:cs="Calibri Light"/>
        </w:rPr>
        <w:t xml:space="preserve">August 17, 2020.  </w:t>
      </w:r>
      <w:r>
        <w:rPr>
          <w:rFonts w:ascii="Calibri Light" w:hAnsi="Calibri Light" w:cs="Calibri Light"/>
          <w:i/>
          <w:iCs/>
        </w:rPr>
        <w:t>Also see</w:t>
      </w:r>
      <w:r>
        <w:rPr>
          <w:rFonts w:ascii="Calibri Light" w:hAnsi="Calibri Light" w:cs="Calibri Light"/>
        </w:rPr>
        <w:t xml:space="preserve"> </w:t>
      </w:r>
      <w:bookmarkStart w:id="0" w:name="_Hlk48659799"/>
      <w:r>
        <w:rPr>
          <w:rFonts w:ascii="Calibri Light" w:hAnsi="Calibri Light" w:cs="Calibri Light"/>
        </w:rPr>
        <w:t xml:space="preserve">The Reporters Committee for Freedom of the Press. Open Government Guide. 2019. Retrieved from </w:t>
      </w:r>
      <w:hyperlink r:id="rId3" w:history="1">
        <w:r>
          <w:rPr>
            <w:rStyle w:val="Hyperlink"/>
            <w:rFonts w:ascii="Calibri Light" w:hAnsi="Calibri Light" w:cs="Calibri Light"/>
          </w:rPr>
          <w:t>https://www.rcfp.org/open-government-guide/</w:t>
        </w:r>
      </w:hyperlink>
      <w:r>
        <w:rPr>
          <w:rFonts w:ascii="Calibri Light" w:hAnsi="Calibri Light" w:cs="Calibri Light"/>
        </w:rPr>
        <w:t xml:space="preserve">. </w:t>
      </w:r>
      <w:bookmarkEnd w:id="0"/>
      <w:r>
        <w:rPr>
          <w:rFonts w:ascii="Calibri Light" w:hAnsi="Calibri Light" w:cs="Calibri Light"/>
        </w:rPr>
        <w:t xml:space="preserve">Accessed </w:t>
      </w:r>
      <w:r w:rsidR="0039625C">
        <w:rPr>
          <w:rFonts w:ascii="Calibri Light" w:hAnsi="Calibri Light" w:cs="Calibri Light"/>
        </w:rPr>
        <w:t>August 17, 2020.</w:t>
      </w:r>
    </w:p>
  </w:footnote>
  <w:footnote w:id="5">
    <w:p w14:paraId="107A9A9F" w14:textId="2667C2B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Personally identifying information. 2019. Retrieved from</w:t>
      </w:r>
      <w:r>
        <w:rPr>
          <w:rFonts w:ascii="Calibri Light" w:hAnsi="Calibri Light" w:cs="Calibri Light"/>
          <w:sz w:val="22"/>
          <w:szCs w:val="22"/>
        </w:rPr>
        <w:t xml:space="preserve"> </w:t>
      </w:r>
      <w:hyperlink r:id="rId4" w:history="1">
        <w:r>
          <w:rPr>
            <w:rStyle w:val="Hyperlink"/>
            <w:rFonts w:ascii="Calibri Light" w:hAnsi="Calibri Light" w:cs="Calibri Light"/>
          </w:rPr>
          <w:t>https://www.rcfp.org/open-government-sections/4-personally-identifying-information/</w:t>
        </w:r>
      </w:hyperlink>
      <w:r>
        <w:rPr>
          <w:rFonts w:ascii="Calibri Light" w:hAnsi="Calibri Light" w:cs="Calibri Light"/>
        </w:rPr>
        <w:t xml:space="preserve">. Accessed </w:t>
      </w:r>
      <w:r w:rsidR="0039625C">
        <w:rPr>
          <w:rFonts w:ascii="Calibri Light" w:hAnsi="Calibri Light" w:cs="Calibri Light"/>
        </w:rPr>
        <w:t>August 17, 2020.</w:t>
      </w:r>
      <w:r>
        <w:rPr>
          <w:rFonts w:ascii="Calibri Light" w:hAnsi="Calibri Light" w:cs="Calibri Light"/>
        </w:rPr>
        <w:t xml:space="preserve"> </w:t>
      </w:r>
      <w:r>
        <w:rPr>
          <w:rFonts w:ascii="Calibri Light" w:hAnsi="Calibri Light" w:cs="Calibri Light"/>
          <w:i/>
          <w:iCs/>
        </w:rPr>
        <w:t>See also</w:t>
      </w:r>
      <w:r>
        <w:rPr>
          <w:rFonts w:ascii="Calibri Light" w:hAnsi="Calibri Light" w:cs="Calibri Light"/>
        </w:rPr>
        <w:t xml:space="preserve"> O'Connor, J., &amp; Matthews, G. (2011). Informational privacy, public health, and state laws. American journal of public health, 101(10), 1845–1850. </w:t>
      </w:r>
      <w:hyperlink r:id="rId5" w:history="1">
        <w:r>
          <w:rPr>
            <w:rStyle w:val="Hyperlink"/>
            <w:rFonts w:ascii="Calibri Light" w:hAnsi="Calibri Light" w:cs="Calibri Light"/>
          </w:rPr>
          <w:t>https://doi.org/10.2105/AJPH.2011.300206</w:t>
        </w:r>
      </w:hyperlink>
      <w:r>
        <w:rPr>
          <w:rFonts w:ascii="Calibri Light" w:hAnsi="Calibri Light" w:cs="Calibri Light"/>
        </w:rPr>
        <w:t xml:space="preserve">. Accessed </w:t>
      </w:r>
      <w:r w:rsidR="0039625C">
        <w:rPr>
          <w:rFonts w:ascii="Calibri Light" w:hAnsi="Calibri Light" w:cs="Calibri Light"/>
        </w:rPr>
        <w:t>August 17, 2020.</w:t>
      </w:r>
    </w:p>
  </w:footnote>
  <w:footnote w:id="6">
    <w:p w14:paraId="4A8A805B"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i/>
          <w:iCs/>
        </w:rPr>
        <w:t xml:space="preserve"> For example, see</w:t>
      </w:r>
      <w:r>
        <w:rPr>
          <w:rFonts w:ascii="Calibri Light" w:hAnsi="Calibri Light" w:cs="Calibri Light"/>
        </w:rPr>
        <w:t xml:space="preserve"> FCC v. AT&amp;T, 562 U.S.397 (2011). In interpreting the federal Freedom of Information Act, the U.S. Supreme Court held that corporations do not have "personal privacy" for the purposes of exempting personal information contained in law enforcement records.</w:t>
      </w:r>
    </w:p>
  </w:footnote>
  <w:footnote w:id="7">
    <w:p w14:paraId="3E6AFE8C" w14:textId="7B545C22"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Business records, financial data, trade secrets. 2019. Retrieved from  </w:t>
      </w:r>
      <w:hyperlink r:id="rId6" w:history="1">
        <w:r>
          <w:rPr>
            <w:rStyle w:val="Hyperlink"/>
            <w:rFonts w:ascii="Calibri Light" w:hAnsi="Calibri Light" w:cs="Calibri Light"/>
          </w:rPr>
          <w:t>https://www.rcfp.org/open-government-sections/b-other-statutory-exclusions/</w:t>
        </w:r>
      </w:hyperlink>
      <w:r>
        <w:rPr>
          <w:rFonts w:ascii="Calibri Light" w:hAnsi="Calibri Light" w:cs="Calibri Light"/>
        </w:rPr>
        <w:t xml:space="preserve">. Accessed </w:t>
      </w:r>
      <w:r w:rsidR="0039625C">
        <w:rPr>
          <w:rFonts w:ascii="Calibri Light" w:hAnsi="Calibri Light" w:cs="Calibri Light"/>
        </w:rPr>
        <w:t>August 17, 2020.</w:t>
      </w:r>
      <w:r>
        <w:rPr>
          <w:rFonts w:ascii="Calibri Light" w:hAnsi="Calibri Light" w:cs="Calibri Light"/>
        </w:rPr>
        <w:t xml:space="preserve"> </w:t>
      </w:r>
      <w:r>
        <w:rPr>
          <w:rFonts w:ascii="Calibri Light" w:hAnsi="Calibri Light" w:cs="Calibri Light"/>
          <w:i/>
          <w:iCs/>
        </w:rPr>
        <w:t>See also</w:t>
      </w:r>
      <w:r>
        <w:rPr>
          <w:rFonts w:ascii="Calibri Light" w:hAnsi="Calibri Light" w:cs="Calibri Light"/>
        </w:rPr>
        <w:t xml:space="preserve"> The Reporters Committee for Freedom of the Press. Hospital reports. Open Government Guide.  </w:t>
      </w:r>
      <w:hyperlink r:id="rId7" w:history="1">
        <w:r>
          <w:rPr>
            <w:rStyle w:val="Hyperlink"/>
            <w:rFonts w:ascii="Calibri Light" w:hAnsi="Calibri Light" w:cs="Calibri Light"/>
          </w:rPr>
          <w:t>https://www.rcfp.org/open-government-sections/m-hospital-reports/</w:t>
        </w:r>
      </w:hyperlink>
      <w:r>
        <w:rPr>
          <w:rFonts w:ascii="Calibri Light" w:hAnsi="Calibri Light" w:cs="Calibri Light"/>
        </w:rPr>
        <w:t xml:space="preserve">. Accessed </w:t>
      </w:r>
      <w:r w:rsidR="0039625C">
        <w:rPr>
          <w:rFonts w:ascii="Calibri Light" w:hAnsi="Calibri Light" w:cs="Calibri Light"/>
        </w:rPr>
        <w:t>August 17, 2020.</w:t>
      </w:r>
    </w:p>
  </w:footnote>
  <w:footnote w:id="8">
    <w:p w14:paraId="29B41262" w14:textId="5FF75E25"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Business records, financial data, trade secrets. 2019. Retrieved from  </w:t>
      </w:r>
      <w:hyperlink r:id="rId8" w:history="1">
        <w:r>
          <w:rPr>
            <w:rStyle w:val="Hyperlink"/>
            <w:rFonts w:ascii="Calibri Light" w:hAnsi="Calibri Light" w:cs="Calibri Light"/>
          </w:rPr>
          <w:t>https://www.rcfp.org/open-government-sections/b-other-statutory-exclusions/</w:t>
        </w:r>
      </w:hyperlink>
      <w:r>
        <w:rPr>
          <w:rFonts w:ascii="Calibri Light" w:hAnsi="Calibri Light" w:cs="Calibri Light"/>
        </w:rPr>
        <w:t xml:space="preserve">. Accessed </w:t>
      </w:r>
      <w:r w:rsidR="0039625C">
        <w:rPr>
          <w:rFonts w:ascii="Calibri Light" w:hAnsi="Calibri Light" w:cs="Calibri Light"/>
        </w:rPr>
        <w:t>August 17, 2020.</w:t>
      </w:r>
    </w:p>
  </w:footnote>
  <w:footnote w:id="9">
    <w:p w14:paraId="7C32050D" w14:textId="482C51C6"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O'Connor, J.  Informational Privacy Protections: Do State Laws Offer Public Health Leaders the Flexibility They Need? 2009. Retrieved from </w:t>
      </w:r>
      <w:hyperlink r:id="rId9" w:history="1">
        <w:r>
          <w:rPr>
            <w:rStyle w:val="Hyperlink"/>
            <w:rFonts w:ascii="Calibri Light" w:hAnsi="Calibri Light" w:cs="Calibri Light"/>
          </w:rPr>
          <w:t>https://cdr.lib.unc.edu/concern/parent/zk51vj062/file_sets/8049g647g</w:t>
        </w:r>
      </w:hyperlink>
      <w:r>
        <w:rPr>
          <w:rFonts w:ascii="Calibri Light" w:hAnsi="Calibri Light" w:cs="Calibri Light"/>
        </w:rPr>
        <w:t xml:space="preserve">. Accessed </w:t>
      </w:r>
      <w:r w:rsidR="0039625C">
        <w:rPr>
          <w:rFonts w:ascii="Calibri Light" w:hAnsi="Calibri Light" w:cs="Calibri Light"/>
        </w:rPr>
        <w:t>August 17, 2020.</w:t>
      </w:r>
    </w:p>
  </w:footnote>
  <w:footnote w:id="10">
    <w:p w14:paraId="25F8C08E" w14:textId="1DA52234"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Other statutory exclusions. 2019. Retrieved from </w:t>
      </w:r>
      <w:hyperlink r:id="rId10" w:history="1">
        <w:r>
          <w:rPr>
            <w:rStyle w:val="Hyperlink"/>
            <w:rFonts w:ascii="Calibri Light" w:hAnsi="Calibri Light" w:cs="Calibri Light"/>
          </w:rPr>
          <w:t>https://www.rcfp.org/open-government-sections/e-business-records-financial-data-trade-secrets/</w:t>
        </w:r>
      </w:hyperlink>
      <w:r>
        <w:rPr>
          <w:rFonts w:ascii="Calibri Light" w:hAnsi="Calibri Light" w:cs="Calibri Light"/>
        </w:rPr>
        <w:t xml:space="preserve">. Accessed </w:t>
      </w:r>
      <w:r w:rsidR="0039625C">
        <w:rPr>
          <w:rFonts w:ascii="Calibri Light" w:hAnsi="Calibri Light" w:cs="Calibri Light"/>
        </w:rPr>
        <w:t>August 17, 2020.</w:t>
      </w:r>
    </w:p>
  </w:footnote>
  <w:footnote w:id="11">
    <w:p w14:paraId="52FFD2BD" w14:textId="0C33121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Administrative enforcement records. 2019. Retrieved from </w:t>
      </w:r>
      <w:hyperlink r:id="rId11" w:history="1">
        <w:r>
          <w:rPr>
            <w:rStyle w:val="Hyperlink"/>
            <w:rFonts w:ascii="Calibri Light" w:hAnsi="Calibri Light" w:cs="Calibri Light"/>
          </w:rPr>
          <w:t>https://www.rcfp.org/open-government-sections/b-administrative-enforcement-records-e-g-worker-safety-and-health-inspections-or-accident-investigations/</w:t>
        </w:r>
      </w:hyperlink>
      <w:r>
        <w:rPr>
          <w:rFonts w:ascii="Calibri Light" w:hAnsi="Calibri Light" w:cs="Calibri Light"/>
        </w:rPr>
        <w:t xml:space="preserve">. Accessed </w:t>
      </w:r>
      <w:r w:rsidR="0039625C">
        <w:rPr>
          <w:rFonts w:ascii="Calibri Light" w:hAnsi="Calibri Light" w:cs="Calibri Light"/>
        </w:rPr>
        <w:t>August 17, 2020.</w:t>
      </w:r>
    </w:p>
  </w:footnote>
  <w:footnote w:id="12">
    <w:p w14:paraId="3B447D9E" w14:textId="31DF1AEE"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Administrative enforcement records. 2019. Retrieved from </w:t>
      </w:r>
      <w:hyperlink r:id="rId12" w:history="1">
        <w:r>
          <w:rPr>
            <w:rStyle w:val="Hyperlink"/>
            <w:rFonts w:ascii="Calibri Light" w:hAnsi="Calibri Light" w:cs="Calibri Light"/>
          </w:rPr>
          <w:t>https://www.rcfp.org/open-government-sections/b-administrative-enforcement-records-e-g-worker-safety-and-health-inspections-or-accident-investigations/</w:t>
        </w:r>
      </w:hyperlink>
      <w:r>
        <w:rPr>
          <w:rFonts w:ascii="Calibri Light" w:hAnsi="Calibri Light" w:cs="Calibri Light"/>
        </w:rPr>
        <w:t xml:space="preserve">. </w:t>
      </w:r>
      <w:r w:rsidR="0039625C">
        <w:rPr>
          <w:rFonts w:ascii="Calibri Light" w:hAnsi="Calibri Light" w:cs="Calibri Light"/>
        </w:rPr>
        <w:t>August 17, 2020.</w:t>
      </w:r>
    </w:p>
  </w:footnote>
  <w:footnote w:id="13">
    <w:p w14:paraId="4D93F1E3"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Professional licensing records. 2019. Retrieved from </w:t>
      </w:r>
      <w:hyperlink r:id="rId13" w:history="1">
        <w:r>
          <w:rPr>
            <w:rStyle w:val="Hyperlink"/>
            <w:rFonts w:ascii="Calibri Light" w:hAnsi="Calibri Light" w:cs="Calibri Light"/>
          </w:rPr>
          <w:t>https://www.rcfp.org/open-government-sections/q-professional-licensing-records/</w:t>
        </w:r>
      </w:hyperlink>
      <w:r>
        <w:rPr>
          <w:rFonts w:ascii="Calibri Light" w:hAnsi="Calibri Light" w:cs="Calibri Light"/>
        </w:rPr>
        <w:t>.</w:t>
      </w:r>
    </w:p>
  </w:footnote>
  <w:footnote w:id="14">
    <w:p w14:paraId="3FB362FD" w14:textId="731E001C" w:rsidR="004668BF" w:rsidRDefault="004668BF" w:rsidP="004668BF">
      <w:pPr>
        <w:pStyle w:val="FootnoteText"/>
        <w:rPr>
          <w:rFonts w:ascii="Calibri" w:hAnsi="Calibri" w:cs="Times New Roman"/>
        </w:rPr>
      </w:pPr>
      <w:r>
        <w:rPr>
          <w:rStyle w:val="FootnoteReference"/>
          <w:rFonts w:ascii="Calibri Light" w:hAnsi="Calibri Light" w:cs="Calibri Light"/>
        </w:rPr>
        <w:footnoteRef/>
      </w:r>
      <w:r>
        <w:rPr>
          <w:rFonts w:ascii="Calibri Light" w:hAnsi="Calibri Light" w:cs="Calibri Light"/>
        </w:rPr>
        <w:t xml:space="preserve"> The Reporters Committee for Freedom of the Press. Open Government Guide. Homeland security and anti-terrorism measures. 2019. Retrieved from </w:t>
      </w:r>
      <w:hyperlink r:id="rId14" w:history="1">
        <w:r>
          <w:rPr>
            <w:rStyle w:val="Hyperlink"/>
            <w:rFonts w:ascii="Calibri Light" w:hAnsi="Calibri Light" w:cs="Calibri Light"/>
          </w:rPr>
          <w:t>https://www.rcfp.org/open-government-sections/l-homeland-security-and-anti-terrorism-measures/</w:t>
        </w:r>
      </w:hyperlink>
      <w:r>
        <w:rPr>
          <w:rFonts w:ascii="Calibri Light" w:hAnsi="Calibri Light" w:cs="Calibri Light"/>
        </w:rPr>
        <w:t xml:space="preserve">Accessed </w:t>
      </w:r>
      <w:r w:rsidR="0039625C">
        <w:rPr>
          <w:rFonts w:ascii="Calibri Light" w:hAnsi="Calibri Light" w:cs="Calibri Light"/>
        </w:rPr>
        <w:t>August 17, 2020.</w:t>
      </w:r>
    </w:p>
  </w:footnote>
  <w:footnote w:id="15">
    <w:p w14:paraId="14967941" w14:textId="2DE47D9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Association of Health Care Journalists, Association of State and Territorial Health Officials, and National Association of County and City Health Officials have developed guidance to assist public health officials and journalists in addressing the release of information concerning deaths, epidemics, and emerging diseases. Guidance on the Release of Information Concerning Deaths, Epidemics or Emerging Diseases. October 2010.  Retrieved from </w:t>
      </w:r>
      <w:hyperlink r:id="rId15" w:history="1">
        <w:r>
          <w:rPr>
            <w:rStyle w:val="Hyperlink"/>
            <w:rFonts w:ascii="Calibri Light" w:hAnsi="Calibri Light" w:cs="Calibri Light"/>
          </w:rPr>
          <w:t>http://healthjournalism.org/secondarypage-details.php?id=965</w:t>
        </w:r>
      </w:hyperlink>
      <w:r>
        <w:rPr>
          <w:rFonts w:ascii="Calibri Light" w:hAnsi="Calibri Light" w:cs="Calibri Light"/>
        </w:rPr>
        <w:t xml:space="preserve">. Accessed </w:t>
      </w:r>
      <w:r w:rsidR="006D7E97">
        <w:rPr>
          <w:rFonts w:ascii="Calibri Light" w:hAnsi="Calibri Light" w:cs="Calibri Light"/>
        </w:rPr>
        <w:t>August 17, 2020.</w:t>
      </w:r>
    </w:p>
  </w:footnote>
  <w:footnote w:id="16">
    <w:p w14:paraId="4D2B3002" w14:textId="7A6220A0" w:rsidR="004F0E9F" w:rsidRPr="0034518C" w:rsidRDefault="004F0E9F">
      <w:pPr>
        <w:pStyle w:val="FootnoteText"/>
        <w:rPr>
          <w:rFonts w:asciiTheme="majorHAnsi" w:hAnsiTheme="majorHAnsi" w:cstheme="majorHAnsi"/>
        </w:rPr>
      </w:pPr>
      <w:r w:rsidRPr="0034518C">
        <w:rPr>
          <w:rStyle w:val="FootnoteReference"/>
          <w:rFonts w:asciiTheme="majorHAnsi" w:hAnsiTheme="majorHAnsi" w:cstheme="majorHAnsi"/>
        </w:rPr>
        <w:footnoteRef/>
      </w:r>
      <w:r w:rsidRPr="0034518C">
        <w:rPr>
          <w:rFonts w:asciiTheme="majorHAnsi" w:hAnsiTheme="majorHAnsi" w:cstheme="majorHAnsi"/>
        </w:rPr>
        <w:t xml:space="preserve"> </w:t>
      </w:r>
      <w:r w:rsidR="00E4068E" w:rsidRPr="0034518C">
        <w:rPr>
          <w:rFonts w:asciiTheme="majorHAnsi" w:hAnsiTheme="majorHAnsi" w:cstheme="majorHAnsi"/>
        </w:rPr>
        <w:t>There a</w:t>
      </w:r>
      <w:r w:rsidR="00641713" w:rsidRPr="0034518C">
        <w:rPr>
          <w:rFonts w:asciiTheme="majorHAnsi" w:hAnsiTheme="majorHAnsi" w:cstheme="majorHAnsi"/>
        </w:rPr>
        <w:t>re</w:t>
      </w:r>
      <w:r w:rsidR="00E4068E" w:rsidRPr="0034518C">
        <w:rPr>
          <w:rFonts w:asciiTheme="majorHAnsi" w:hAnsiTheme="majorHAnsi" w:cstheme="majorHAnsi"/>
        </w:rPr>
        <w:t xml:space="preserve"> multiple federal laws </w:t>
      </w:r>
      <w:r w:rsidR="00641713" w:rsidRPr="0034518C">
        <w:rPr>
          <w:rFonts w:asciiTheme="majorHAnsi" w:hAnsiTheme="majorHAnsi" w:cstheme="majorHAnsi"/>
        </w:rPr>
        <w:t>across a range of topics</w:t>
      </w:r>
      <w:r w:rsidRPr="0034518C">
        <w:rPr>
          <w:rFonts w:asciiTheme="majorHAnsi" w:hAnsiTheme="majorHAnsi" w:cstheme="majorHAnsi"/>
        </w:rPr>
        <w:t xml:space="preserve"> </w:t>
      </w:r>
      <w:r w:rsidR="004005CC" w:rsidRPr="0034518C">
        <w:rPr>
          <w:rFonts w:asciiTheme="majorHAnsi" w:hAnsiTheme="majorHAnsi" w:cstheme="majorHAnsi"/>
        </w:rPr>
        <w:t>related to privacy</w:t>
      </w:r>
      <w:r w:rsidR="00FD1BEB" w:rsidRPr="0034518C">
        <w:rPr>
          <w:rFonts w:asciiTheme="majorHAnsi" w:hAnsiTheme="majorHAnsi" w:cstheme="majorHAnsi"/>
        </w:rPr>
        <w:t xml:space="preserve"> in addition to the two addressed here</w:t>
      </w:r>
      <w:r w:rsidR="004005CC" w:rsidRPr="0034518C">
        <w:rPr>
          <w:rFonts w:asciiTheme="majorHAnsi" w:hAnsiTheme="majorHAnsi" w:cstheme="majorHAnsi"/>
        </w:rPr>
        <w:t>.</w:t>
      </w:r>
      <w:r w:rsidR="00FD1BEB" w:rsidRPr="0034518C">
        <w:rPr>
          <w:rFonts w:asciiTheme="majorHAnsi" w:hAnsiTheme="majorHAnsi" w:cstheme="majorHAnsi"/>
        </w:rPr>
        <w:t xml:space="preserve">  </w:t>
      </w:r>
      <w:r w:rsidR="00FD1BEB" w:rsidRPr="0034518C">
        <w:rPr>
          <w:rFonts w:asciiTheme="majorHAnsi" w:hAnsiTheme="majorHAnsi" w:cstheme="majorHAnsi"/>
          <w:i/>
          <w:iCs/>
        </w:rPr>
        <w:t>S</w:t>
      </w:r>
      <w:r w:rsidR="004005CC" w:rsidRPr="0034518C">
        <w:rPr>
          <w:rFonts w:asciiTheme="majorHAnsi" w:hAnsiTheme="majorHAnsi" w:cstheme="majorHAnsi"/>
          <w:i/>
          <w:iCs/>
        </w:rPr>
        <w:t>ee generally</w:t>
      </w:r>
      <w:r w:rsidR="00FD1BEB" w:rsidRPr="0034518C">
        <w:rPr>
          <w:rFonts w:asciiTheme="majorHAnsi" w:hAnsiTheme="majorHAnsi" w:cstheme="majorHAnsi"/>
        </w:rPr>
        <w:t xml:space="preserve"> </w:t>
      </w:r>
      <w:r w:rsidR="008B46A2" w:rsidRPr="0034518C">
        <w:rPr>
          <w:rFonts w:asciiTheme="majorHAnsi" w:hAnsiTheme="majorHAnsi" w:cstheme="majorHAnsi"/>
        </w:rPr>
        <w:t xml:space="preserve">Center of Democracy and Technology. </w:t>
      </w:r>
      <w:r w:rsidR="000E611E" w:rsidRPr="0034518C">
        <w:rPr>
          <w:rFonts w:asciiTheme="majorHAnsi" w:hAnsiTheme="majorHAnsi" w:cstheme="majorHAnsi"/>
        </w:rPr>
        <w:t xml:space="preserve">Existing Federal Privacy Laws. </w:t>
      </w:r>
      <w:r w:rsidR="00707AB8" w:rsidRPr="0034518C">
        <w:rPr>
          <w:rFonts w:asciiTheme="majorHAnsi" w:hAnsiTheme="majorHAnsi" w:cstheme="majorHAnsi"/>
        </w:rPr>
        <w:t xml:space="preserve">November 30, 2008. </w:t>
      </w:r>
      <w:r w:rsidR="000E611E" w:rsidRPr="0034518C">
        <w:rPr>
          <w:rFonts w:asciiTheme="majorHAnsi" w:hAnsiTheme="majorHAnsi" w:cstheme="majorHAnsi"/>
        </w:rPr>
        <w:t xml:space="preserve">Webpage. Retrieved from </w:t>
      </w:r>
      <w:hyperlink r:id="rId16" w:history="1">
        <w:r w:rsidR="005C49E5" w:rsidRPr="0034518C">
          <w:rPr>
            <w:rStyle w:val="Hyperlink"/>
            <w:rFonts w:asciiTheme="majorHAnsi" w:hAnsiTheme="majorHAnsi" w:cstheme="majorHAnsi"/>
          </w:rPr>
          <w:t>https://cdt.org/insights/existing-federal-privacy-laws/</w:t>
        </w:r>
      </w:hyperlink>
      <w:r w:rsidR="005C49E5" w:rsidRPr="0034518C">
        <w:rPr>
          <w:rFonts w:asciiTheme="majorHAnsi" w:hAnsiTheme="majorHAnsi" w:cstheme="majorHAnsi"/>
        </w:rPr>
        <w:t>. Access August 18, 2020.</w:t>
      </w:r>
    </w:p>
  </w:footnote>
  <w:footnote w:id="17">
    <w:p w14:paraId="0F09810A" w14:textId="7A204797" w:rsidR="003C51A7" w:rsidRDefault="003C51A7" w:rsidP="003C51A7">
      <w:pPr>
        <w:pStyle w:val="FootnoteText"/>
      </w:pPr>
      <w:r w:rsidRPr="0034518C">
        <w:rPr>
          <w:rStyle w:val="FootnoteReference"/>
          <w:rFonts w:asciiTheme="majorHAnsi" w:hAnsiTheme="majorHAnsi" w:cstheme="majorHAnsi"/>
        </w:rPr>
        <w:footnoteRef/>
      </w:r>
      <w:r w:rsidRPr="0034518C">
        <w:rPr>
          <w:rFonts w:asciiTheme="majorHAnsi" w:hAnsiTheme="majorHAnsi" w:cstheme="majorHAnsi"/>
        </w:rPr>
        <w:t xml:space="preserve"> </w:t>
      </w:r>
      <w:r w:rsidR="0034518C" w:rsidRPr="0034518C">
        <w:rPr>
          <w:rFonts w:asciiTheme="majorHAnsi" w:hAnsiTheme="majorHAnsi" w:cstheme="majorHAnsi"/>
        </w:rPr>
        <w:t>Pub. L. 104-191, 42 U.S.C. § 300gg et seq.</w:t>
      </w:r>
    </w:p>
  </w:footnote>
  <w:footnote w:id="18">
    <w:p w14:paraId="6BB67D9D"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eastAsia="Times New Roman" w:hAnsi="Calibri Light" w:cs="Calibri Light"/>
        </w:rPr>
        <w:t>45 C.F.R. Parts 160 and 164.</w:t>
      </w:r>
    </w:p>
  </w:footnote>
  <w:footnote w:id="19">
    <w:p w14:paraId="52FDE96B" w14:textId="342CB3F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Summary of HIPAA Privacy Rule. Webpage content last reviewed by HHS on July 26, 2013. Retrieved from </w:t>
      </w:r>
      <w:hyperlink r:id="rId17" w:history="1">
        <w:r>
          <w:rPr>
            <w:rStyle w:val="Hyperlink"/>
            <w:rFonts w:ascii="Calibri Light" w:hAnsi="Calibri Light" w:cs="Calibri Light"/>
          </w:rPr>
          <w:t>https://www.hhs.gov/hipaa/for-professionals/privacy/laws-regulations/index.html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20">
    <w:p w14:paraId="71F09199"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Standards for Privacy of Individually Identifiable Health Information. 45 C.F.R. Parts 160, 164.</w:t>
      </w:r>
    </w:p>
  </w:footnote>
  <w:footnote w:id="21">
    <w:p w14:paraId="350E91B8" w14:textId="060E32D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A “covered entity” is defined as a health plan, healthcare clearinghouse, and any healthcare provider that transmits health information in electronic form in connection with transactions for which the Secretary of HHS has adopted standards under HIPAA.</w:t>
      </w:r>
      <w:r w:rsidR="000E4534">
        <w:rPr>
          <w:rFonts w:ascii="Calibri Light" w:hAnsi="Calibri Light" w:cs="Calibri Light"/>
        </w:rPr>
        <w:t xml:space="preserve"> </w:t>
      </w:r>
      <w:r w:rsidR="007520FA" w:rsidRPr="007520FA">
        <w:rPr>
          <w:rFonts w:ascii="Calibri Light" w:hAnsi="Calibri Light" w:cs="Calibri Light"/>
        </w:rPr>
        <w:t xml:space="preserve">45 CFR </w:t>
      </w:r>
      <w:r w:rsidR="007520FA">
        <w:rPr>
          <w:rFonts w:ascii="Calibri Light" w:hAnsi="Calibri Light" w:cs="Calibri Light"/>
        </w:rPr>
        <w:t>§</w:t>
      </w:r>
      <w:r w:rsidR="007520FA" w:rsidRPr="007520FA">
        <w:rPr>
          <w:rFonts w:ascii="Calibri Light" w:hAnsi="Calibri Light" w:cs="Calibri Light"/>
        </w:rPr>
        <w:t>160.103.</w:t>
      </w:r>
    </w:p>
  </w:footnote>
  <w:footnote w:id="22">
    <w:p w14:paraId="0AF9127E" w14:textId="66A80035"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A “hybrid entity” is a single legal entity that conducts both covered and noncovered activities under the Privacy Rule. </w:t>
      </w:r>
      <w:r w:rsidR="000C5416" w:rsidRPr="000C5416">
        <w:rPr>
          <w:rFonts w:ascii="Calibri Light" w:hAnsi="Calibri Light" w:cs="Calibri Light"/>
        </w:rPr>
        <w:t>45 CFR §164.103</w:t>
      </w:r>
      <w:r w:rsidR="000C5416">
        <w:rPr>
          <w:rFonts w:ascii="Calibri Light" w:hAnsi="Calibri Light" w:cs="Calibri Light"/>
        </w:rPr>
        <w:t xml:space="preserve">. </w:t>
      </w:r>
      <w:r>
        <w:rPr>
          <w:rFonts w:ascii="Calibri Light" w:eastAsia="Times New Roman" w:hAnsi="Calibri Light" w:cs="Calibri Light"/>
          <w:color w:val="000000" w:themeColor="text1"/>
        </w:rPr>
        <w:t>A hybrid entity must designate in writing its activities that are covered under the Privacy Rule, otherwise all of the hybrid’s activities would be deemed covered under the rule.</w:t>
      </w:r>
    </w:p>
  </w:footnote>
  <w:footnote w:id="23">
    <w:p w14:paraId="10472CAA" w14:textId="503B656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A “business associate” is a person or organization not employed by a covered entity that performs certain activities for a covered entity involving the use or disclosure of individually identifiable health information.</w:t>
      </w:r>
      <w:r w:rsidR="009616DF">
        <w:rPr>
          <w:rFonts w:ascii="Calibri Light" w:hAnsi="Calibri Light" w:cs="Calibri Light"/>
        </w:rPr>
        <w:t xml:space="preserve"> </w:t>
      </w:r>
      <w:r w:rsidR="009616DF" w:rsidRPr="007520FA">
        <w:rPr>
          <w:rFonts w:ascii="Calibri Light" w:hAnsi="Calibri Light" w:cs="Calibri Light"/>
        </w:rPr>
        <w:t xml:space="preserve">45 CFR </w:t>
      </w:r>
      <w:r w:rsidR="009616DF">
        <w:rPr>
          <w:rFonts w:ascii="Calibri Light" w:hAnsi="Calibri Light" w:cs="Calibri Light"/>
        </w:rPr>
        <w:t>§</w:t>
      </w:r>
      <w:r w:rsidR="009616DF" w:rsidRPr="007520FA">
        <w:rPr>
          <w:rFonts w:ascii="Calibri Light" w:hAnsi="Calibri Light" w:cs="Calibri Light"/>
        </w:rPr>
        <w:t>160.103.</w:t>
      </w:r>
    </w:p>
  </w:footnote>
  <w:footnote w:id="24">
    <w:p w14:paraId="5ABB5004" w14:textId="511353CC" w:rsidR="00D770C9" w:rsidRDefault="00D770C9">
      <w:pPr>
        <w:pStyle w:val="FootnoteText"/>
      </w:pPr>
      <w:r>
        <w:rPr>
          <w:rStyle w:val="FootnoteReference"/>
        </w:rPr>
        <w:footnoteRef/>
      </w:r>
      <w:r>
        <w:t xml:space="preserve"> </w:t>
      </w:r>
      <w:r w:rsidR="001F3178" w:rsidRPr="007520FA">
        <w:rPr>
          <w:rFonts w:ascii="Calibri Light" w:hAnsi="Calibri Light" w:cs="Calibri Light"/>
        </w:rPr>
        <w:t xml:space="preserve">45 CFR </w:t>
      </w:r>
      <w:r w:rsidR="001F3178">
        <w:rPr>
          <w:rFonts w:ascii="Calibri Light" w:hAnsi="Calibri Light" w:cs="Calibri Light"/>
        </w:rPr>
        <w:t>§</w:t>
      </w:r>
      <w:r w:rsidR="001F3178" w:rsidRPr="007520FA">
        <w:rPr>
          <w:rFonts w:ascii="Calibri Light" w:hAnsi="Calibri Light" w:cs="Calibri Light"/>
        </w:rPr>
        <w:t>160.103.</w:t>
      </w:r>
    </w:p>
  </w:footnote>
  <w:footnote w:id="25">
    <w:p w14:paraId="613BA622" w14:textId="364226CE" w:rsidR="00846389" w:rsidRPr="00984301" w:rsidRDefault="00846389">
      <w:pPr>
        <w:pStyle w:val="FootnoteText"/>
        <w:rPr>
          <w:rFonts w:asciiTheme="majorHAnsi" w:hAnsiTheme="majorHAnsi" w:cstheme="majorHAnsi"/>
        </w:rPr>
      </w:pPr>
      <w:r w:rsidRPr="00984301">
        <w:rPr>
          <w:rStyle w:val="FootnoteReference"/>
          <w:rFonts w:asciiTheme="majorHAnsi" w:hAnsiTheme="majorHAnsi" w:cstheme="majorHAnsi"/>
        </w:rPr>
        <w:footnoteRef/>
      </w:r>
      <w:r w:rsidRPr="00984301">
        <w:rPr>
          <w:rFonts w:asciiTheme="majorHAnsi" w:hAnsiTheme="majorHAnsi" w:cstheme="majorHAnsi"/>
        </w:rPr>
        <w:t xml:space="preserve"> </w:t>
      </w:r>
      <w:r w:rsidR="00984301">
        <w:rPr>
          <w:rFonts w:asciiTheme="majorHAnsi" w:hAnsiTheme="majorHAnsi" w:cstheme="majorHAnsi"/>
        </w:rPr>
        <w:t>A s</w:t>
      </w:r>
      <w:r w:rsidR="00984301" w:rsidRPr="00984301">
        <w:rPr>
          <w:rFonts w:asciiTheme="majorHAnsi" w:hAnsiTheme="majorHAnsi" w:cstheme="majorHAnsi"/>
        </w:rPr>
        <w:t xml:space="preserve">tate </w:t>
      </w:r>
      <w:r w:rsidR="00984301">
        <w:rPr>
          <w:rFonts w:asciiTheme="majorHAnsi" w:hAnsiTheme="majorHAnsi" w:cstheme="majorHAnsi"/>
        </w:rPr>
        <w:t xml:space="preserve">or </w:t>
      </w:r>
      <w:r w:rsidR="00984301" w:rsidRPr="00984301">
        <w:rPr>
          <w:rFonts w:asciiTheme="majorHAnsi" w:hAnsiTheme="majorHAnsi" w:cstheme="majorHAnsi"/>
        </w:rPr>
        <w:t xml:space="preserve">local health </w:t>
      </w:r>
      <w:r w:rsidR="00984301">
        <w:rPr>
          <w:rFonts w:asciiTheme="majorHAnsi" w:hAnsiTheme="majorHAnsi" w:cstheme="majorHAnsi"/>
        </w:rPr>
        <w:t xml:space="preserve">department could be a </w:t>
      </w:r>
      <w:r w:rsidR="00984301" w:rsidRPr="00984301">
        <w:rPr>
          <w:rFonts w:asciiTheme="majorHAnsi" w:hAnsiTheme="majorHAnsi" w:cstheme="majorHAnsi"/>
        </w:rPr>
        <w:t>hybrid entit</w:t>
      </w:r>
      <w:r w:rsidR="00984301">
        <w:rPr>
          <w:rFonts w:asciiTheme="majorHAnsi" w:hAnsiTheme="majorHAnsi" w:cstheme="majorHAnsi"/>
        </w:rPr>
        <w:t xml:space="preserve">y </w:t>
      </w:r>
      <w:r w:rsidR="006E0FE9">
        <w:rPr>
          <w:rFonts w:asciiTheme="majorHAnsi" w:hAnsiTheme="majorHAnsi" w:cstheme="majorHAnsi"/>
        </w:rPr>
        <w:t>under the Privacy Rule i</w:t>
      </w:r>
      <w:r w:rsidR="00F22DDE">
        <w:rPr>
          <w:rFonts w:asciiTheme="majorHAnsi" w:hAnsiTheme="majorHAnsi" w:cstheme="majorHAnsi"/>
        </w:rPr>
        <w:t xml:space="preserve">f, in addition to conducting </w:t>
      </w:r>
      <w:r w:rsidR="0001066B">
        <w:rPr>
          <w:rFonts w:asciiTheme="majorHAnsi" w:hAnsiTheme="majorHAnsi" w:cstheme="majorHAnsi"/>
        </w:rPr>
        <w:t xml:space="preserve">their public health functions, also </w:t>
      </w:r>
      <w:r w:rsidR="00984301" w:rsidRPr="00984301">
        <w:rPr>
          <w:rFonts w:asciiTheme="majorHAnsi" w:hAnsiTheme="majorHAnsi" w:cstheme="majorHAnsi"/>
        </w:rPr>
        <w:t xml:space="preserve">provide healthcare services to patients </w:t>
      </w:r>
      <w:r w:rsidR="0001066B">
        <w:rPr>
          <w:rFonts w:asciiTheme="majorHAnsi" w:hAnsiTheme="majorHAnsi" w:cstheme="majorHAnsi"/>
        </w:rPr>
        <w:t xml:space="preserve">and </w:t>
      </w:r>
      <w:r w:rsidR="00984301" w:rsidRPr="00984301">
        <w:rPr>
          <w:rFonts w:asciiTheme="majorHAnsi" w:hAnsiTheme="majorHAnsi" w:cstheme="majorHAnsi"/>
        </w:rPr>
        <w:t>for which the agenc</w:t>
      </w:r>
      <w:r w:rsidR="00BE2618">
        <w:rPr>
          <w:rFonts w:asciiTheme="majorHAnsi" w:hAnsiTheme="majorHAnsi" w:cstheme="majorHAnsi"/>
        </w:rPr>
        <w:t>y</w:t>
      </w:r>
      <w:r w:rsidR="00984301" w:rsidRPr="00984301">
        <w:rPr>
          <w:rFonts w:asciiTheme="majorHAnsi" w:hAnsiTheme="majorHAnsi" w:cstheme="majorHAnsi"/>
        </w:rPr>
        <w:t xml:space="preserve"> transmit</w:t>
      </w:r>
      <w:r w:rsidR="00BE2618">
        <w:rPr>
          <w:rFonts w:asciiTheme="majorHAnsi" w:hAnsiTheme="majorHAnsi" w:cstheme="majorHAnsi"/>
        </w:rPr>
        <w:t>s</w:t>
      </w:r>
      <w:r w:rsidR="00984301" w:rsidRPr="00984301">
        <w:rPr>
          <w:rFonts w:asciiTheme="majorHAnsi" w:hAnsiTheme="majorHAnsi" w:cstheme="majorHAnsi"/>
        </w:rPr>
        <w:t xml:space="preserve"> health information electronically</w:t>
      </w:r>
      <w:r w:rsidR="0001066B">
        <w:rPr>
          <w:rFonts w:asciiTheme="majorHAnsi" w:hAnsiTheme="majorHAnsi" w:cstheme="majorHAnsi"/>
        </w:rPr>
        <w:t xml:space="preserve"> subject to the rule. </w:t>
      </w:r>
    </w:p>
  </w:footnote>
  <w:footnote w:id="26">
    <w:p w14:paraId="158934C7" w14:textId="069E7E06"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Employers and Health Information in the Workplace. Webpage last reviewed by HHS June 16, 2017. Retrieved from </w:t>
      </w:r>
      <w:hyperlink r:id="rId18" w:history="1">
        <w:r>
          <w:rPr>
            <w:rStyle w:val="Hyperlink"/>
            <w:rFonts w:ascii="Calibri Light" w:hAnsi="Calibri Light" w:cs="Calibri Light"/>
          </w:rPr>
          <w:t>https://www.hhs.gov/hipaa/for-individuals/employers-health-information-workplace/index.html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27">
    <w:p w14:paraId="4BBA608D"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20 U.S.C. § 1232g.</w:t>
      </w:r>
    </w:p>
  </w:footnote>
  <w:footnote w:id="28">
    <w:p w14:paraId="4816EC25" w14:textId="2D7F87F8"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FAQ: Does the HIPAA Privacy Rule apply to an elementary or secondary school? Webpage last reviewed by HHS July 26, 2013. Retrieved from </w:t>
      </w:r>
      <w:hyperlink r:id="rId19" w:history="1">
        <w:r>
          <w:rPr>
            <w:rStyle w:val="Hyperlink"/>
            <w:rFonts w:ascii="Calibri Light" w:hAnsi="Calibri Light" w:cs="Calibri Light"/>
          </w:rPr>
          <w:t>https://www.hhs.gov/hipaa/for-professionals/faq/513/does-hipaa-apply-to-an-elementary-school/index.html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29">
    <w:p w14:paraId="326E2900" w14:textId="7F5DB23A"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FAQ: Does the HIPAA Privacy Rule apply to an elementary or secondary school? Webpage last reviewed by HHS July 26, 2013. Retrieved from </w:t>
      </w:r>
      <w:hyperlink r:id="rId20" w:history="1">
        <w:r>
          <w:rPr>
            <w:rStyle w:val="Hyperlink"/>
            <w:rFonts w:ascii="Calibri Light" w:hAnsi="Calibri Light" w:cs="Calibri Light"/>
          </w:rPr>
          <w:t>https://www.hhs.gov/hipaa/for-professionals/faq/513/does-hipaa-apply-to-an-elementary-school/index.html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30">
    <w:p w14:paraId="4727AB82" w14:textId="2752E612"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FAQ: Does the HIPAA Privacy Rule apply to an elementary or secondary school? Webpage last reviewed by HHS July 26, 2013. Retrieved from </w:t>
      </w:r>
      <w:hyperlink r:id="rId21" w:history="1">
        <w:r>
          <w:rPr>
            <w:rStyle w:val="Hyperlink"/>
            <w:rFonts w:ascii="Calibri Light" w:hAnsi="Calibri Light" w:cs="Calibri Light"/>
          </w:rPr>
          <w:t>https://www.hhs.gov/hipaa/for-professionals/faq/513/does-hipaa-apply-to-an-elementary-school/index.html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31">
    <w:p w14:paraId="57EB7124" w14:textId="4B03F0F1"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Standards for Privacy of Individually Identifiable Health Information. 45 C.F.R. Parts 160, 164.</w:t>
      </w:r>
      <w:r w:rsidR="00800111">
        <w:rPr>
          <w:rFonts w:ascii="Calibri Light" w:hAnsi="Calibri Light" w:cs="Calibri Light"/>
        </w:rPr>
        <w:t xml:space="preserve"> </w:t>
      </w:r>
      <w:r w:rsidR="00497346" w:rsidRPr="009719F6">
        <w:rPr>
          <w:rFonts w:asciiTheme="majorHAnsi" w:hAnsiTheme="majorHAnsi" w:cstheme="majorHAnsi"/>
          <w:i/>
          <w:iCs/>
        </w:rPr>
        <w:t xml:space="preserve">See also </w:t>
      </w:r>
      <w:r w:rsidR="00497346" w:rsidRPr="009719F6">
        <w:rPr>
          <w:rFonts w:asciiTheme="majorHAnsi" w:hAnsiTheme="majorHAnsi" w:cstheme="majorHAnsi"/>
        </w:rPr>
        <w:t xml:space="preserve">HHS. Summary of HIPAA Privacy Rule. Webpage content last reviewed by HHS on July 26, 2013. Retrieved from </w:t>
      </w:r>
      <w:hyperlink r:id="rId22" w:history="1">
        <w:r w:rsidR="00497346" w:rsidRPr="009719F6">
          <w:rPr>
            <w:rStyle w:val="Hyperlink"/>
            <w:rFonts w:asciiTheme="majorHAnsi" w:hAnsiTheme="majorHAnsi" w:cstheme="majorHAnsi"/>
          </w:rPr>
          <w:t>https://www.hhs.gov/hipaa/for-professionals/privacy/laws-regulations/index.html</w:t>
        </w:r>
      </w:hyperlink>
      <w:r w:rsidR="00497346" w:rsidRPr="009719F6">
        <w:rPr>
          <w:rFonts w:asciiTheme="majorHAnsi" w:hAnsiTheme="majorHAnsi" w:cstheme="majorHAnsi"/>
        </w:rPr>
        <w:t xml:space="preserve">. Accessed </w:t>
      </w:r>
      <w:r w:rsidR="00505E2F">
        <w:rPr>
          <w:rFonts w:asciiTheme="majorHAnsi" w:hAnsiTheme="majorHAnsi" w:cstheme="majorHAnsi"/>
        </w:rPr>
        <w:t>August 1</w:t>
      </w:r>
      <w:r w:rsidR="00D01837">
        <w:rPr>
          <w:rFonts w:asciiTheme="majorHAnsi" w:hAnsiTheme="majorHAnsi" w:cstheme="majorHAnsi"/>
        </w:rPr>
        <w:t>7</w:t>
      </w:r>
      <w:r w:rsidR="00505E2F">
        <w:rPr>
          <w:rFonts w:asciiTheme="majorHAnsi" w:hAnsiTheme="majorHAnsi" w:cstheme="majorHAnsi"/>
        </w:rPr>
        <w:t>, 2020.</w:t>
      </w:r>
    </w:p>
  </w:footnote>
  <w:footnote w:id="32">
    <w:p w14:paraId="7E6066E3" w14:textId="265D59BB"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Other permitted uses and disclosures without consent </w:t>
      </w:r>
      <w:r w:rsidR="00505E2F">
        <w:rPr>
          <w:rFonts w:ascii="Calibri Light" w:hAnsi="Calibri Light" w:cs="Calibri Light"/>
        </w:rPr>
        <w:t>include</w:t>
      </w:r>
      <w:r w:rsidR="00D01850">
        <w:rPr>
          <w:rFonts w:ascii="Calibri Light" w:hAnsi="Calibri Light" w:cs="Calibri Light"/>
        </w:rPr>
        <w:t>,</w:t>
      </w:r>
      <w:r>
        <w:rPr>
          <w:rFonts w:ascii="Calibri Light" w:hAnsi="Calibri Light" w:cs="Calibri Light"/>
        </w:rPr>
        <w:t xml:space="preserve"> uses and disclosures with opportunity to agree or object (45 CFR §164.510); </w:t>
      </w:r>
      <w:r w:rsidR="00D01850">
        <w:rPr>
          <w:rFonts w:ascii="Calibri Light" w:hAnsi="Calibri Light" w:cs="Calibri Light"/>
        </w:rPr>
        <w:t>and</w:t>
      </w:r>
      <w:r>
        <w:rPr>
          <w:rFonts w:ascii="Calibri Light" w:hAnsi="Calibri Light" w:cs="Calibri Light"/>
        </w:rPr>
        <w:t xml:space="preserve"> incidental use and disclosure (45 §CFR 164.502(a)(1)(iii)).</w:t>
      </w:r>
    </w:p>
  </w:footnote>
  <w:footnote w:id="33">
    <w:p w14:paraId="5358197C"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§164.502(a)(1)(i).</w:t>
      </w:r>
    </w:p>
  </w:footnote>
  <w:footnote w:id="34">
    <w:p w14:paraId="75D6902C"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bookmarkStart w:id="2" w:name="_Hlk48403453"/>
      <w:r>
        <w:rPr>
          <w:rFonts w:ascii="Calibri Light" w:hAnsi="Calibri Light" w:cs="Calibri Light"/>
        </w:rPr>
        <w:t>45 CFR §164.502(a)(1)(ii).</w:t>
      </w:r>
      <w:bookmarkEnd w:id="2"/>
    </w:p>
  </w:footnote>
  <w:footnote w:id="35">
    <w:p w14:paraId="4365D7ED" w14:textId="68321DAA"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§§164.501. </w:t>
      </w:r>
      <w:r>
        <w:rPr>
          <w:rFonts w:ascii="Calibri Light" w:hAnsi="Calibri Light" w:cs="Calibri Light"/>
          <w:i/>
          <w:iCs/>
        </w:rPr>
        <w:t>See also</w:t>
      </w:r>
      <w:r>
        <w:rPr>
          <w:rFonts w:ascii="Calibri Light" w:hAnsi="Calibri Light" w:cs="Calibri Light"/>
        </w:rPr>
        <w:t xml:space="preserve"> HHS. Uses and Disclosures for Treatment, Payment, and Health Care Operations. Webpage last reviewed by HHS July 26, 2013. Retrieved from </w:t>
      </w:r>
      <w:hyperlink r:id="rId23" w:history="1">
        <w:r>
          <w:rPr>
            <w:rStyle w:val="Hyperlink"/>
            <w:rFonts w:ascii="Calibri Light" w:hAnsi="Calibri Light" w:cs="Calibri Light"/>
          </w:rPr>
          <w:t>https://www.hhs.gov/hipaa/for-professionals/privacy/guidance/disclosures-treatment-payment-health-care-operations/index.html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36">
    <w:p w14:paraId="35198753"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 164.514(e).</w:t>
      </w:r>
    </w:p>
  </w:footnote>
  <w:footnote w:id="37">
    <w:p w14:paraId="2F694808" w14:textId="4D9D8FE1" w:rsidR="004668BF" w:rsidRPr="009719F6" w:rsidRDefault="004668BF" w:rsidP="004668BF">
      <w:pPr>
        <w:pStyle w:val="FootnoteText"/>
        <w:rPr>
          <w:rFonts w:asciiTheme="majorHAnsi" w:hAnsiTheme="majorHAnsi" w:cstheme="majorHAnsi"/>
        </w:rPr>
      </w:pPr>
      <w:r>
        <w:rPr>
          <w:rStyle w:val="FootnoteReference"/>
          <w:rFonts w:ascii="Calibri Light" w:hAnsi="Calibri Light" w:cs="Calibri Light"/>
        </w:rPr>
        <w:footnoteRef/>
      </w:r>
      <w:r>
        <w:rPr>
          <w:rFonts w:ascii="Calibri Light" w:hAnsi="Calibri Light" w:cs="Calibri Light"/>
        </w:rPr>
        <w:t xml:space="preserve"> 45 C.F.R. § 164.514(e). </w:t>
      </w:r>
      <w:r w:rsidRPr="009719F6">
        <w:rPr>
          <w:rFonts w:asciiTheme="majorHAnsi" w:hAnsiTheme="majorHAnsi" w:cstheme="majorHAnsi"/>
          <w:i/>
          <w:iCs/>
        </w:rPr>
        <w:t xml:space="preserve">See also </w:t>
      </w:r>
      <w:r w:rsidRPr="009719F6">
        <w:rPr>
          <w:rFonts w:asciiTheme="majorHAnsi" w:hAnsiTheme="majorHAnsi" w:cstheme="majorHAnsi"/>
        </w:rPr>
        <w:t xml:space="preserve">HHS. Summary of HIPAA Privacy Rule. Webpage content last reviewed by HHS on July 26, 2013. Retrieved from </w:t>
      </w:r>
      <w:hyperlink r:id="rId24" w:history="1">
        <w:r w:rsidR="009719F6" w:rsidRPr="009719F6">
          <w:rPr>
            <w:rStyle w:val="Hyperlink"/>
            <w:rFonts w:asciiTheme="majorHAnsi" w:hAnsiTheme="majorHAnsi" w:cstheme="majorHAnsi"/>
          </w:rPr>
          <w:t>https://www.hhs.gov/hipaa/for-professionals/privacy/laws-regulations/index.html</w:t>
        </w:r>
      </w:hyperlink>
      <w:r w:rsidR="009719F6" w:rsidRPr="009719F6">
        <w:rPr>
          <w:rFonts w:asciiTheme="majorHAnsi" w:hAnsiTheme="majorHAnsi" w:cstheme="majorHAnsi"/>
        </w:rPr>
        <w:t xml:space="preserve">. </w:t>
      </w:r>
      <w:r w:rsidRPr="009719F6">
        <w:rPr>
          <w:rFonts w:asciiTheme="majorHAnsi" w:hAnsiTheme="majorHAnsi" w:cstheme="majorHAnsi"/>
        </w:rPr>
        <w:t xml:space="preserve">Accessed </w:t>
      </w:r>
      <w:r w:rsidR="00D01837">
        <w:rPr>
          <w:rFonts w:asciiTheme="majorHAnsi" w:hAnsiTheme="majorHAnsi" w:cstheme="majorHAnsi"/>
        </w:rPr>
        <w:t>August 17, 2020.</w:t>
      </w:r>
      <w:r w:rsidRPr="009719F6">
        <w:rPr>
          <w:rFonts w:asciiTheme="majorHAnsi" w:hAnsiTheme="majorHAnsi" w:cstheme="majorHAnsi"/>
        </w:rPr>
        <w:t xml:space="preserve"> </w:t>
      </w:r>
      <w:r w:rsidRPr="009719F6">
        <w:rPr>
          <w:rFonts w:asciiTheme="majorHAnsi" w:hAnsiTheme="majorHAnsi" w:cstheme="majorHAnsi"/>
          <w:i/>
          <w:iCs/>
        </w:rPr>
        <w:t>See also</w:t>
      </w:r>
      <w:r w:rsidRPr="009719F6">
        <w:rPr>
          <w:rFonts w:asciiTheme="majorHAnsi" w:hAnsiTheme="majorHAnsi" w:cstheme="majorHAnsi"/>
        </w:rPr>
        <w:t xml:space="preserve"> HHS. Research. Webpage last reviewed by HHS July 26, 2013. Retrieved from </w:t>
      </w:r>
      <w:hyperlink r:id="rId25" w:history="1">
        <w:r w:rsidRPr="009719F6">
          <w:rPr>
            <w:rStyle w:val="Hyperlink"/>
            <w:rFonts w:asciiTheme="majorHAnsi" w:hAnsiTheme="majorHAnsi" w:cstheme="majorHAnsi"/>
          </w:rPr>
          <w:t>https://www.hhs.gov/hipaa/for-professionals/privacy/guidance/research/index.html</w:t>
        </w:r>
      </w:hyperlink>
      <w:r w:rsidRPr="009719F6">
        <w:rPr>
          <w:rFonts w:asciiTheme="majorHAnsi" w:hAnsiTheme="majorHAnsi" w:cstheme="majorHAnsi"/>
        </w:rPr>
        <w:t xml:space="preserve">. Accessed </w:t>
      </w:r>
      <w:r w:rsidR="006D7E97" w:rsidRPr="009719F6">
        <w:rPr>
          <w:rFonts w:asciiTheme="majorHAnsi" w:hAnsiTheme="majorHAnsi" w:cstheme="majorHAnsi"/>
        </w:rPr>
        <w:t>August 17, 2020.</w:t>
      </w:r>
    </w:p>
  </w:footnote>
  <w:footnote w:id="38">
    <w:p w14:paraId="74FD1C51" w14:textId="77777777" w:rsidR="004668BF" w:rsidRPr="009719F6" w:rsidRDefault="004668BF" w:rsidP="004668BF">
      <w:pPr>
        <w:pStyle w:val="FootnoteText"/>
        <w:rPr>
          <w:rFonts w:asciiTheme="majorHAnsi" w:hAnsiTheme="majorHAnsi" w:cstheme="majorHAnsi"/>
        </w:rPr>
      </w:pPr>
      <w:r w:rsidRPr="009719F6">
        <w:rPr>
          <w:rStyle w:val="FootnoteReference"/>
          <w:rFonts w:asciiTheme="majorHAnsi" w:hAnsiTheme="majorHAnsi" w:cstheme="majorHAnsi"/>
        </w:rPr>
        <w:footnoteRef/>
      </w:r>
      <w:r w:rsidRPr="009719F6">
        <w:rPr>
          <w:rFonts w:asciiTheme="majorHAnsi" w:hAnsiTheme="majorHAnsi" w:cstheme="majorHAnsi"/>
          <w:i/>
          <w:iCs/>
        </w:rPr>
        <w:t xml:space="preserve"> See</w:t>
      </w:r>
      <w:r w:rsidRPr="009719F6">
        <w:rPr>
          <w:rFonts w:asciiTheme="majorHAnsi" w:hAnsiTheme="majorHAnsi" w:cstheme="majorHAnsi"/>
        </w:rPr>
        <w:t xml:space="preserve"> 45 CFR §164.512. The other public purposed identified in the privacy rule are:  Required by law. Victims of abuse, neglect, or domestic violence. Health oversight activities. Judicial and administrative proceedings. Law enforcement purposes. Decedents. Cadaveric organ, eye, or tissue donation. Research. Serious threat to health or safety. Essential government functions. Workers’ compensation.</w:t>
      </w:r>
    </w:p>
  </w:footnote>
  <w:footnote w:id="39">
    <w:p w14:paraId="2D343F38"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§164.512(a).</w:t>
      </w:r>
    </w:p>
  </w:footnote>
  <w:footnote w:id="40">
    <w:p w14:paraId="486A217B"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§164.512(b).</w:t>
      </w:r>
    </w:p>
  </w:footnote>
  <w:footnote w:id="41">
    <w:p w14:paraId="2A93593B" w14:textId="72261513"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There are multiple provisions related to permitted disclosures to law enforcement. </w:t>
      </w:r>
      <w:r>
        <w:rPr>
          <w:rFonts w:ascii="Calibri Light" w:hAnsi="Calibri Light" w:cs="Calibri Light"/>
          <w:i/>
          <w:iCs/>
        </w:rPr>
        <w:t>See</w:t>
      </w:r>
      <w:r>
        <w:rPr>
          <w:rFonts w:ascii="Calibri Light" w:hAnsi="Calibri Light" w:cs="Calibri Light"/>
        </w:rPr>
        <w:t xml:space="preserve"> 45 C.F.R. § 164.512(f)(1) – (f)(6). </w:t>
      </w:r>
      <w:r>
        <w:rPr>
          <w:rFonts w:ascii="Calibri Light" w:hAnsi="Calibri Light" w:cs="Calibri Light"/>
          <w:i/>
          <w:iCs/>
        </w:rPr>
        <w:t>See also</w:t>
      </w:r>
      <w:r>
        <w:rPr>
          <w:rFonts w:ascii="Calibri Light" w:hAnsi="Calibri Light" w:cs="Calibri Light"/>
        </w:rPr>
        <w:t xml:space="preserve"> HHS. HHS FAQs: When does the Privacy Rule allow covered entities to disclose protected health information to law enforcement officials? Webpage content last reviewed by HHS on July 26, 2013. Retrieved from </w:t>
      </w:r>
      <w:hyperlink r:id="rId26" w:history="1">
        <w:r>
          <w:rPr>
            <w:rStyle w:val="Hyperlink"/>
            <w:rFonts w:ascii="Calibri Light" w:hAnsi="Calibri Light" w:cs="Calibri Light"/>
          </w:rPr>
          <w:t>http://www.hhs.gov/ocr/privacy/hipaa/faq/disclosures_for_law_enforcement_purposes/505.html</w:t>
        </w:r>
      </w:hyperlink>
      <w:r>
        <w:rPr>
          <w:rFonts w:ascii="Calibri Light" w:hAnsi="Calibri Light" w:cs="Calibri Light"/>
        </w:rPr>
        <w:t xml:space="preserve">. Accessed </w:t>
      </w:r>
      <w:r w:rsidR="006D7E97">
        <w:rPr>
          <w:rFonts w:ascii="Calibri Light" w:hAnsi="Calibri Light" w:cs="Calibri Light"/>
        </w:rPr>
        <w:t>August 17, 2020.</w:t>
      </w:r>
    </w:p>
  </w:footnote>
  <w:footnote w:id="42">
    <w:p w14:paraId="71D2F556"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 164.512(f)(1)(ii)(A)-(B). </w:t>
      </w:r>
      <w:r>
        <w:rPr>
          <w:rFonts w:ascii="Calibri Light" w:eastAsia="Times New Roman" w:hAnsi="Calibri Light" w:cs="Calibri Light"/>
        </w:rPr>
        <w:t>The Rule recognizes that the legal process in obtaining a court order and the secrecy of the grand jury process provides protections for the individual's private information.</w:t>
      </w:r>
    </w:p>
  </w:footnote>
  <w:footnote w:id="43">
    <w:p w14:paraId="451ADA54" w14:textId="77777777" w:rsidR="004668BF" w:rsidRDefault="004668BF" w:rsidP="004668BF">
      <w:pPr>
        <w:pStyle w:val="FootnoteText"/>
        <w:rPr>
          <w:rFonts w:ascii="Calibri" w:hAnsi="Calibri" w:cs="Times New Roman"/>
        </w:rPr>
      </w:pPr>
      <w:r>
        <w:rPr>
          <w:rStyle w:val="FootnoteReference"/>
          <w:rFonts w:ascii="Calibri Light" w:hAnsi="Calibri Light" w:cs="Calibri Light"/>
        </w:rPr>
        <w:footnoteRef/>
      </w:r>
      <w:r>
        <w:rPr>
          <w:rFonts w:ascii="Calibri Light" w:hAnsi="Calibri Light" w:cs="Calibri Light"/>
        </w:rPr>
        <w:t xml:space="preserve"> 45 C.F.R. § 164.512(f)(1)(ii)(C). </w:t>
      </w:r>
      <w:r>
        <w:rPr>
          <w:rFonts w:ascii="Calibri Light" w:eastAsia="Times New Roman" w:hAnsi="Calibri Light" w:cs="Calibri Light"/>
        </w:rPr>
        <w:t>Because an administrative request may be made without judicial involvement, the Privacy Rule requires all administrative requests to include or be accompanied by a written statement that the information requested is relevant and material, specific and limited in scope, and that de-identified information cannot be used.</w:t>
      </w:r>
    </w:p>
  </w:footnote>
  <w:footnote w:id="44">
    <w:p w14:paraId="3236AC8C" w14:textId="1FEEDC66"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HHS. Summary of HIPAA Privacy Rule. Webpage content last reviewed by HHS on July 26, 2013. Retrieved from </w:t>
      </w:r>
      <w:hyperlink r:id="rId27" w:history="1">
        <w:r>
          <w:rPr>
            <w:rStyle w:val="Hyperlink"/>
            <w:rFonts w:ascii="Calibri Light" w:hAnsi="Calibri Light" w:cs="Calibri Light"/>
          </w:rPr>
          <w:t>https://www.hhs.gov/hipaa/for-professionals/privacy/laws-regulations/index.html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45">
    <w:p w14:paraId="76863D24" w14:textId="2C87A59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bookmarkStart w:id="3" w:name="_Hlk43738271"/>
      <w:r>
        <w:rPr>
          <w:rFonts w:ascii="Calibri Light" w:hAnsi="Calibri Light" w:cs="Calibri Light"/>
        </w:rPr>
        <w:t xml:space="preserve">HHS. Summary of HIPAA Privacy Rule. Webpage content last reviewed by HHS on July 26, 2013. Retrieved from </w:t>
      </w:r>
      <w:hyperlink r:id="rId28" w:history="1">
        <w:r>
          <w:rPr>
            <w:rStyle w:val="Hyperlink"/>
            <w:rFonts w:ascii="Calibri Light" w:hAnsi="Calibri Light" w:cs="Calibri Light"/>
          </w:rPr>
          <w:t>https://www.hhs.gov/hipaa/for-professionals/privacy/laws-regulations/index.html</w:t>
        </w:r>
      </w:hyperlink>
      <w:r>
        <w:rPr>
          <w:rFonts w:ascii="Calibri Light" w:hAnsi="Calibri Light" w:cs="Calibri Light"/>
        </w:rPr>
        <w:t xml:space="preserve">. Accessed </w:t>
      </w:r>
      <w:bookmarkEnd w:id="3"/>
      <w:r w:rsidR="006D7E97">
        <w:rPr>
          <w:rFonts w:ascii="Calibri Light" w:hAnsi="Calibri Light" w:cs="Calibri Light"/>
        </w:rPr>
        <w:t>August 17, 2020.</w:t>
      </w:r>
    </w:p>
  </w:footnote>
  <w:footnote w:id="46">
    <w:p w14:paraId="16E47675" w14:textId="0F1D07EB"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bookmarkStart w:id="4" w:name="_Hlk34596880"/>
      <w:r>
        <w:rPr>
          <w:rFonts w:ascii="Calibri Light" w:hAnsi="Calibri Light" w:cs="Calibri Light"/>
        </w:rPr>
        <w:t xml:space="preserve">45 C.F.R. §160.203, §160.204. </w:t>
      </w:r>
      <w:r>
        <w:rPr>
          <w:rFonts w:ascii="Calibri Light" w:hAnsi="Calibri Light" w:cs="Calibri Light"/>
          <w:i/>
          <w:iCs/>
        </w:rPr>
        <w:t>See also</w:t>
      </w:r>
      <w:r>
        <w:rPr>
          <w:rFonts w:ascii="Calibri Light" w:hAnsi="Calibri Light" w:cs="Calibri Light"/>
        </w:rPr>
        <w:t xml:space="preserve"> HHS. Summary of HIPAA Privacy Rule. Webpage content last reviewed by HHS on July 26, 2013. Retrieved from </w:t>
      </w:r>
      <w:hyperlink r:id="rId29" w:history="1">
        <w:r>
          <w:rPr>
            <w:rStyle w:val="Hyperlink"/>
            <w:rFonts w:ascii="Calibri Light" w:hAnsi="Calibri Light" w:cs="Calibri Light"/>
          </w:rPr>
          <w:t>https://www.hhs.gov/hipaa/for-professionals/privacy/laws-regulations/index.html</w:t>
        </w:r>
      </w:hyperlink>
      <w:r>
        <w:rPr>
          <w:rFonts w:ascii="Calibri Light" w:hAnsi="Calibri Light" w:cs="Calibri Light"/>
        </w:rPr>
        <w:t xml:space="preserve">. Accessed </w:t>
      </w:r>
      <w:bookmarkEnd w:id="4"/>
      <w:r w:rsidR="006D7E97">
        <w:rPr>
          <w:rFonts w:ascii="Calibri Light" w:hAnsi="Calibri Light" w:cs="Calibri Light"/>
        </w:rPr>
        <w:t>August 17, 2020.</w:t>
      </w:r>
    </w:p>
  </w:footnote>
  <w:footnote w:id="47">
    <w:p w14:paraId="55A11B07"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§160.203, §160.204.</w:t>
      </w:r>
    </w:p>
  </w:footnote>
  <w:footnote w:id="48">
    <w:p w14:paraId="2096C20C" w14:textId="1F913D20"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45 C.F.R. §160.203, §160.204. </w:t>
      </w:r>
      <w:r>
        <w:rPr>
          <w:rFonts w:ascii="Calibri Light" w:hAnsi="Calibri Light" w:cs="Calibri Light"/>
          <w:i/>
          <w:iCs/>
        </w:rPr>
        <w:t>See also</w:t>
      </w:r>
      <w:r>
        <w:rPr>
          <w:rFonts w:ascii="Calibri Light" w:hAnsi="Calibri Light" w:cs="Calibri Light"/>
        </w:rPr>
        <w:t xml:space="preserve"> HHS. Summary of HIPAA Privacy Rule. Webpage content last reviewed by HHS on July 26, 2013. Retrieved from </w:t>
      </w:r>
      <w:hyperlink r:id="rId30" w:history="1">
        <w:r>
          <w:rPr>
            <w:rStyle w:val="Hyperlink"/>
            <w:rFonts w:ascii="Calibri Light" w:hAnsi="Calibri Light" w:cs="Calibri Light"/>
          </w:rPr>
          <w:t>https://www.hhs.gov/hipaa/for-professionals/privacy/laws-regulations/index.html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49">
    <w:p w14:paraId="529F0C6B"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Pub. L. 93-380, 20 U.S.C. § 1232g, implemented by 34 C.F.R. Part 99.</w:t>
      </w:r>
    </w:p>
  </w:footnote>
  <w:footnote w:id="50">
    <w:p w14:paraId="3AAC3858"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“Eligible students” are students who have turned 18 or attend school beyond the high school level at any age.</w:t>
      </w:r>
    </w:p>
  </w:footnote>
  <w:footnote w:id="51">
    <w:p w14:paraId="7BFA48C7"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Family Educational Rights and Privacy Act (FERPA) codified at 20 U.S.C. §1232g.</w:t>
      </w:r>
    </w:p>
  </w:footnote>
  <w:footnote w:id="52">
    <w:p w14:paraId="4BC6FF11" w14:textId="0FC4FA35"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Family Educational Rights and Privacy Act (FERPA). Webpage last modified by ED March 1, 2018. Retrieved from </w:t>
      </w:r>
      <w:hyperlink r:id="rId31" w:history="1">
        <w:r>
          <w:rPr>
            <w:rStyle w:val="Hyperlink"/>
            <w:rFonts w:ascii="Calibri Light" w:hAnsi="Calibri Light" w:cs="Calibri Light"/>
          </w:rPr>
          <w:t>https://www2.ed.gov/policy/gen/guid/fpco/ferpa/index.html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53">
    <w:p w14:paraId="2C3403EC" w14:textId="55B0BBD0"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bookmarkStart w:id="5" w:name="_Hlk34673133"/>
      <w:r>
        <w:rPr>
          <w:rFonts w:ascii="Calibri Light" w:hAnsi="Calibri Light" w:cs="Calibri Light"/>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2"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w:t>
      </w:r>
      <w:bookmarkEnd w:id="5"/>
      <w:r>
        <w:rPr>
          <w:rFonts w:ascii="Calibri Light" w:hAnsi="Calibri Light" w:cs="Calibri Light"/>
        </w:rPr>
        <w:t xml:space="preserve"> Accessed </w:t>
      </w:r>
      <w:r w:rsidR="006D7E97">
        <w:rPr>
          <w:rFonts w:ascii="Calibri Light" w:hAnsi="Calibri Light" w:cs="Calibri Light"/>
        </w:rPr>
        <w:t>August 17, 2020.</w:t>
      </w:r>
    </w:p>
  </w:footnote>
  <w:footnote w:id="54">
    <w:p w14:paraId="628738EB" w14:textId="4A7E9B85"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3"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 xml:space="preserve">. Accessed </w:t>
      </w:r>
      <w:r w:rsidR="006D7E97">
        <w:rPr>
          <w:rFonts w:ascii="Calibri Light" w:hAnsi="Calibri Light" w:cs="Calibri Light"/>
        </w:rPr>
        <w:t>August 17, 2020.</w:t>
      </w:r>
    </w:p>
  </w:footnote>
  <w:footnote w:id="55">
    <w:p w14:paraId="789F7472"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Final Rulemaking. “Family Educational Rights and Privacy.” 76 F.R. 75604 (December 2, 2011).</w:t>
      </w:r>
    </w:p>
  </w:footnote>
  <w:footnote w:id="56">
    <w:p w14:paraId="18433AE5"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§99.2.</w:t>
      </w:r>
    </w:p>
  </w:footnote>
  <w:footnote w:id="57">
    <w:p w14:paraId="663711DF"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Part 99.</w:t>
      </w:r>
    </w:p>
  </w:footnote>
  <w:footnote w:id="58">
    <w:p w14:paraId="69B57811" w14:textId="6EBBA89D"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bookmarkStart w:id="6" w:name="_Hlk34673324"/>
      <w:r>
        <w:rPr>
          <w:rFonts w:ascii="Calibri Light" w:hAnsi="Calibri Light" w:cs="Calibri Light"/>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4"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w:t>
      </w:r>
      <w:bookmarkEnd w:id="6"/>
      <w:r>
        <w:rPr>
          <w:rFonts w:ascii="Calibri Light" w:hAnsi="Calibri Light" w:cs="Calibri Light"/>
        </w:rPr>
        <w:t xml:space="preserve"> Accessed </w:t>
      </w:r>
      <w:r w:rsidR="006D7E97">
        <w:rPr>
          <w:rFonts w:ascii="Calibri Light" w:hAnsi="Calibri Light" w:cs="Calibri Light"/>
        </w:rPr>
        <w:t>August 17, 2020.</w:t>
      </w:r>
    </w:p>
  </w:footnote>
  <w:footnote w:id="59">
    <w:p w14:paraId="71CC1F21" w14:textId="36DDF341"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5"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 xml:space="preserve">. Accessed </w:t>
      </w:r>
      <w:r w:rsidR="006D7E97">
        <w:rPr>
          <w:rFonts w:ascii="Calibri Light" w:hAnsi="Calibri Light" w:cs="Calibri Light"/>
        </w:rPr>
        <w:t>August 17, 2020.</w:t>
      </w:r>
    </w:p>
  </w:footnote>
  <w:footnote w:id="60">
    <w:p w14:paraId="3ED337F7" w14:textId="090C09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Family Educational Rights and Privacy Act (FERPA) codified at 20 U.S.C. §1232g. </w:t>
      </w:r>
      <w:r>
        <w:rPr>
          <w:rFonts w:ascii="Calibri Light" w:hAnsi="Calibri Light" w:cs="Calibri Light"/>
          <w:i/>
          <w:iCs/>
        </w:rPr>
        <w:t>See also</w:t>
      </w:r>
      <w:r>
        <w:rPr>
          <w:rFonts w:ascii="Calibri Light" w:hAnsi="Calibri Light" w:cs="Calibri Light"/>
        </w:rPr>
        <w:t xml:space="preserve"> 34 CFR Part 99. </w:t>
      </w:r>
      <w:r>
        <w:rPr>
          <w:rFonts w:ascii="Calibri Light" w:hAnsi="Calibri Light" w:cs="Calibri Light"/>
          <w:i/>
          <w:iCs/>
        </w:rPr>
        <w:t>See also</w:t>
      </w:r>
      <w:r>
        <w:rPr>
          <w:rFonts w:ascii="Calibri Light" w:hAnsi="Calibri Light" w:cs="Calibri Light"/>
        </w:rPr>
        <w:t xml:space="preserve">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6"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 xml:space="preserve">. Accessed </w:t>
      </w:r>
      <w:r w:rsidR="006D7E97">
        <w:rPr>
          <w:rFonts w:ascii="Calibri Light" w:hAnsi="Calibri Light" w:cs="Calibri Light"/>
        </w:rPr>
        <w:t>August 17, 2020.</w:t>
      </w:r>
    </w:p>
  </w:footnote>
  <w:footnote w:id="61">
    <w:p w14:paraId="4816C5B0" w14:textId="31762B34"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7"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 xml:space="preserve">. Accessed </w:t>
      </w:r>
      <w:r w:rsidR="006D7E97">
        <w:rPr>
          <w:rFonts w:ascii="Calibri Light" w:hAnsi="Calibri Light" w:cs="Calibri Light"/>
        </w:rPr>
        <w:t>August 17, 2020.</w:t>
      </w:r>
    </w:p>
  </w:footnote>
  <w:footnote w:id="62">
    <w:p w14:paraId="2CAACB4D" w14:textId="286AC6EC"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38" w:history="1">
        <w:r>
          <w:rPr>
            <w:rStyle w:val="Hyperlink"/>
            <w:rFonts w:ascii="Calibri Light" w:hAnsi="Calibri Light" w:cs="Calibri Light"/>
          </w:rPr>
          <w:t>https://studentprivacy.ed.gov/sites/default/files/resource_document/file/2019%20HIPAA%20FERPA%20Joint%20Guidance%20508.pdf</w:t>
        </w:r>
      </w:hyperlink>
      <w:r>
        <w:rPr>
          <w:rFonts w:ascii="Calibri Light" w:hAnsi="Calibri Light" w:cs="Calibri Light"/>
        </w:rPr>
        <w:t xml:space="preserve">. Accessed </w:t>
      </w:r>
      <w:r w:rsidR="006D7E97">
        <w:rPr>
          <w:rFonts w:ascii="Calibri Light" w:hAnsi="Calibri Light" w:cs="Calibri Light"/>
        </w:rPr>
        <w:t>August 17, 2020.</w:t>
      </w:r>
    </w:p>
  </w:footnote>
  <w:footnote w:id="63">
    <w:p w14:paraId="2F462510"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99.31.</w:t>
      </w:r>
    </w:p>
  </w:footnote>
  <w:footnote w:id="64">
    <w:p w14:paraId="3108935B" w14:textId="6922C021"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99.31 and 99.35. </w:t>
      </w:r>
      <w:r>
        <w:rPr>
          <w:rFonts w:ascii="Calibri Light" w:hAnsi="Calibri Light" w:cs="Calibri Light"/>
          <w:i/>
          <w:iCs/>
        </w:rPr>
        <w:t xml:space="preserve">See also </w:t>
      </w:r>
      <w:r>
        <w:rPr>
          <w:rFonts w:ascii="Calibri Light" w:hAnsi="Calibri Light" w:cs="Calibri Light"/>
        </w:rPr>
        <w:t xml:space="preserve">U.S. Dept. of Education. Family Educational Rights and Privacy Act (FERPA). Webpage last modified by ED March 1, 2018. Retrieved from </w:t>
      </w:r>
      <w:hyperlink r:id="rId39" w:history="1">
        <w:r>
          <w:rPr>
            <w:rStyle w:val="Hyperlink"/>
            <w:rFonts w:ascii="Calibri Light" w:hAnsi="Calibri Light" w:cs="Calibri Light"/>
          </w:rPr>
          <w:t>https://www2.ed.gov/policy/gen/guid/fpco/ferpa/index.html</w:t>
        </w:r>
      </w:hyperlink>
      <w:r>
        <w:rPr>
          <w:rFonts w:ascii="Calibri Light" w:hAnsi="Calibri Light" w:cs="Calibri Light"/>
        </w:rPr>
        <w:t xml:space="preserve">. Accessed </w:t>
      </w:r>
      <w:r w:rsidR="006D7E97">
        <w:rPr>
          <w:rFonts w:ascii="Calibri Light" w:hAnsi="Calibri Light" w:cs="Calibri Light"/>
        </w:rPr>
        <w:t>August 17, 2020.</w:t>
      </w:r>
    </w:p>
  </w:footnote>
  <w:footnote w:id="65">
    <w:p w14:paraId="3109DAE8"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The other exceptions include release to: school officials (34 C.F.R §99.31, §99.33.); specified officials and their authorized representatives for educational purposes (34 C.F.R §99.31, §99.35.); and, studies on behalf of the school for educational purposes (34 C.F.R §99.31).</w:t>
      </w:r>
    </w:p>
  </w:footnote>
  <w:footnote w:id="66">
    <w:p w14:paraId="621FCFBE"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§99.31 and </w:t>
      </w:r>
      <w:r>
        <w:rPr>
          <w:rFonts w:ascii="Calibri Light" w:eastAsia="Times New Roman" w:hAnsi="Calibri Light" w:cs="Calibri Light"/>
        </w:rPr>
        <w:t>34 C.F.R. §99.36.</w:t>
      </w:r>
    </w:p>
  </w:footnote>
  <w:footnote w:id="67">
    <w:p w14:paraId="7971A794"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eastAsia="Times New Roman" w:hAnsi="Calibri Light" w:cs="Calibri Light"/>
        </w:rPr>
        <w:t xml:space="preserve">34 C.F.R. §99.36. </w:t>
      </w:r>
    </w:p>
  </w:footnote>
  <w:footnote w:id="68">
    <w:p w14:paraId="1836C6C3"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eastAsia="Times New Roman" w:hAnsi="Calibri Light" w:cs="Calibri Light"/>
        </w:rPr>
        <w:t>34 C.F.R. §99.36.</w:t>
      </w:r>
    </w:p>
  </w:footnote>
  <w:footnote w:id="69">
    <w:p w14:paraId="0873F332"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eastAsia="Times New Roman" w:hAnsi="Calibri Light" w:cs="Calibri Light"/>
        </w:rPr>
        <w:t>34 C.F.R. §99.36.</w:t>
      </w:r>
    </w:p>
  </w:footnote>
  <w:footnote w:id="70">
    <w:p w14:paraId="63457C29"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eastAsia="Times New Roman" w:hAnsi="Calibri Light" w:cs="Calibri Light"/>
        </w:rPr>
        <w:t>34 C.F.R. §99.36.</w:t>
      </w:r>
    </w:p>
  </w:footnote>
  <w:footnote w:id="71">
    <w:p w14:paraId="7BB9172B" w14:textId="651332F1"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Family Educational Rights and Privacy Act (FERPA) and H1N1. October 2009. Retrieved from </w:t>
      </w:r>
      <w:hyperlink r:id="rId40" w:history="1">
        <w:r>
          <w:rPr>
            <w:rStyle w:val="Hyperlink"/>
            <w:rFonts w:ascii="Calibri Light" w:hAnsi="Calibri Light" w:cs="Calibri Light"/>
          </w:rPr>
          <w:t>http://www2.ed.gov/policy/gen/guid/fpco/pdf/ferpa-h1n1.pdf</w:t>
        </w:r>
      </w:hyperlink>
      <w:r>
        <w:rPr>
          <w:rFonts w:ascii="Calibri Light" w:hAnsi="Calibri Light" w:cs="Calibri Light"/>
        </w:rPr>
        <w:t xml:space="preserve">. Accessed </w:t>
      </w:r>
      <w:r w:rsidR="006D7E97">
        <w:rPr>
          <w:rFonts w:ascii="Calibri Light" w:hAnsi="Calibri Light" w:cs="Calibri Light"/>
        </w:rPr>
        <w:t>August 17, 2020.</w:t>
      </w:r>
      <w:r>
        <w:rPr>
          <w:rFonts w:ascii="Calibri Light" w:hAnsi="Calibri Light" w:cs="Calibri Light"/>
        </w:rPr>
        <w:t xml:space="preserve"> </w:t>
      </w:r>
      <w:r>
        <w:rPr>
          <w:rFonts w:ascii="Calibri Light" w:hAnsi="Calibri Light" w:cs="Calibri Light"/>
          <w:i/>
          <w:iCs/>
        </w:rPr>
        <w:t>See also</w:t>
      </w:r>
      <w:r>
        <w:rPr>
          <w:rFonts w:ascii="Calibri Light" w:hAnsi="Calibri Light" w:cs="Calibri Light"/>
        </w:rPr>
        <w:t xml:space="preserve"> U.S. Dept. of Education. FERPA and Coronavirus Disease 2019 (COVID-19) Frequently Asked Questions (FAQs). March 2020. Retrieved from </w:t>
      </w:r>
      <w:hyperlink r:id="rId41" w:history="1">
        <w:r>
          <w:rPr>
            <w:rStyle w:val="Hyperlink"/>
            <w:rFonts w:ascii="Calibri Light" w:hAnsi="Calibri Light" w:cs="Calibri Light"/>
          </w:rPr>
          <w:t>https://studentprivacy.ed.gov/sites/default/files/resource_document/file/FERPA%20and%20Coronavirus%20Frequently%20Asked%20Questions.pdf</w:t>
        </w:r>
      </w:hyperlink>
      <w:r>
        <w:rPr>
          <w:rFonts w:ascii="Calibri Light" w:hAnsi="Calibri Light" w:cs="Calibri Light"/>
        </w:rPr>
        <w:t xml:space="preserve">. Accessed </w:t>
      </w:r>
      <w:r w:rsidR="006D7E97">
        <w:rPr>
          <w:rFonts w:ascii="Calibri Light" w:hAnsi="Calibri Light" w:cs="Calibri Light"/>
        </w:rPr>
        <w:t>August 17, 2020.</w:t>
      </w:r>
    </w:p>
  </w:footnote>
  <w:footnote w:id="72">
    <w:p w14:paraId="06BACA81" w14:textId="148568E0"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Family Educational Rights and Privacy Act (FERPA) and H1N1. October 2009. Retrieved from </w:t>
      </w:r>
      <w:hyperlink r:id="rId42" w:history="1">
        <w:r>
          <w:rPr>
            <w:rStyle w:val="Hyperlink"/>
            <w:rFonts w:ascii="Calibri Light" w:hAnsi="Calibri Light" w:cs="Calibri Light"/>
          </w:rPr>
          <w:t>http://www2.ed.gov/policy/gen/guid/fpco/pdf/ferpa-h1n1.pdf</w:t>
        </w:r>
      </w:hyperlink>
      <w:r>
        <w:rPr>
          <w:rFonts w:ascii="Calibri Light" w:hAnsi="Calibri Light" w:cs="Calibri Light"/>
        </w:rPr>
        <w:t xml:space="preserve">. Accessed </w:t>
      </w:r>
      <w:r w:rsidR="006D7E97">
        <w:rPr>
          <w:rFonts w:ascii="Calibri Light" w:hAnsi="Calibri Light" w:cs="Calibri Light"/>
        </w:rPr>
        <w:t>August 17, 2020.</w:t>
      </w:r>
      <w:r>
        <w:rPr>
          <w:rFonts w:ascii="Calibri Light" w:hAnsi="Calibri Light" w:cs="Calibri Light"/>
        </w:rPr>
        <w:t xml:space="preserve"> </w:t>
      </w:r>
      <w:r>
        <w:rPr>
          <w:rFonts w:ascii="Calibri Light" w:hAnsi="Calibri Light" w:cs="Calibri Light"/>
          <w:i/>
          <w:iCs/>
        </w:rPr>
        <w:t>See also</w:t>
      </w:r>
      <w:r>
        <w:rPr>
          <w:rFonts w:ascii="Calibri Light" w:hAnsi="Calibri Light" w:cs="Calibri Light"/>
        </w:rPr>
        <w:t xml:space="preserve"> U.S. Dept. of Education. FERPA and Coronavirus Disease 2019 (COVID-19) Frequently Asked Questions (FAQs). March 2020. Retrieved from </w:t>
      </w:r>
      <w:hyperlink r:id="rId43" w:history="1">
        <w:r>
          <w:rPr>
            <w:rStyle w:val="Hyperlink"/>
            <w:rFonts w:ascii="Calibri Light" w:hAnsi="Calibri Light" w:cs="Calibri Light"/>
          </w:rPr>
          <w:t>https://studentprivacy.ed.gov/sites/default/files/resource_document/file/FERPA%20and%20Coronavirus%20Frequently%20Asked%20Questions.pdf</w:t>
        </w:r>
      </w:hyperlink>
      <w:r>
        <w:rPr>
          <w:rFonts w:ascii="Calibri Light" w:hAnsi="Calibri Light" w:cs="Calibri Light"/>
        </w:rPr>
        <w:t xml:space="preserve">. Accessed </w:t>
      </w:r>
      <w:r w:rsidR="006D7E97">
        <w:rPr>
          <w:rFonts w:ascii="Calibri Light" w:hAnsi="Calibri Light" w:cs="Calibri Light"/>
        </w:rPr>
        <w:t>August 17, 2020.</w:t>
      </w:r>
    </w:p>
  </w:footnote>
  <w:footnote w:id="73">
    <w:p w14:paraId="46F77055" w14:textId="0BC03730"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Family Policy Compliance Office. “Letter to University of New Mexico re: Applicability of FERPA to Health and Other State Reporting Requirements.” November 29, 2004. Retrieved from </w:t>
      </w:r>
      <w:hyperlink r:id="rId44" w:history="1">
        <w:r>
          <w:rPr>
            <w:rStyle w:val="Hyperlink"/>
            <w:rFonts w:ascii="Calibri Light" w:hAnsi="Calibri Light" w:cs="Calibri Light"/>
          </w:rPr>
          <w:t>http://www2.ed.gov/policy/gen/guid/fpco/ferpa/library/baiseunmslc.html</w:t>
        </w:r>
      </w:hyperlink>
      <w:r>
        <w:rPr>
          <w:rFonts w:ascii="Calibri Light" w:hAnsi="Calibri Light" w:cs="Calibri Light"/>
        </w:rPr>
        <w:t xml:space="preserve">. Accessed </w:t>
      </w:r>
      <w:r w:rsidR="006D7E97">
        <w:rPr>
          <w:rFonts w:ascii="Calibri Light" w:hAnsi="Calibri Light" w:cs="Calibri Light"/>
        </w:rPr>
        <w:t>August 17, 2020.</w:t>
      </w:r>
    </w:p>
  </w:footnote>
  <w:footnote w:id="74">
    <w:p w14:paraId="1D9D52EF" w14:textId="142EDE7F"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Family Policy Compliance Office. “Letter to University of New Mexico re: Applicability of FERPA to Health and Other State Reporting Requirements.” November 29, 2004. Retrieved from </w:t>
      </w:r>
      <w:hyperlink r:id="rId45" w:history="1">
        <w:r>
          <w:rPr>
            <w:rStyle w:val="Hyperlink"/>
            <w:rFonts w:ascii="Calibri Light" w:hAnsi="Calibri Light" w:cs="Calibri Light"/>
          </w:rPr>
          <w:t>http://www2.ed.gov/policy/gen/guid/fpco/ferpa/library/baiseunmslc.html</w:t>
        </w:r>
      </w:hyperlink>
      <w:r>
        <w:rPr>
          <w:rFonts w:ascii="Calibri Light" w:hAnsi="Calibri Light" w:cs="Calibri Light"/>
        </w:rPr>
        <w:t xml:space="preserve">. Accessed </w:t>
      </w:r>
      <w:r w:rsidR="006D7E97">
        <w:rPr>
          <w:rFonts w:ascii="Calibri Light" w:hAnsi="Calibri Light" w:cs="Calibri Light"/>
        </w:rPr>
        <w:t>August 17, 2020.</w:t>
      </w:r>
    </w:p>
  </w:footnote>
  <w:footnote w:id="75">
    <w:p w14:paraId="37835D70"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 99.31. </w:t>
      </w:r>
    </w:p>
  </w:footnote>
  <w:footnote w:id="76">
    <w:p w14:paraId="45A45785" w14:textId="42A6589C"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FERPA and Coronavirus Disease 2019 (COVID-19) Frequently Asked Questions (FAQs). March 2020. Retrieved from </w:t>
      </w:r>
      <w:hyperlink r:id="rId46" w:history="1">
        <w:r>
          <w:rPr>
            <w:rStyle w:val="Hyperlink"/>
            <w:rFonts w:ascii="Calibri Light" w:hAnsi="Calibri Light" w:cs="Calibri Light"/>
          </w:rPr>
          <w:t>https://studentprivacy.ed.gov/sites/default/files/resource_document/file/FERPA%20and%20Coronavirus%20Frequently%20Asked%20Questions.pdf</w:t>
        </w:r>
      </w:hyperlink>
      <w:r>
        <w:rPr>
          <w:rFonts w:ascii="Calibri Light" w:hAnsi="Calibri Light" w:cs="Calibri Light"/>
        </w:rPr>
        <w:t xml:space="preserve">. Accessed </w:t>
      </w:r>
      <w:r w:rsidR="006D7E97">
        <w:rPr>
          <w:rFonts w:ascii="Calibri Light" w:hAnsi="Calibri Light" w:cs="Calibri Light"/>
        </w:rPr>
        <w:t>August 17, 2020.</w:t>
      </w:r>
    </w:p>
  </w:footnote>
  <w:footnote w:id="77">
    <w:p w14:paraId="4CBE6E3F" w14:textId="226D494B"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U.S. Dept. of Education. FERPA and Coronavirus Disease 2019 (COVID-19) Frequently Asked Questions (FAQs). March 2020. Retrieved from </w:t>
      </w:r>
      <w:hyperlink r:id="rId47" w:history="1">
        <w:r>
          <w:rPr>
            <w:rStyle w:val="Hyperlink"/>
            <w:rFonts w:ascii="Calibri Light" w:hAnsi="Calibri Light" w:cs="Calibri Light"/>
          </w:rPr>
          <w:t>https://studentprivacy.ed.gov/sites/default/files/resource_document/file/FERPA%20and%20Coronavirus%20Frequently%20Asked%20Questions.pdf</w:t>
        </w:r>
      </w:hyperlink>
      <w:r>
        <w:rPr>
          <w:rFonts w:ascii="Calibri Light" w:hAnsi="Calibri Light" w:cs="Calibri Light"/>
        </w:rPr>
        <w:t xml:space="preserve">. Accessed </w:t>
      </w:r>
      <w:r w:rsidR="006D7E97">
        <w:rPr>
          <w:rFonts w:ascii="Calibri Light" w:hAnsi="Calibri Light" w:cs="Calibri Light"/>
        </w:rPr>
        <w:t>August 17, 2020.</w:t>
      </w:r>
    </w:p>
  </w:footnote>
  <w:footnote w:id="78">
    <w:p w14:paraId="40983410"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§99.31.</w:t>
      </w:r>
    </w:p>
  </w:footnote>
  <w:footnote w:id="79">
    <w:p w14:paraId="2A12271A"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§99.31.</w:t>
      </w:r>
    </w:p>
  </w:footnote>
  <w:footnote w:id="80">
    <w:p w14:paraId="1572C965" w14:textId="77777777"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Family Educational Rights and Privacy Act (FERPA) codified at 20 U.S.C. §1232g. </w:t>
      </w:r>
      <w:r>
        <w:rPr>
          <w:rFonts w:ascii="Calibri Light" w:hAnsi="Calibri Light" w:cs="Calibri Light"/>
          <w:i/>
          <w:iCs/>
        </w:rPr>
        <w:t>See also</w:t>
      </w:r>
      <w:r>
        <w:rPr>
          <w:rFonts w:ascii="Calibri Light" w:hAnsi="Calibri Light" w:cs="Calibri Light"/>
        </w:rPr>
        <w:t xml:space="preserve"> </w:t>
      </w:r>
      <w:r>
        <w:rPr>
          <w:rFonts w:ascii="Calibri Light" w:eastAsia="Times New Roman" w:hAnsi="Calibri Light" w:cs="Calibri Light"/>
        </w:rPr>
        <w:t>34 CFR Part 99.</w:t>
      </w:r>
    </w:p>
  </w:footnote>
  <w:footnote w:id="81">
    <w:p w14:paraId="6FA4DCF6" w14:textId="2E0E844E"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A parent or eligible student may request that an educational institution/agency amend the student’s educational records on the grounds that the information in the records is inaccurate, misleading, or in violation of the privacy rights of the student. (34 CFR §99.20) If denied, the student has a right to an administrative hearing with school, and, if unsuccessful at the hearing, to place a statement in the student’s record. (34 CFR §99.63). Students who believe their rights under FERPA have been violated may file a complaint with the ED’s Student Privacy Policy Office, which investigates the complaint. (34 CFR 99.63) </w:t>
      </w:r>
      <w:r>
        <w:rPr>
          <w:rFonts w:ascii="Calibri Light" w:hAnsi="Calibri Light" w:cs="Calibri Light"/>
          <w:i/>
          <w:iCs/>
        </w:rPr>
        <w:t>See also</w:t>
      </w:r>
      <w:r>
        <w:rPr>
          <w:rFonts w:ascii="Calibri Light" w:hAnsi="Calibri Light" w:cs="Calibri Light"/>
        </w:rPr>
        <w:t xml:space="preserve"> U.S. Dept. of Education. Privacy Technical Assistance Center and the Student Privacy Policy Office. File a Complaint. Retrieved from </w:t>
      </w:r>
      <w:hyperlink r:id="rId48" w:history="1">
        <w:r>
          <w:rPr>
            <w:rStyle w:val="Hyperlink"/>
            <w:rFonts w:ascii="Calibri Light" w:hAnsi="Calibri Light" w:cs="Calibri Light"/>
          </w:rPr>
          <w:t>https://studentprivacy.ed.gov/file-a-complaint</w:t>
        </w:r>
      </w:hyperlink>
      <w:r>
        <w:rPr>
          <w:rFonts w:ascii="Calibri Light" w:hAnsi="Calibri Light" w:cs="Calibri Light"/>
        </w:rPr>
        <w:t xml:space="preserve">. Accessed </w:t>
      </w:r>
      <w:r w:rsidR="006D7E97">
        <w:rPr>
          <w:rFonts w:ascii="Calibri Light" w:hAnsi="Calibri Light" w:cs="Calibri Light"/>
        </w:rPr>
        <w:t>August 17, 2020.</w:t>
      </w:r>
    </w:p>
  </w:footnote>
  <w:footnote w:id="82">
    <w:p w14:paraId="22BDCF31" w14:textId="3612BAEF" w:rsidR="004668BF" w:rsidRDefault="004668BF" w:rsidP="004668BF">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34 CFR § 99.61.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54229" w14:textId="5970FF04" w:rsidR="00583B6E" w:rsidRDefault="006557D7" w:rsidP="006557D7">
    <w:pPr>
      <w:pStyle w:val="Header"/>
      <w:jc w:val="center"/>
    </w:pPr>
    <w:r>
      <w:rPr>
        <w:highlight w:val="yellow"/>
      </w:rPr>
      <w:t>DRAFT</w:t>
    </w:r>
    <w:r w:rsidR="00202C3E">
      <w:rPr>
        <w:highlight w:val="yellow"/>
      </w:rPr>
      <w:t xml:space="preserve"> 1</w:t>
    </w:r>
    <w:r>
      <w:rPr>
        <w:highlight w:val="yellow"/>
      </w:rPr>
      <w:t xml:space="preserve">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879B6"/>
    <w:multiLevelType w:val="hybridMultilevel"/>
    <w:tmpl w:val="40E29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7E85677"/>
    <w:multiLevelType w:val="hybridMultilevel"/>
    <w:tmpl w:val="D57C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71C8C"/>
    <w:multiLevelType w:val="hybridMultilevel"/>
    <w:tmpl w:val="D33C46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20226B0D"/>
    <w:multiLevelType w:val="multilevel"/>
    <w:tmpl w:val="7908A3E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8AA32E9"/>
    <w:multiLevelType w:val="hybridMultilevel"/>
    <w:tmpl w:val="B4721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9BC5B27"/>
    <w:multiLevelType w:val="hybridMultilevel"/>
    <w:tmpl w:val="7C22A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D4B3F33"/>
    <w:multiLevelType w:val="multilevel"/>
    <w:tmpl w:val="7908A3E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0E21D00"/>
    <w:multiLevelType w:val="hybridMultilevel"/>
    <w:tmpl w:val="5AE0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F3306"/>
    <w:multiLevelType w:val="hybridMultilevel"/>
    <w:tmpl w:val="39189E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4045ED"/>
    <w:multiLevelType w:val="hybridMultilevel"/>
    <w:tmpl w:val="94CA96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53B92201"/>
    <w:multiLevelType w:val="hybridMultilevel"/>
    <w:tmpl w:val="709A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867780"/>
    <w:multiLevelType w:val="hybridMultilevel"/>
    <w:tmpl w:val="AC1E6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3652DC7"/>
    <w:multiLevelType w:val="hybridMultilevel"/>
    <w:tmpl w:val="B986EB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61313FC"/>
    <w:multiLevelType w:val="hybridMultilevel"/>
    <w:tmpl w:val="BE94B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927BB9"/>
    <w:multiLevelType w:val="multilevel"/>
    <w:tmpl w:val="AF968AF8"/>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9"/>
  </w:num>
  <w:num w:numId="4">
    <w:abstractNumId w:val="0"/>
  </w:num>
  <w:num w:numId="5">
    <w:abstractNumId w:val="2"/>
  </w:num>
  <w:num w:numId="6">
    <w:abstractNumId w:val="14"/>
  </w:num>
  <w:num w:numId="7">
    <w:abstractNumId w:val="6"/>
  </w:num>
  <w:num w:numId="8">
    <w:abstractNumId w:val="3"/>
  </w:num>
  <w:num w:numId="9">
    <w:abstractNumId w:val="13"/>
  </w:num>
  <w:num w:numId="10">
    <w:abstractNumId w:val="15"/>
  </w:num>
  <w:num w:numId="11">
    <w:abstractNumId w:val="8"/>
  </w:num>
  <w:num w:numId="12">
    <w:abstractNumId w:val="1"/>
  </w:num>
  <w:num w:numId="13">
    <w:abstractNumId w:val="11"/>
  </w:num>
  <w:num w:numId="14">
    <w:abstractNumId w:val="12"/>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8BF"/>
    <w:rsid w:val="000021AF"/>
    <w:rsid w:val="0001066B"/>
    <w:rsid w:val="00027A25"/>
    <w:rsid w:val="00032E69"/>
    <w:rsid w:val="00041FA0"/>
    <w:rsid w:val="000449F1"/>
    <w:rsid w:val="00052C3E"/>
    <w:rsid w:val="00055586"/>
    <w:rsid w:val="00063F0B"/>
    <w:rsid w:val="00074A1E"/>
    <w:rsid w:val="000A0754"/>
    <w:rsid w:val="000A6C74"/>
    <w:rsid w:val="000B1376"/>
    <w:rsid w:val="000B4056"/>
    <w:rsid w:val="000C5416"/>
    <w:rsid w:val="000E0605"/>
    <w:rsid w:val="000E2BD3"/>
    <w:rsid w:val="000E4534"/>
    <w:rsid w:val="000E611E"/>
    <w:rsid w:val="000E72CC"/>
    <w:rsid w:val="000F3AD8"/>
    <w:rsid w:val="00101239"/>
    <w:rsid w:val="00104EBE"/>
    <w:rsid w:val="00104ED0"/>
    <w:rsid w:val="00107B80"/>
    <w:rsid w:val="0013450D"/>
    <w:rsid w:val="00135487"/>
    <w:rsid w:val="00151278"/>
    <w:rsid w:val="001666EB"/>
    <w:rsid w:val="00193521"/>
    <w:rsid w:val="00193BA7"/>
    <w:rsid w:val="001A778B"/>
    <w:rsid w:val="001A7DCA"/>
    <w:rsid w:val="001B3E10"/>
    <w:rsid w:val="001C2A3D"/>
    <w:rsid w:val="001D4863"/>
    <w:rsid w:val="001E1E9F"/>
    <w:rsid w:val="001F1B55"/>
    <w:rsid w:val="001F3178"/>
    <w:rsid w:val="0020109D"/>
    <w:rsid w:val="00202C3E"/>
    <w:rsid w:val="00214D92"/>
    <w:rsid w:val="00255432"/>
    <w:rsid w:val="00257941"/>
    <w:rsid w:val="00265019"/>
    <w:rsid w:val="002736A3"/>
    <w:rsid w:val="0029576A"/>
    <w:rsid w:val="002B328B"/>
    <w:rsid w:val="002B665E"/>
    <w:rsid w:val="002C0DF3"/>
    <w:rsid w:val="002C34D2"/>
    <w:rsid w:val="002D4086"/>
    <w:rsid w:val="002E08D4"/>
    <w:rsid w:val="002E1828"/>
    <w:rsid w:val="002F471C"/>
    <w:rsid w:val="00312B8A"/>
    <w:rsid w:val="00313206"/>
    <w:rsid w:val="00316D28"/>
    <w:rsid w:val="003208E4"/>
    <w:rsid w:val="00332573"/>
    <w:rsid w:val="0034518C"/>
    <w:rsid w:val="003478DC"/>
    <w:rsid w:val="00351661"/>
    <w:rsid w:val="00351873"/>
    <w:rsid w:val="00371EFC"/>
    <w:rsid w:val="0038418E"/>
    <w:rsid w:val="003866B3"/>
    <w:rsid w:val="00390A9F"/>
    <w:rsid w:val="00393CCB"/>
    <w:rsid w:val="0039625C"/>
    <w:rsid w:val="003B745F"/>
    <w:rsid w:val="003C4069"/>
    <w:rsid w:val="003C51A7"/>
    <w:rsid w:val="003D5370"/>
    <w:rsid w:val="004005CC"/>
    <w:rsid w:val="004668BF"/>
    <w:rsid w:val="00470217"/>
    <w:rsid w:val="00476446"/>
    <w:rsid w:val="004818CC"/>
    <w:rsid w:val="004962C6"/>
    <w:rsid w:val="00497346"/>
    <w:rsid w:val="004A2552"/>
    <w:rsid w:val="004A6059"/>
    <w:rsid w:val="004C2C5E"/>
    <w:rsid w:val="004C6407"/>
    <w:rsid w:val="004E0FE7"/>
    <w:rsid w:val="004F0E9F"/>
    <w:rsid w:val="004F30DD"/>
    <w:rsid w:val="00505E2F"/>
    <w:rsid w:val="005377E9"/>
    <w:rsid w:val="00541F22"/>
    <w:rsid w:val="00544B5D"/>
    <w:rsid w:val="00545BE7"/>
    <w:rsid w:val="00555E26"/>
    <w:rsid w:val="00576624"/>
    <w:rsid w:val="00583B6E"/>
    <w:rsid w:val="005A3218"/>
    <w:rsid w:val="005B036D"/>
    <w:rsid w:val="005C49E5"/>
    <w:rsid w:val="005C701F"/>
    <w:rsid w:val="005D18FA"/>
    <w:rsid w:val="00641713"/>
    <w:rsid w:val="006427F5"/>
    <w:rsid w:val="0064341F"/>
    <w:rsid w:val="00654B5F"/>
    <w:rsid w:val="006557D7"/>
    <w:rsid w:val="00657296"/>
    <w:rsid w:val="00675204"/>
    <w:rsid w:val="006A1416"/>
    <w:rsid w:val="006B54A8"/>
    <w:rsid w:val="006C1436"/>
    <w:rsid w:val="006C4123"/>
    <w:rsid w:val="006D7E97"/>
    <w:rsid w:val="006E0FE9"/>
    <w:rsid w:val="006E107D"/>
    <w:rsid w:val="0070495B"/>
    <w:rsid w:val="0070719A"/>
    <w:rsid w:val="00707AB8"/>
    <w:rsid w:val="007129EA"/>
    <w:rsid w:val="00717F2E"/>
    <w:rsid w:val="00746BFA"/>
    <w:rsid w:val="007520FA"/>
    <w:rsid w:val="0075240F"/>
    <w:rsid w:val="00762B23"/>
    <w:rsid w:val="00774C66"/>
    <w:rsid w:val="007A0EBC"/>
    <w:rsid w:val="007B7564"/>
    <w:rsid w:val="007B7A61"/>
    <w:rsid w:val="007D1E20"/>
    <w:rsid w:val="007D2594"/>
    <w:rsid w:val="007E49B6"/>
    <w:rsid w:val="007F20CE"/>
    <w:rsid w:val="00800111"/>
    <w:rsid w:val="00803EA7"/>
    <w:rsid w:val="00812779"/>
    <w:rsid w:val="00840509"/>
    <w:rsid w:val="00846389"/>
    <w:rsid w:val="00871925"/>
    <w:rsid w:val="00872A1E"/>
    <w:rsid w:val="00882F35"/>
    <w:rsid w:val="008864D6"/>
    <w:rsid w:val="00890623"/>
    <w:rsid w:val="00894FCA"/>
    <w:rsid w:val="008A4012"/>
    <w:rsid w:val="008A5383"/>
    <w:rsid w:val="008B46A2"/>
    <w:rsid w:val="008C294C"/>
    <w:rsid w:val="008E02A0"/>
    <w:rsid w:val="008F70FB"/>
    <w:rsid w:val="008F73C5"/>
    <w:rsid w:val="00955C6E"/>
    <w:rsid w:val="009579E5"/>
    <w:rsid w:val="009616DF"/>
    <w:rsid w:val="009719F6"/>
    <w:rsid w:val="00971AF1"/>
    <w:rsid w:val="00974411"/>
    <w:rsid w:val="00984301"/>
    <w:rsid w:val="009A749C"/>
    <w:rsid w:val="009B3D85"/>
    <w:rsid w:val="009B5AD9"/>
    <w:rsid w:val="009C031F"/>
    <w:rsid w:val="009C0FBA"/>
    <w:rsid w:val="009D28EC"/>
    <w:rsid w:val="009E0930"/>
    <w:rsid w:val="009F5579"/>
    <w:rsid w:val="00A05498"/>
    <w:rsid w:val="00A10FF2"/>
    <w:rsid w:val="00A16D50"/>
    <w:rsid w:val="00A444C6"/>
    <w:rsid w:val="00A531E2"/>
    <w:rsid w:val="00A66C7D"/>
    <w:rsid w:val="00A80266"/>
    <w:rsid w:val="00AA1881"/>
    <w:rsid w:val="00AA3AA4"/>
    <w:rsid w:val="00AB2BE2"/>
    <w:rsid w:val="00AD4D25"/>
    <w:rsid w:val="00AE0A40"/>
    <w:rsid w:val="00B06297"/>
    <w:rsid w:val="00B13587"/>
    <w:rsid w:val="00B302E2"/>
    <w:rsid w:val="00B44BEC"/>
    <w:rsid w:val="00B75B7F"/>
    <w:rsid w:val="00B818CE"/>
    <w:rsid w:val="00B9323A"/>
    <w:rsid w:val="00BA3550"/>
    <w:rsid w:val="00BA5569"/>
    <w:rsid w:val="00BA68CD"/>
    <w:rsid w:val="00BB3C9D"/>
    <w:rsid w:val="00BC0259"/>
    <w:rsid w:val="00BC2D9B"/>
    <w:rsid w:val="00BC42E5"/>
    <w:rsid w:val="00BE2618"/>
    <w:rsid w:val="00BF7CEA"/>
    <w:rsid w:val="00C007B4"/>
    <w:rsid w:val="00C01D3D"/>
    <w:rsid w:val="00C10BA9"/>
    <w:rsid w:val="00C11156"/>
    <w:rsid w:val="00C31C2B"/>
    <w:rsid w:val="00C43737"/>
    <w:rsid w:val="00C50C71"/>
    <w:rsid w:val="00C66269"/>
    <w:rsid w:val="00C76EFB"/>
    <w:rsid w:val="00C80B40"/>
    <w:rsid w:val="00C82BA0"/>
    <w:rsid w:val="00C92575"/>
    <w:rsid w:val="00C9678A"/>
    <w:rsid w:val="00CD65CE"/>
    <w:rsid w:val="00CE3AB9"/>
    <w:rsid w:val="00CE50CE"/>
    <w:rsid w:val="00D01837"/>
    <w:rsid w:val="00D01850"/>
    <w:rsid w:val="00D07765"/>
    <w:rsid w:val="00D1382B"/>
    <w:rsid w:val="00D210FC"/>
    <w:rsid w:val="00D25365"/>
    <w:rsid w:val="00D323CE"/>
    <w:rsid w:val="00D34D7A"/>
    <w:rsid w:val="00D3723C"/>
    <w:rsid w:val="00D51DBB"/>
    <w:rsid w:val="00D615CD"/>
    <w:rsid w:val="00D766FB"/>
    <w:rsid w:val="00D770C9"/>
    <w:rsid w:val="00D821F2"/>
    <w:rsid w:val="00D901E1"/>
    <w:rsid w:val="00DC57B0"/>
    <w:rsid w:val="00DD2B6F"/>
    <w:rsid w:val="00E17E23"/>
    <w:rsid w:val="00E249DC"/>
    <w:rsid w:val="00E36DD0"/>
    <w:rsid w:val="00E4068E"/>
    <w:rsid w:val="00E45630"/>
    <w:rsid w:val="00E54E05"/>
    <w:rsid w:val="00E64552"/>
    <w:rsid w:val="00E75F40"/>
    <w:rsid w:val="00E860DF"/>
    <w:rsid w:val="00EA4B3F"/>
    <w:rsid w:val="00EB0BD3"/>
    <w:rsid w:val="00EE3CC7"/>
    <w:rsid w:val="00EF34F9"/>
    <w:rsid w:val="00F02D58"/>
    <w:rsid w:val="00F145CE"/>
    <w:rsid w:val="00F22DDE"/>
    <w:rsid w:val="00F2627B"/>
    <w:rsid w:val="00F65DA8"/>
    <w:rsid w:val="00F93BEA"/>
    <w:rsid w:val="00FA15B6"/>
    <w:rsid w:val="00FA21EE"/>
    <w:rsid w:val="00FD1BEB"/>
    <w:rsid w:val="00FD1D53"/>
    <w:rsid w:val="00FD3B68"/>
    <w:rsid w:val="00FD63F3"/>
    <w:rsid w:val="00FE5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2871566"/>
  <w15:chartTrackingRefBased/>
  <w15:docId w15:val="{3B9F92A0-F1A3-4814-B826-A1130C99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8B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4668BF"/>
    <w:pPr>
      <w:ind w:left="720"/>
      <w:contextualSpacing/>
    </w:pPr>
  </w:style>
  <w:style w:type="paragraph" w:styleId="FootnoteText">
    <w:name w:val="footnote text"/>
    <w:basedOn w:val="Normal"/>
    <w:link w:val="FootnoteTextChar"/>
    <w:uiPriority w:val="99"/>
    <w:unhideWhenUsed/>
    <w:rsid w:val="004668BF"/>
    <w:rPr>
      <w:sz w:val="20"/>
      <w:szCs w:val="20"/>
    </w:rPr>
  </w:style>
  <w:style w:type="character" w:customStyle="1" w:styleId="FootnoteTextChar">
    <w:name w:val="Footnote Text Char"/>
    <w:basedOn w:val="DefaultParagraphFont"/>
    <w:link w:val="FootnoteText"/>
    <w:uiPriority w:val="99"/>
    <w:rsid w:val="004668BF"/>
    <w:rPr>
      <w:sz w:val="20"/>
      <w:szCs w:val="20"/>
    </w:rPr>
  </w:style>
  <w:style w:type="character" w:styleId="FootnoteReference">
    <w:name w:val="footnote reference"/>
    <w:basedOn w:val="DefaultParagraphFont"/>
    <w:uiPriority w:val="99"/>
    <w:semiHidden/>
    <w:unhideWhenUsed/>
    <w:rsid w:val="004668BF"/>
    <w:rPr>
      <w:vertAlign w:val="superscript"/>
    </w:rPr>
  </w:style>
  <w:style w:type="character" w:styleId="Hyperlink">
    <w:name w:val="Hyperlink"/>
    <w:basedOn w:val="DefaultParagraphFont"/>
    <w:uiPriority w:val="99"/>
    <w:unhideWhenUsed/>
    <w:rsid w:val="004668BF"/>
    <w:rPr>
      <w:color w:val="0000FF"/>
      <w:u w:val="single"/>
    </w:rPr>
  </w:style>
  <w:style w:type="paragraph" w:styleId="Header">
    <w:name w:val="header"/>
    <w:basedOn w:val="Normal"/>
    <w:link w:val="HeaderChar"/>
    <w:uiPriority w:val="99"/>
    <w:unhideWhenUsed/>
    <w:rsid w:val="00583B6E"/>
    <w:pPr>
      <w:tabs>
        <w:tab w:val="center" w:pos="4680"/>
        <w:tab w:val="right" w:pos="9360"/>
      </w:tabs>
    </w:pPr>
  </w:style>
  <w:style w:type="character" w:customStyle="1" w:styleId="HeaderChar">
    <w:name w:val="Header Char"/>
    <w:basedOn w:val="DefaultParagraphFont"/>
    <w:link w:val="Header"/>
    <w:uiPriority w:val="99"/>
    <w:rsid w:val="00583B6E"/>
  </w:style>
  <w:style w:type="paragraph" w:styleId="Footer">
    <w:name w:val="footer"/>
    <w:basedOn w:val="Normal"/>
    <w:link w:val="FooterChar"/>
    <w:uiPriority w:val="99"/>
    <w:unhideWhenUsed/>
    <w:rsid w:val="00583B6E"/>
    <w:pPr>
      <w:tabs>
        <w:tab w:val="center" w:pos="4680"/>
        <w:tab w:val="right" w:pos="9360"/>
      </w:tabs>
    </w:pPr>
  </w:style>
  <w:style w:type="character" w:customStyle="1" w:styleId="FooterChar">
    <w:name w:val="Footer Char"/>
    <w:basedOn w:val="DefaultParagraphFont"/>
    <w:link w:val="Footer"/>
    <w:uiPriority w:val="99"/>
    <w:rsid w:val="00583B6E"/>
  </w:style>
  <w:style w:type="character" w:styleId="FollowedHyperlink">
    <w:name w:val="FollowedHyperlink"/>
    <w:basedOn w:val="DefaultParagraphFont"/>
    <w:uiPriority w:val="99"/>
    <w:semiHidden/>
    <w:unhideWhenUsed/>
    <w:rsid w:val="00800111"/>
    <w:rPr>
      <w:color w:val="954F72" w:themeColor="followedHyperlink"/>
      <w:u w:val="single"/>
    </w:rPr>
  </w:style>
  <w:style w:type="character" w:styleId="UnresolvedMention">
    <w:name w:val="Unresolved Mention"/>
    <w:basedOn w:val="DefaultParagraphFont"/>
    <w:uiPriority w:val="99"/>
    <w:semiHidden/>
    <w:unhideWhenUsed/>
    <w:rsid w:val="001F1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323208">
      <w:bodyDiv w:val="1"/>
      <w:marLeft w:val="0"/>
      <w:marRight w:val="0"/>
      <w:marTop w:val="0"/>
      <w:marBottom w:val="0"/>
      <w:divBdr>
        <w:top w:val="none" w:sz="0" w:space="0" w:color="auto"/>
        <w:left w:val="none" w:sz="0" w:space="0" w:color="auto"/>
        <w:bottom w:val="none" w:sz="0" w:space="0" w:color="auto"/>
        <w:right w:val="none" w:sz="0" w:space="0" w:color="auto"/>
      </w:divBdr>
    </w:div>
    <w:div w:id="160013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fp.org/open-government-guide/" TargetMode="External"/><Relationship Id="rId13" Type="http://schemas.openxmlformats.org/officeDocument/2006/relationships/hyperlink" Target="https://www.rcfp.org/open-government-guid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healthjournalism.org/secondarypage-details.php?id=965" TargetMode="External"/><Relationship Id="rId12" Type="http://schemas.openxmlformats.org/officeDocument/2006/relationships/hyperlink" Target="http://healthjournalism.org/secondarypage-details.php?id=96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legalbib.communitycommons.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egalbib.communitycommons.org/" TargetMode="External"/><Relationship Id="rId5" Type="http://schemas.openxmlformats.org/officeDocument/2006/relationships/footnotes" Target="footnotes.xml"/><Relationship Id="rId15" Type="http://schemas.openxmlformats.org/officeDocument/2006/relationships/hyperlink" Target="https://www.astho.org/Public-Policy/Public-Health-Law/Legal-Issues-Related-to-sharing-Clinical-Health-Data-with-Public-Health-Agencies/" TargetMode="External"/><Relationship Id="rId10" Type="http://schemas.openxmlformats.org/officeDocument/2006/relationships/hyperlink" Target="https://www.astho.org/Public-Policy/Public-Health-Law/Legal-Issues-Related-to-sharing-Clinical-Health-Data-with-Public-Health-Agenci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dn.ymaws.com/www.cste.org/resource/resmgr/PDFs/LegalIssuesTribalJuris.pdf" TargetMode="External"/><Relationship Id="rId14" Type="http://schemas.openxmlformats.org/officeDocument/2006/relationships/hyperlink" Target="https://cdn.ymaws.com/www.cste.org/resource/resmgr/PDFs/LegalIssuesTribalJuri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cfp.org/open-government-sections/b-other-statutory-exclusions/" TargetMode="External"/><Relationship Id="rId13" Type="http://schemas.openxmlformats.org/officeDocument/2006/relationships/hyperlink" Target="https://www.rcfp.org/open-government-sections/q-professional-licensing-records/" TargetMode="External"/><Relationship Id="rId18" Type="http://schemas.openxmlformats.org/officeDocument/2006/relationships/hyperlink" Target="https://www.hhs.gov/hipaa/for-individuals/employers-health-information-workplace/index.html" TargetMode="External"/><Relationship Id="rId26" Type="http://schemas.openxmlformats.org/officeDocument/2006/relationships/hyperlink" Target="http://www.hhs.gov/ocr/privacy/hipaa/faq/disclosures_for_law_enforcement_purposes/505.html" TargetMode="External"/><Relationship Id="rId39" Type="http://schemas.openxmlformats.org/officeDocument/2006/relationships/hyperlink" Target="https://www2.ed.gov/policy/gen/guid/fpco/ferpa/index.html" TargetMode="External"/><Relationship Id="rId3" Type="http://schemas.openxmlformats.org/officeDocument/2006/relationships/hyperlink" Target="https://www.rcfp.org/open-government-guide/" TargetMode="External"/><Relationship Id="rId21" Type="http://schemas.openxmlformats.org/officeDocument/2006/relationships/hyperlink" Target="https://www.hhs.gov/hipaa/for-professionals/faq/513/does-hipaa-apply-to-an-elementary-school/index.html" TargetMode="External"/><Relationship Id="rId34" Type="http://schemas.openxmlformats.org/officeDocument/2006/relationships/hyperlink" Target="https://studentprivacy.ed.gov/sites/default/files/resource_document/file/2019%20HIPAA%20FERPA%20Joint%20Guidance%20508.pdf" TargetMode="External"/><Relationship Id="rId42" Type="http://schemas.openxmlformats.org/officeDocument/2006/relationships/hyperlink" Target="http://www2.ed.gov/policy/gen/guid/fpco/pdf/ferpa-h1n1.pdf" TargetMode="External"/><Relationship Id="rId47" Type="http://schemas.openxmlformats.org/officeDocument/2006/relationships/hyperlink" Target="https://studentprivacy.ed.gov/sites/default/files/resource_document/file/FERPA%20and%20Coronavirus%20Frequently%20Asked%20Questions.pdf" TargetMode="External"/><Relationship Id="rId7" Type="http://schemas.openxmlformats.org/officeDocument/2006/relationships/hyperlink" Target="https://www.rcfp.org/open-government-sections/m-hospital-reports/" TargetMode="External"/><Relationship Id="rId12" Type="http://schemas.openxmlformats.org/officeDocument/2006/relationships/hyperlink" Target="https://www.rcfp.org/open-government-sections/b-administrative-enforcement-records-e-g-worker-safety-and-health-inspections-or-accident-investigations/" TargetMode="External"/><Relationship Id="rId17" Type="http://schemas.openxmlformats.org/officeDocument/2006/relationships/hyperlink" Target="https://www.hhs.gov/hipaa/for-professionals/privacy/laws-regulations/index.html" TargetMode="External"/><Relationship Id="rId25" Type="http://schemas.openxmlformats.org/officeDocument/2006/relationships/hyperlink" Target="https://www.hhs.gov/hipaa/for-professionals/privacy/guidance/research/index.html" TargetMode="External"/><Relationship Id="rId33" Type="http://schemas.openxmlformats.org/officeDocument/2006/relationships/hyperlink" Target="https://studentprivacy.ed.gov/sites/default/files/resource_document/file/2019%20HIPAA%20FERPA%20Joint%20Guidance%20508.pdf" TargetMode="External"/><Relationship Id="rId38" Type="http://schemas.openxmlformats.org/officeDocument/2006/relationships/hyperlink" Target="https://studentprivacy.ed.gov/sites/default/files/resource_document/file/2019%20HIPAA%20FERPA%20Joint%20Guidance%20508.pdf" TargetMode="External"/><Relationship Id="rId46" Type="http://schemas.openxmlformats.org/officeDocument/2006/relationships/hyperlink" Target="https://studentprivacy.ed.gov/sites/default/files/resource_document/file/FERPA%20and%20Coronavirus%20Frequently%20Asked%20Questions.pdf" TargetMode="External"/><Relationship Id="rId2" Type="http://schemas.openxmlformats.org/officeDocument/2006/relationships/hyperlink" Target="https://dx.doi.org/10.1177%2F003335491112600317" TargetMode="External"/><Relationship Id="rId16" Type="http://schemas.openxmlformats.org/officeDocument/2006/relationships/hyperlink" Target="https://cdt.org/insights/existing-federal-privacy-laws/" TargetMode="External"/><Relationship Id="rId20" Type="http://schemas.openxmlformats.org/officeDocument/2006/relationships/hyperlink" Target="https://www.hhs.gov/hipaa/for-professionals/faq/513/does-hipaa-apply-to-an-elementary-school/index.html" TargetMode="External"/><Relationship Id="rId29" Type="http://schemas.openxmlformats.org/officeDocument/2006/relationships/hyperlink" Target="https://www.hhs.gov/hipaa/for-professionals/privacy/laws-regulations/index.html" TargetMode="External"/><Relationship Id="rId41" Type="http://schemas.openxmlformats.org/officeDocument/2006/relationships/hyperlink" Target="https://studentprivacy.ed.gov/sites/default/files/resource_document/file/FERPA%20and%20Coronavirus%20Frequently%20Asked%20Questions.pdf" TargetMode="External"/><Relationship Id="rId1" Type="http://schemas.openxmlformats.org/officeDocument/2006/relationships/hyperlink" Target="https://dx.doi.org/10.1177%2F003335491112600317" TargetMode="External"/><Relationship Id="rId6" Type="http://schemas.openxmlformats.org/officeDocument/2006/relationships/hyperlink" Target="https://www.rcfp.org/open-government-sections/b-other-statutory-exclusions/" TargetMode="External"/><Relationship Id="rId11" Type="http://schemas.openxmlformats.org/officeDocument/2006/relationships/hyperlink" Target="https://www.rcfp.org/open-government-sections/b-administrative-enforcement-records-e-g-worker-safety-and-health-inspections-or-accident-investigations/" TargetMode="External"/><Relationship Id="rId24" Type="http://schemas.openxmlformats.org/officeDocument/2006/relationships/hyperlink" Target="https://www.hhs.gov/hipaa/for-professionals/privacy/laws-regulations/index.html" TargetMode="External"/><Relationship Id="rId32" Type="http://schemas.openxmlformats.org/officeDocument/2006/relationships/hyperlink" Target="https://studentprivacy.ed.gov/sites/default/files/resource_document/file/2019%20HIPAA%20FERPA%20Joint%20Guidance%20508.pdf" TargetMode="External"/><Relationship Id="rId37" Type="http://schemas.openxmlformats.org/officeDocument/2006/relationships/hyperlink" Target="https://studentprivacy.ed.gov/sites/default/files/resource_document/file/2019%20HIPAA%20FERPA%20Joint%20Guidance%20508.pdf" TargetMode="External"/><Relationship Id="rId40" Type="http://schemas.openxmlformats.org/officeDocument/2006/relationships/hyperlink" Target="http://www2.ed.gov/policy/gen/guid/fpco/pdf/ferpa-h1n1.pdf" TargetMode="External"/><Relationship Id="rId45" Type="http://schemas.openxmlformats.org/officeDocument/2006/relationships/hyperlink" Target="http://www2.ed.gov/policy/gen/guid/fpco/ferpa/library/baiseunmslc.html" TargetMode="External"/><Relationship Id="rId5" Type="http://schemas.openxmlformats.org/officeDocument/2006/relationships/hyperlink" Target="https://doi.org/10.2105/AJPH.2011.300206" TargetMode="External"/><Relationship Id="rId15" Type="http://schemas.openxmlformats.org/officeDocument/2006/relationships/hyperlink" Target="http://healthjournalism.org/secondarypage-details.php?id=965" TargetMode="External"/><Relationship Id="rId23" Type="http://schemas.openxmlformats.org/officeDocument/2006/relationships/hyperlink" Target="https://www.hhs.gov/hipaa/for-professionals/privacy/guidance/disclosures-treatment-payment-health-care-operations/index.html" TargetMode="External"/><Relationship Id="rId28" Type="http://schemas.openxmlformats.org/officeDocument/2006/relationships/hyperlink" Target="https://www.hhs.gov/hipaa/for-professionals/privacy/laws-regulations/index.html" TargetMode="External"/><Relationship Id="rId36" Type="http://schemas.openxmlformats.org/officeDocument/2006/relationships/hyperlink" Target="https://studentprivacy.ed.gov/sites/default/files/resource_document/file/2019%20HIPAA%20FERPA%20Joint%20Guidance%20508.pdf" TargetMode="External"/><Relationship Id="rId10" Type="http://schemas.openxmlformats.org/officeDocument/2006/relationships/hyperlink" Target="https://www.rcfp.org/open-government-sections/e-business-records-financial-data-trade-secrets/" TargetMode="External"/><Relationship Id="rId19" Type="http://schemas.openxmlformats.org/officeDocument/2006/relationships/hyperlink" Target="https://www.hhs.gov/hipaa/for-professionals/faq/513/does-hipaa-apply-to-an-elementary-school/index.html" TargetMode="External"/><Relationship Id="rId31" Type="http://schemas.openxmlformats.org/officeDocument/2006/relationships/hyperlink" Target="https://www2.ed.gov/policy/gen/guid/fpco/ferpa/index.html" TargetMode="External"/><Relationship Id="rId44" Type="http://schemas.openxmlformats.org/officeDocument/2006/relationships/hyperlink" Target="http://www2.ed.gov/policy/gen/guid/fpco/ferpa/library/baiseunmslc.html" TargetMode="External"/><Relationship Id="rId4" Type="http://schemas.openxmlformats.org/officeDocument/2006/relationships/hyperlink" Target="https://www.rcfp.org/open-government-sections/4-personally-identifying-information/" TargetMode="External"/><Relationship Id="rId9" Type="http://schemas.openxmlformats.org/officeDocument/2006/relationships/hyperlink" Target="https://cdr.lib.unc.edu/concern/parent/zk51vj062/file_sets/8049g647g" TargetMode="External"/><Relationship Id="rId14" Type="http://schemas.openxmlformats.org/officeDocument/2006/relationships/hyperlink" Target="https://www.rcfp.org/open-government-sections/l-homeland-security-and-anti-terrorism-measures/" TargetMode="External"/><Relationship Id="rId22" Type="http://schemas.openxmlformats.org/officeDocument/2006/relationships/hyperlink" Target="https://www.hhs.gov/hipaa/for-professionals/privacy/laws-regulations/index.html" TargetMode="External"/><Relationship Id="rId27" Type="http://schemas.openxmlformats.org/officeDocument/2006/relationships/hyperlink" Target="https://www.hhs.gov/hipaa/for-professionals/privacy/laws-regulations/index.html" TargetMode="External"/><Relationship Id="rId30" Type="http://schemas.openxmlformats.org/officeDocument/2006/relationships/hyperlink" Target="https://www.hhs.gov/hipaa/for-professionals/privacy/laws-regulations/index.html" TargetMode="External"/><Relationship Id="rId35" Type="http://schemas.openxmlformats.org/officeDocument/2006/relationships/hyperlink" Target="https://studentprivacy.ed.gov/sites/default/files/resource_document/file/2019%20HIPAA%20FERPA%20Joint%20Guidance%20508.pdf" TargetMode="External"/><Relationship Id="rId43" Type="http://schemas.openxmlformats.org/officeDocument/2006/relationships/hyperlink" Target="https://studentprivacy.ed.gov/sites/default/files/resource_document/file/FERPA%20and%20Coronavirus%20Frequently%20Asked%20Questions.pdf" TargetMode="External"/><Relationship Id="rId48" Type="http://schemas.openxmlformats.org/officeDocument/2006/relationships/hyperlink" Target="https://studentprivacy.ed.gov/file-a-compla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19</Pages>
  <Words>4558</Words>
  <Characters>25985</Characters>
  <Application>Microsoft Office Word</Application>
  <DocSecurity>0</DocSecurity>
  <Lines>216</Lines>
  <Paragraphs>60</Paragraphs>
  <ScaleCrop>false</ScaleCrop>
  <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254</cp:revision>
  <dcterms:created xsi:type="dcterms:W3CDTF">2020-08-17T21:58:00Z</dcterms:created>
  <dcterms:modified xsi:type="dcterms:W3CDTF">2020-08-18T20:25:00Z</dcterms:modified>
</cp:coreProperties>
</file>