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291545" w14:textId="77777777" w:rsidR="00912E39" w:rsidRDefault="00912E39" w:rsidP="004F57C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2DDAF4E" w14:textId="7A73F273" w:rsidR="00B75B7F" w:rsidRPr="009C1E39" w:rsidRDefault="00163F15" w:rsidP="004F57C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C1E39">
        <w:rPr>
          <w:rFonts w:ascii="Arial" w:hAnsi="Arial" w:cs="Arial"/>
          <w:b/>
          <w:bCs/>
          <w:sz w:val="24"/>
          <w:szCs w:val="24"/>
        </w:rPr>
        <w:t>Overview of Legionnaires’ Disease Risk Communication Modules</w:t>
      </w:r>
    </w:p>
    <w:p w14:paraId="458FA73E" w14:textId="330FC207" w:rsidR="00163F15" w:rsidRDefault="00163F15">
      <w:pPr>
        <w:rPr>
          <w:rFonts w:asciiTheme="majorHAnsi" w:hAnsiTheme="majorHAnsi" w:cstheme="majorHAnsi"/>
        </w:rPr>
      </w:pPr>
    </w:p>
    <w:p w14:paraId="7E934B79" w14:textId="7A8C56C4" w:rsidR="00163F15" w:rsidRDefault="00163F15">
      <w:pPr>
        <w:rPr>
          <w:rFonts w:asciiTheme="majorHAnsi" w:hAnsiTheme="majorHAnsi" w:cstheme="majorHAnsi"/>
        </w:rPr>
      </w:pPr>
    </w:p>
    <w:p w14:paraId="25E8CA22" w14:textId="77777777" w:rsidR="00054661" w:rsidRDefault="00F72A4A" w:rsidP="00912E39">
      <w:pPr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 foregoing chapters provided foundational information about Legionnaires’ disease (LD), identified key legal considerations</w:t>
      </w:r>
      <w:r w:rsidR="00E85C71">
        <w:rPr>
          <w:rFonts w:asciiTheme="majorHAnsi" w:hAnsiTheme="majorHAnsi" w:cstheme="majorHAnsi"/>
        </w:rPr>
        <w:t>, and</w:t>
      </w:r>
      <w:r>
        <w:rPr>
          <w:rFonts w:asciiTheme="majorHAnsi" w:hAnsiTheme="majorHAnsi" w:cstheme="majorHAnsi"/>
        </w:rPr>
        <w:t xml:space="preserve"> discuss</w:t>
      </w:r>
      <w:r w:rsidR="00E85C71">
        <w:rPr>
          <w:rFonts w:asciiTheme="majorHAnsi" w:hAnsiTheme="majorHAnsi" w:cstheme="majorHAnsi"/>
        </w:rPr>
        <w:t>ed</w:t>
      </w:r>
      <w:r>
        <w:rPr>
          <w:rFonts w:asciiTheme="majorHAnsi" w:hAnsiTheme="majorHAnsi" w:cstheme="majorHAnsi"/>
        </w:rPr>
        <w:t xml:space="preserve"> important considerations when communicating about LD with stakeholders and the public. The information in these chapters applies to all settings in which LD can occur. </w:t>
      </w:r>
    </w:p>
    <w:p w14:paraId="6D7CBADD" w14:textId="77777777" w:rsidR="00054661" w:rsidRDefault="00054661" w:rsidP="00912E39">
      <w:pPr>
        <w:spacing w:line="360" w:lineRule="auto"/>
        <w:rPr>
          <w:rFonts w:asciiTheme="majorHAnsi" w:hAnsiTheme="majorHAnsi" w:cstheme="majorHAnsi"/>
        </w:rPr>
      </w:pPr>
    </w:p>
    <w:p w14:paraId="05B46F90" w14:textId="6E9F39E3" w:rsidR="00F72A4A" w:rsidRDefault="00F72A4A" w:rsidP="00F72A4A">
      <w:pPr>
        <w:spacing w:after="80"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 toolkit next provides a series of setting-specific modules that address LD-related information and messaging targeted for that setting. The setting-specific modules are:</w:t>
      </w:r>
    </w:p>
    <w:p w14:paraId="762888F4" w14:textId="77777777" w:rsidR="00F72A4A" w:rsidRPr="005D3A69" w:rsidRDefault="00F72A4A" w:rsidP="00F72A4A">
      <w:pPr>
        <w:pStyle w:val="ListParagraph"/>
        <w:numPr>
          <w:ilvl w:val="0"/>
          <w:numId w:val="1"/>
        </w:numPr>
        <w:spacing w:after="80" w:line="360" w:lineRule="auto"/>
        <w:rPr>
          <w:rFonts w:asciiTheme="majorHAnsi" w:hAnsiTheme="majorHAnsi" w:cstheme="majorHAnsi"/>
        </w:rPr>
      </w:pPr>
      <w:r w:rsidRPr="005D3A69">
        <w:rPr>
          <w:rFonts w:asciiTheme="majorHAnsi" w:hAnsiTheme="majorHAnsi" w:cstheme="majorHAnsi"/>
        </w:rPr>
        <w:t>Healthcare Facilities</w:t>
      </w:r>
    </w:p>
    <w:p w14:paraId="0C1AE7D6" w14:textId="77777777" w:rsidR="00F72A4A" w:rsidRPr="005D3A69" w:rsidRDefault="00F72A4A" w:rsidP="00F72A4A">
      <w:pPr>
        <w:pStyle w:val="ListParagraph"/>
        <w:numPr>
          <w:ilvl w:val="0"/>
          <w:numId w:val="1"/>
        </w:numPr>
        <w:spacing w:after="80" w:line="360" w:lineRule="auto"/>
        <w:rPr>
          <w:rFonts w:asciiTheme="majorHAnsi" w:hAnsiTheme="majorHAnsi" w:cstheme="majorHAnsi"/>
        </w:rPr>
      </w:pPr>
      <w:r w:rsidRPr="005D3A69">
        <w:rPr>
          <w:rFonts w:asciiTheme="majorHAnsi" w:hAnsiTheme="majorHAnsi" w:cstheme="majorHAnsi"/>
        </w:rPr>
        <w:t xml:space="preserve">Congregate Residential </w:t>
      </w:r>
      <w:r>
        <w:rPr>
          <w:rFonts w:asciiTheme="majorHAnsi" w:hAnsiTheme="majorHAnsi" w:cstheme="majorHAnsi"/>
        </w:rPr>
        <w:t>Facilities</w:t>
      </w:r>
    </w:p>
    <w:p w14:paraId="7F3CC57E" w14:textId="77777777" w:rsidR="00F72A4A" w:rsidRPr="005D3A69" w:rsidRDefault="00F72A4A" w:rsidP="00F72A4A">
      <w:pPr>
        <w:pStyle w:val="ListParagraph"/>
        <w:numPr>
          <w:ilvl w:val="0"/>
          <w:numId w:val="1"/>
        </w:numPr>
        <w:spacing w:after="80" w:line="360" w:lineRule="auto"/>
        <w:rPr>
          <w:rFonts w:asciiTheme="majorHAnsi" w:hAnsiTheme="majorHAnsi" w:cstheme="majorHAnsi"/>
        </w:rPr>
      </w:pPr>
      <w:r w:rsidRPr="005D3A69">
        <w:rPr>
          <w:rFonts w:asciiTheme="majorHAnsi" w:hAnsiTheme="majorHAnsi" w:cstheme="majorHAnsi"/>
        </w:rPr>
        <w:t>Hotels and Hospitality</w:t>
      </w:r>
      <w:r>
        <w:rPr>
          <w:rFonts w:asciiTheme="majorHAnsi" w:hAnsiTheme="majorHAnsi" w:cstheme="majorHAnsi"/>
        </w:rPr>
        <w:t xml:space="preserve"> Facilities</w:t>
      </w:r>
    </w:p>
    <w:p w14:paraId="59718149" w14:textId="77777777" w:rsidR="00F72A4A" w:rsidRPr="005D3A69" w:rsidRDefault="00F72A4A" w:rsidP="00F72A4A">
      <w:pPr>
        <w:pStyle w:val="ListParagraph"/>
        <w:numPr>
          <w:ilvl w:val="0"/>
          <w:numId w:val="1"/>
        </w:numPr>
        <w:spacing w:after="80" w:line="360" w:lineRule="auto"/>
        <w:rPr>
          <w:rFonts w:asciiTheme="majorHAnsi" w:hAnsiTheme="majorHAnsi" w:cstheme="majorHAnsi"/>
        </w:rPr>
      </w:pPr>
      <w:r w:rsidRPr="005D3A69">
        <w:rPr>
          <w:rFonts w:asciiTheme="majorHAnsi" w:hAnsiTheme="majorHAnsi" w:cstheme="majorHAnsi"/>
        </w:rPr>
        <w:t>Community Settings</w:t>
      </w:r>
    </w:p>
    <w:p w14:paraId="7279B9F0" w14:textId="77777777" w:rsidR="00F72A4A" w:rsidRPr="005D3A69" w:rsidRDefault="00F72A4A" w:rsidP="00F72A4A">
      <w:pPr>
        <w:pStyle w:val="ListParagraph"/>
        <w:numPr>
          <w:ilvl w:val="0"/>
          <w:numId w:val="1"/>
        </w:numPr>
        <w:spacing w:after="80" w:line="360" w:lineRule="auto"/>
        <w:rPr>
          <w:rFonts w:asciiTheme="majorHAnsi" w:hAnsiTheme="majorHAnsi" w:cstheme="majorHAnsi"/>
        </w:rPr>
      </w:pPr>
      <w:r w:rsidRPr="005D3A69">
        <w:rPr>
          <w:rFonts w:asciiTheme="majorHAnsi" w:hAnsiTheme="majorHAnsi" w:cstheme="majorHAnsi"/>
        </w:rPr>
        <w:t>Recreational Settings</w:t>
      </w:r>
    </w:p>
    <w:p w14:paraId="42DF2605" w14:textId="77777777" w:rsidR="00F72A4A" w:rsidRPr="005D3A69" w:rsidRDefault="00F72A4A" w:rsidP="00F72A4A">
      <w:pPr>
        <w:pStyle w:val="ListParagraph"/>
        <w:numPr>
          <w:ilvl w:val="0"/>
          <w:numId w:val="1"/>
        </w:numPr>
        <w:spacing w:after="80" w:line="360" w:lineRule="auto"/>
        <w:rPr>
          <w:rFonts w:asciiTheme="majorHAnsi" w:hAnsiTheme="majorHAnsi" w:cstheme="majorHAnsi"/>
        </w:rPr>
      </w:pPr>
      <w:r w:rsidRPr="005D3A69">
        <w:rPr>
          <w:rFonts w:asciiTheme="majorHAnsi" w:hAnsiTheme="majorHAnsi" w:cstheme="majorHAnsi"/>
        </w:rPr>
        <w:t>Occupational Settings</w:t>
      </w:r>
    </w:p>
    <w:p w14:paraId="2FD8696F" w14:textId="77777777" w:rsidR="00A9205B" w:rsidRDefault="00A9205B" w:rsidP="00A9205B">
      <w:pPr>
        <w:spacing w:line="360" w:lineRule="auto"/>
        <w:rPr>
          <w:rFonts w:asciiTheme="majorHAnsi" w:hAnsiTheme="majorHAnsi" w:cstheme="majorHAnsi"/>
        </w:rPr>
      </w:pPr>
    </w:p>
    <w:p w14:paraId="2A142C67" w14:textId="7852B1C5" w:rsidR="00163F15" w:rsidRDefault="00F72A4A" w:rsidP="00A9205B">
      <w:pPr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Each module also provides templates and/or samples for key communication items such as n</w:t>
      </w:r>
      <w:r w:rsidRPr="00CA5F91">
        <w:rPr>
          <w:rFonts w:asciiTheme="majorHAnsi" w:hAnsiTheme="majorHAnsi" w:cstheme="majorHAnsi"/>
        </w:rPr>
        <w:t xml:space="preserve">otification letters, health officer orders, press releases, </w:t>
      </w:r>
      <w:r>
        <w:rPr>
          <w:rFonts w:asciiTheme="majorHAnsi" w:hAnsiTheme="majorHAnsi" w:cstheme="majorHAnsi"/>
        </w:rPr>
        <w:t xml:space="preserve">and </w:t>
      </w:r>
      <w:r w:rsidRPr="00CA5F91">
        <w:rPr>
          <w:rFonts w:asciiTheme="majorHAnsi" w:hAnsiTheme="majorHAnsi" w:cstheme="majorHAnsi"/>
        </w:rPr>
        <w:t>health department advisories</w:t>
      </w:r>
      <w:r>
        <w:rPr>
          <w:rFonts w:asciiTheme="majorHAnsi" w:hAnsiTheme="majorHAnsi" w:cstheme="majorHAnsi"/>
        </w:rPr>
        <w:t>. The modules also identify practice tips and other resources to help STLT health agency staff communicate the risks of LD in these specific settings and with target audiences.</w:t>
      </w:r>
    </w:p>
    <w:p w14:paraId="177AC403" w14:textId="74511B12" w:rsidR="00AA3EE4" w:rsidRDefault="00AA3EE4" w:rsidP="00A9205B">
      <w:pPr>
        <w:spacing w:line="360" w:lineRule="auto"/>
        <w:rPr>
          <w:rFonts w:asciiTheme="majorHAnsi" w:hAnsiTheme="majorHAnsi" w:cstheme="majorHAnsi"/>
        </w:rPr>
      </w:pPr>
    </w:p>
    <w:p w14:paraId="41038CF7" w14:textId="54514554" w:rsidR="00A30BB0" w:rsidRPr="00A30BB0" w:rsidRDefault="00A30BB0" w:rsidP="00A30BB0">
      <w:pPr>
        <w:spacing w:after="120" w:line="360" w:lineRule="auto"/>
        <w:rPr>
          <w:rFonts w:ascii="Arial" w:hAnsi="Arial" w:cs="Arial"/>
          <w:b/>
          <w:bCs/>
        </w:rPr>
      </w:pPr>
      <w:r w:rsidRPr="00A30BB0">
        <w:rPr>
          <w:rFonts w:ascii="Arial" w:hAnsi="Arial" w:cs="Arial"/>
          <w:b/>
          <w:bCs/>
        </w:rPr>
        <w:t xml:space="preserve">Variables Affecting LD </w:t>
      </w:r>
      <w:r w:rsidR="00EF55E7">
        <w:rPr>
          <w:rFonts w:ascii="Arial" w:hAnsi="Arial" w:cs="Arial"/>
          <w:b/>
          <w:bCs/>
        </w:rPr>
        <w:t>Outbreaks</w:t>
      </w:r>
    </w:p>
    <w:p w14:paraId="30B0BDD5" w14:textId="5661498D" w:rsidR="00AA3EE4" w:rsidRDefault="00AA3EE4" w:rsidP="00A9205B">
      <w:pPr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Although the goal of the modules is to provide </w:t>
      </w:r>
      <w:r w:rsidR="00E206D3">
        <w:rPr>
          <w:rFonts w:asciiTheme="majorHAnsi" w:hAnsiTheme="majorHAnsi" w:cstheme="majorHAnsi"/>
        </w:rPr>
        <w:t>STLT health agency staff with clear guidance about communicating LD risks in a specific setting</w:t>
      </w:r>
      <w:r w:rsidR="00FB2208">
        <w:rPr>
          <w:rFonts w:asciiTheme="majorHAnsi" w:hAnsiTheme="majorHAnsi" w:cstheme="majorHAnsi"/>
        </w:rPr>
        <w:t xml:space="preserve"> and tools to use in those efforts, it is important to </w:t>
      </w:r>
      <w:r w:rsidR="00B23E1B">
        <w:rPr>
          <w:rFonts w:asciiTheme="majorHAnsi" w:hAnsiTheme="majorHAnsi" w:cstheme="majorHAnsi"/>
        </w:rPr>
        <w:t xml:space="preserve">note that there are many factors that may affect a jurisdiction’s investigation, response, </w:t>
      </w:r>
      <w:r w:rsidR="00E36982">
        <w:rPr>
          <w:rFonts w:asciiTheme="majorHAnsi" w:hAnsiTheme="majorHAnsi" w:cstheme="majorHAnsi"/>
        </w:rPr>
        <w:t>and communications about a specific LD outbreak.</w:t>
      </w:r>
      <w:r w:rsidR="007C65E2">
        <w:rPr>
          <w:rFonts w:asciiTheme="majorHAnsi" w:hAnsiTheme="majorHAnsi" w:cstheme="majorHAnsi"/>
        </w:rPr>
        <w:t xml:space="preserve"> The following factors are just some of the variables that can </w:t>
      </w:r>
      <w:r w:rsidR="00F135B9">
        <w:rPr>
          <w:rFonts w:asciiTheme="majorHAnsi" w:hAnsiTheme="majorHAnsi" w:cstheme="majorHAnsi"/>
        </w:rPr>
        <w:t>influence the course of an LD outbreak</w:t>
      </w:r>
      <w:r w:rsidR="002D13F1">
        <w:rPr>
          <w:rFonts w:asciiTheme="majorHAnsi" w:hAnsiTheme="majorHAnsi" w:cstheme="majorHAnsi"/>
        </w:rPr>
        <w:t>—even within the same types of settings—</w:t>
      </w:r>
      <w:r w:rsidR="00F135B9">
        <w:rPr>
          <w:rFonts w:asciiTheme="majorHAnsi" w:hAnsiTheme="majorHAnsi" w:cstheme="majorHAnsi"/>
        </w:rPr>
        <w:t>and the response to it</w:t>
      </w:r>
      <w:r w:rsidR="0020193F">
        <w:rPr>
          <w:rFonts w:asciiTheme="majorHAnsi" w:hAnsiTheme="majorHAnsi" w:cstheme="majorHAnsi"/>
        </w:rPr>
        <w:t>:</w:t>
      </w:r>
    </w:p>
    <w:p w14:paraId="45E98605" w14:textId="659C0488" w:rsidR="002D13F1" w:rsidRPr="00090DDC" w:rsidRDefault="000B6A8A" w:rsidP="007E23CD">
      <w:pPr>
        <w:pStyle w:val="ListParagraph"/>
        <w:numPr>
          <w:ilvl w:val="0"/>
          <w:numId w:val="2"/>
        </w:numPr>
        <w:spacing w:line="360" w:lineRule="auto"/>
        <w:rPr>
          <w:rFonts w:asciiTheme="majorHAnsi" w:hAnsiTheme="majorHAnsi" w:cstheme="majorHAnsi"/>
        </w:rPr>
      </w:pPr>
      <w:r w:rsidRPr="00090DDC">
        <w:rPr>
          <w:rFonts w:asciiTheme="majorHAnsi" w:hAnsiTheme="majorHAnsi" w:cstheme="majorHAnsi"/>
        </w:rPr>
        <w:t xml:space="preserve">Potential for population </w:t>
      </w:r>
      <w:r w:rsidR="00C84231" w:rsidRPr="00090DDC">
        <w:rPr>
          <w:rFonts w:asciiTheme="majorHAnsi" w:hAnsiTheme="majorHAnsi" w:cstheme="majorHAnsi"/>
        </w:rPr>
        <w:t>with increased risk for LD</w:t>
      </w:r>
      <w:r w:rsidR="00DD5FD8" w:rsidRPr="00090DDC">
        <w:rPr>
          <w:rFonts w:asciiTheme="majorHAnsi" w:hAnsiTheme="majorHAnsi" w:cstheme="majorHAnsi"/>
        </w:rPr>
        <w:t xml:space="preserve"> in the setting</w:t>
      </w:r>
    </w:p>
    <w:p w14:paraId="7BD70678" w14:textId="6DABD343" w:rsidR="00C84231" w:rsidRPr="00090DDC" w:rsidRDefault="00C84231" w:rsidP="007E23CD">
      <w:pPr>
        <w:pStyle w:val="ListParagraph"/>
        <w:numPr>
          <w:ilvl w:val="0"/>
          <w:numId w:val="2"/>
        </w:numPr>
        <w:spacing w:line="360" w:lineRule="auto"/>
        <w:rPr>
          <w:rFonts w:asciiTheme="majorHAnsi" w:hAnsiTheme="majorHAnsi" w:cstheme="majorHAnsi"/>
        </w:rPr>
      </w:pPr>
      <w:r w:rsidRPr="00090DDC">
        <w:rPr>
          <w:rFonts w:asciiTheme="majorHAnsi" w:hAnsiTheme="majorHAnsi" w:cstheme="majorHAnsi"/>
        </w:rPr>
        <w:t>Overnight stay</w:t>
      </w:r>
      <w:r w:rsidR="000B7C3C" w:rsidRPr="00090DDC">
        <w:rPr>
          <w:rFonts w:asciiTheme="majorHAnsi" w:hAnsiTheme="majorHAnsi" w:cstheme="majorHAnsi"/>
        </w:rPr>
        <w:t xml:space="preserve"> </w:t>
      </w:r>
      <w:r w:rsidR="00DD5FD8" w:rsidRPr="00090DDC">
        <w:rPr>
          <w:rFonts w:asciiTheme="majorHAnsi" w:hAnsiTheme="majorHAnsi" w:cstheme="majorHAnsi"/>
        </w:rPr>
        <w:t xml:space="preserve">at the setting </w:t>
      </w:r>
      <w:r w:rsidR="000B7C3C" w:rsidRPr="00090DDC">
        <w:rPr>
          <w:rFonts w:asciiTheme="majorHAnsi" w:hAnsiTheme="majorHAnsi" w:cstheme="majorHAnsi"/>
        </w:rPr>
        <w:t>or not</w:t>
      </w:r>
    </w:p>
    <w:p w14:paraId="6129F15D" w14:textId="03A22E76" w:rsidR="00EE33FB" w:rsidRPr="00090DDC" w:rsidRDefault="00EE33FB" w:rsidP="007E23CD">
      <w:pPr>
        <w:pStyle w:val="ListParagraph"/>
        <w:numPr>
          <w:ilvl w:val="0"/>
          <w:numId w:val="2"/>
        </w:numPr>
        <w:spacing w:line="360" w:lineRule="auto"/>
        <w:rPr>
          <w:rFonts w:asciiTheme="majorHAnsi" w:hAnsiTheme="majorHAnsi" w:cstheme="majorHAnsi"/>
        </w:rPr>
      </w:pPr>
      <w:r w:rsidRPr="00090DDC">
        <w:rPr>
          <w:rFonts w:asciiTheme="majorHAnsi" w:hAnsiTheme="majorHAnsi" w:cstheme="majorHAnsi"/>
        </w:rPr>
        <w:t>Commercial setting</w:t>
      </w:r>
      <w:r w:rsidR="000B7C3C" w:rsidRPr="00090DDC">
        <w:rPr>
          <w:rFonts w:asciiTheme="majorHAnsi" w:hAnsiTheme="majorHAnsi" w:cstheme="majorHAnsi"/>
        </w:rPr>
        <w:t xml:space="preserve"> or non-commercial setting</w:t>
      </w:r>
    </w:p>
    <w:p w14:paraId="7FDD0BAD" w14:textId="73D4AD0B" w:rsidR="000B7C3C" w:rsidRPr="00090DDC" w:rsidRDefault="000B7C3C" w:rsidP="007E23CD">
      <w:pPr>
        <w:pStyle w:val="ListParagraph"/>
        <w:numPr>
          <w:ilvl w:val="0"/>
          <w:numId w:val="2"/>
        </w:numPr>
        <w:spacing w:line="360" w:lineRule="auto"/>
        <w:rPr>
          <w:rFonts w:asciiTheme="majorHAnsi" w:hAnsiTheme="majorHAnsi" w:cstheme="majorHAnsi"/>
        </w:rPr>
      </w:pPr>
      <w:r w:rsidRPr="00090DDC">
        <w:rPr>
          <w:rFonts w:asciiTheme="majorHAnsi" w:hAnsiTheme="majorHAnsi" w:cstheme="majorHAnsi"/>
        </w:rPr>
        <w:lastRenderedPageBreak/>
        <w:t xml:space="preserve">Length of </w:t>
      </w:r>
      <w:r w:rsidR="00DD5FD8" w:rsidRPr="00090DDC">
        <w:rPr>
          <w:rFonts w:asciiTheme="majorHAnsi" w:hAnsiTheme="majorHAnsi" w:cstheme="majorHAnsi"/>
        </w:rPr>
        <w:t>exposure in the setting</w:t>
      </w:r>
    </w:p>
    <w:p w14:paraId="40FF7B01" w14:textId="57572088" w:rsidR="00DD5FD8" w:rsidRPr="00090DDC" w:rsidRDefault="00DD5FD8" w:rsidP="007E23CD">
      <w:pPr>
        <w:pStyle w:val="ListParagraph"/>
        <w:numPr>
          <w:ilvl w:val="0"/>
          <w:numId w:val="2"/>
        </w:numPr>
        <w:spacing w:line="360" w:lineRule="auto"/>
        <w:rPr>
          <w:rFonts w:asciiTheme="majorHAnsi" w:hAnsiTheme="majorHAnsi" w:cstheme="majorHAnsi"/>
        </w:rPr>
      </w:pPr>
      <w:r w:rsidRPr="00090DDC">
        <w:rPr>
          <w:rFonts w:asciiTheme="majorHAnsi" w:hAnsiTheme="majorHAnsi" w:cstheme="majorHAnsi"/>
        </w:rPr>
        <w:t>Mixed/hybrid settings</w:t>
      </w:r>
    </w:p>
    <w:p w14:paraId="4487D3E7" w14:textId="7DAB9F6F" w:rsidR="0010597A" w:rsidRPr="00090DDC" w:rsidRDefault="0010597A" w:rsidP="0010597A">
      <w:pPr>
        <w:spacing w:line="360" w:lineRule="auto"/>
        <w:rPr>
          <w:rFonts w:asciiTheme="majorHAnsi" w:hAnsiTheme="majorHAnsi" w:cstheme="majorHAnsi"/>
        </w:rPr>
      </w:pPr>
    </w:p>
    <w:p w14:paraId="6C56C25A" w14:textId="0F6A0C88" w:rsidR="0010597A" w:rsidRPr="00090DDC" w:rsidRDefault="0010597A" w:rsidP="0010597A">
      <w:pPr>
        <w:spacing w:line="360" w:lineRule="auto"/>
        <w:rPr>
          <w:rFonts w:asciiTheme="majorHAnsi" w:hAnsiTheme="majorHAnsi" w:cstheme="majorHAnsi"/>
        </w:rPr>
      </w:pPr>
      <w:r w:rsidRPr="00090DDC">
        <w:rPr>
          <w:rFonts w:asciiTheme="majorHAnsi" w:hAnsiTheme="majorHAnsi" w:cstheme="majorHAnsi"/>
        </w:rPr>
        <w:t xml:space="preserve">Above all, </w:t>
      </w:r>
      <w:r w:rsidR="00ED2722" w:rsidRPr="00090DDC">
        <w:rPr>
          <w:rFonts w:asciiTheme="majorHAnsi" w:hAnsiTheme="majorHAnsi" w:cstheme="majorHAnsi"/>
        </w:rPr>
        <w:t xml:space="preserve">these modules provide a starting point from which to tailor </w:t>
      </w:r>
      <w:r w:rsidR="005C16E7" w:rsidRPr="00090DDC">
        <w:rPr>
          <w:rFonts w:asciiTheme="majorHAnsi" w:hAnsiTheme="majorHAnsi" w:cstheme="majorHAnsi"/>
        </w:rPr>
        <w:t>risk communication about LD outbreaks in the identified setting. E</w:t>
      </w:r>
      <w:r w:rsidRPr="00090DDC">
        <w:rPr>
          <w:rFonts w:asciiTheme="majorHAnsi" w:hAnsiTheme="majorHAnsi" w:cstheme="majorHAnsi"/>
        </w:rPr>
        <w:t>ach jurisdiction must make its own determination</w:t>
      </w:r>
      <w:r w:rsidR="00BD0F9D" w:rsidRPr="00090DDC">
        <w:rPr>
          <w:rFonts w:asciiTheme="majorHAnsi" w:hAnsiTheme="majorHAnsi" w:cstheme="majorHAnsi"/>
        </w:rPr>
        <w:t xml:space="preserve"> about the nature and scope of investigation</w:t>
      </w:r>
      <w:r w:rsidR="00FC777A" w:rsidRPr="00090DDC">
        <w:rPr>
          <w:rFonts w:asciiTheme="majorHAnsi" w:hAnsiTheme="majorHAnsi" w:cstheme="majorHAnsi"/>
        </w:rPr>
        <w:t xml:space="preserve">, </w:t>
      </w:r>
      <w:r w:rsidR="00D53BF2" w:rsidRPr="00090DDC">
        <w:rPr>
          <w:rFonts w:asciiTheme="majorHAnsi" w:hAnsiTheme="majorHAnsi" w:cstheme="majorHAnsi"/>
        </w:rPr>
        <w:t>response</w:t>
      </w:r>
      <w:r w:rsidR="00FC777A" w:rsidRPr="00090DDC">
        <w:rPr>
          <w:rFonts w:asciiTheme="majorHAnsi" w:hAnsiTheme="majorHAnsi" w:cstheme="majorHAnsi"/>
        </w:rPr>
        <w:t xml:space="preserve">, and the messages and </w:t>
      </w:r>
      <w:r w:rsidR="00ED2722" w:rsidRPr="00090DDC">
        <w:rPr>
          <w:rFonts w:asciiTheme="majorHAnsi" w:hAnsiTheme="majorHAnsi" w:cstheme="majorHAnsi"/>
        </w:rPr>
        <w:t xml:space="preserve">targets for </w:t>
      </w:r>
      <w:r w:rsidR="00D53BF2" w:rsidRPr="00090DDC">
        <w:rPr>
          <w:rFonts w:asciiTheme="majorHAnsi" w:hAnsiTheme="majorHAnsi" w:cstheme="majorHAnsi"/>
        </w:rPr>
        <w:t>communicate</w:t>
      </w:r>
      <w:r w:rsidR="00ED2722" w:rsidRPr="00090DDC">
        <w:rPr>
          <w:rFonts w:asciiTheme="majorHAnsi" w:hAnsiTheme="majorHAnsi" w:cstheme="majorHAnsi"/>
        </w:rPr>
        <w:t>s</w:t>
      </w:r>
      <w:r w:rsidR="00D53BF2" w:rsidRPr="00090DDC">
        <w:rPr>
          <w:rFonts w:asciiTheme="majorHAnsi" w:hAnsiTheme="majorHAnsi" w:cstheme="majorHAnsi"/>
        </w:rPr>
        <w:t xml:space="preserve"> it given</w:t>
      </w:r>
      <w:r w:rsidR="00ED2722" w:rsidRPr="00090DDC">
        <w:rPr>
          <w:rFonts w:asciiTheme="majorHAnsi" w:hAnsiTheme="majorHAnsi" w:cstheme="majorHAnsi"/>
        </w:rPr>
        <w:t xml:space="preserve"> the specifics of each LD outbreak and the jurisdiction’s laws, regulations, and policies. </w:t>
      </w:r>
    </w:p>
    <w:sectPr w:rsidR="0010597A" w:rsidRPr="00090DD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F17BC4" w14:textId="77777777" w:rsidR="00B24951" w:rsidRDefault="00B24951" w:rsidP="00BD2206">
      <w:r>
        <w:separator/>
      </w:r>
    </w:p>
  </w:endnote>
  <w:endnote w:type="continuationSeparator" w:id="0">
    <w:p w14:paraId="6C4E6599" w14:textId="77777777" w:rsidR="00B24951" w:rsidRDefault="00B24951" w:rsidP="00BD2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01214051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</w:rPr>
    </w:sdtEndPr>
    <w:sdtContent>
      <w:p w14:paraId="0216436A" w14:textId="4A832618" w:rsidR="00BD2206" w:rsidRPr="00BD2206" w:rsidRDefault="00BD2206" w:rsidP="00BD2206">
        <w:pPr>
          <w:pStyle w:val="Footer"/>
          <w:jc w:val="center"/>
          <w:rPr>
            <w:rFonts w:asciiTheme="majorHAnsi" w:hAnsiTheme="majorHAnsi" w:cstheme="majorHAnsi"/>
          </w:rPr>
        </w:pPr>
        <w:r w:rsidRPr="00BD2206">
          <w:rPr>
            <w:rFonts w:asciiTheme="majorHAnsi" w:hAnsiTheme="majorHAnsi" w:cstheme="majorHAnsi"/>
          </w:rPr>
          <w:fldChar w:fldCharType="begin"/>
        </w:r>
        <w:r w:rsidRPr="00BD2206">
          <w:rPr>
            <w:rFonts w:asciiTheme="majorHAnsi" w:hAnsiTheme="majorHAnsi" w:cstheme="majorHAnsi"/>
          </w:rPr>
          <w:instrText xml:space="preserve"> PAGE   \* MERGEFORMAT </w:instrText>
        </w:r>
        <w:r w:rsidRPr="00BD2206">
          <w:rPr>
            <w:rFonts w:asciiTheme="majorHAnsi" w:hAnsiTheme="majorHAnsi" w:cstheme="majorHAnsi"/>
          </w:rPr>
          <w:fldChar w:fldCharType="separate"/>
        </w:r>
        <w:r w:rsidRPr="00BD2206">
          <w:rPr>
            <w:rFonts w:asciiTheme="majorHAnsi" w:hAnsiTheme="majorHAnsi" w:cstheme="majorHAnsi"/>
            <w:noProof/>
          </w:rPr>
          <w:t>2</w:t>
        </w:r>
        <w:r w:rsidRPr="00BD2206">
          <w:rPr>
            <w:rFonts w:asciiTheme="majorHAnsi" w:hAnsiTheme="majorHAnsi" w:cstheme="majorHAnsi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783AEC" w14:textId="77777777" w:rsidR="00B24951" w:rsidRDefault="00B24951" w:rsidP="00BD2206">
      <w:r>
        <w:separator/>
      </w:r>
    </w:p>
  </w:footnote>
  <w:footnote w:type="continuationSeparator" w:id="0">
    <w:p w14:paraId="45F0DCBB" w14:textId="77777777" w:rsidR="00B24951" w:rsidRDefault="00B24951" w:rsidP="00BD2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25B93" w14:textId="6DE8929F" w:rsidR="00BD2206" w:rsidRDefault="00BD2206" w:rsidP="00BD2206">
    <w:pPr>
      <w:pStyle w:val="Header"/>
      <w:jc w:val="center"/>
    </w:pPr>
    <w:r>
      <w:rPr>
        <w:highlight w:val="yellow"/>
      </w:rPr>
      <w:t xml:space="preserve">DRAFT 1 – </w:t>
    </w:r>
    <w:r w:rsidRPr="00AF4E52">
      <w:rPr>
        <w:highlight w:val="yellow"/>
      </w:rPr>
      <w:t>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3E7E66"/>
    <w:multiLevelType w:val="hybridMultilevel"/>
    <w:tmpl w:val="A8984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10EAF"/>
    <w:multiLevelType w:val="hybridMultilevel"/>
    <w:tmpl w:val="E0A823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BCC"/>
    <w:rsid w:val="00054661"/>
    <w:rsid w:val="00090DDC"/>
    <w:rsid w:val="000B6A8A"/>
    <w:rsid w:val="000B7C3C"/>
    <w:rsid w:val="000F4B38"/>
    <w:rsid w:val="0010597A"/>
    <w:rsid w:val="0014179A"/>
    <w:rsid w:val="00151278"/>
    <w:rsid w:val="00163BCC"/>
    <w:rsid w:val="00163F15"/>
    <w:rsid w:val="0020193F"/>
    <w:rsid w:val="00243315"/>
    <w:rsid w:val="002B665E"/>
    <w:rsid w:val="002D13F1"/>
    <w:rsid w:val="0032531C"/>
    <w:rsid w:val="00476446"/>
    <w:rsid w:val="004F57C0"/>
    <w:rsid w:val="0054247E"/>
    <w:rsid w:val="005C16E7"/>
    <w:rsid w:val="007C65E2"/>
    <w:rsid w:val="007E23CD"/>
    <w:rsid w:val="00821307"/>
    <w:rsid w:val="008F6FA6"/>
    <w:rsid w:val="00912E39"/>
    <w:rsid w:val="00967E95"/>
    <w:rsid w:val="009C1E39"/>
    <w:rsid w:val="00A30BB0"/>
    <w:rsid w:val="00A9205B"/>
    <w:rsid w:val="00AA3EE4"/>
    <w:rsid w:val="00B23E1B"/>
    <w:rsid w:val="00B24951"/>
    <w:rsid w:val="00B75B7F"/>
    <w:rsid w:val="00BD0F9D"/>
    <w:rsid w:val="00BD2206"/>
    <w:rsid w:val="00C007B4"/>
    <w:rsid w:val="00C76A45"/>
    <w:rsid w:val="00C84231"/>
    <w:rsid w:val="00D53BF2"/>
    <w:rsid w:val="00D766FB"/>
    <w:rsid w:val="00DD5FD8"/>
    <w:rsid w:val="00E206D3"/>
    <w:rsid w:val="00E36982"/>
    <w:rsid w:val="00E650A4"/>
    <w:rsid w:val="00E85C71"/>
    <w:rsid w:val="00ED2722"/>
    <w:rsid w:val="00EE33FB"/>
    <w:rsid w:val="00EF55E7"/>
    <w:rsid w:val="00F135B9"/>
    <w:rsid w:val="00F72A4A"/>
    <w:rsid w:val="00FB2208"/>
    <w:rsid w:val="00FC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9CD92"/>
  <w15:chartTrackingRefBased/>
  <w15:docId w15:val="{7C9A4204-808C-4EED-AE16-C285E08C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ascii="Calibri" w:eastAsia="Times New Roman" w:hAnsi="Calibri" w:cs="Calibri"/>
      <w:szCs w:val="20"/>
    </w:rPr>
  </w:style>
  <w:style w:type="paragraph" w:styleId="ListParagraph">
    <w:name w:val="List Paragraph"/>
    <w:basedOn w:val="Normal"/>
    <w:uiPriority w:val="34"/>
    <w:qFormat/>
    <w:rsid w:val="00F72A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22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206"/>
  </w:style>
  <w:style w:type="paragraph" w:styleId="Footer">
    <w:name w:val="footer"/>
    <w:basedOn w:val="Normal"/>
    <w:link w:val="FooterChar"/>
    <w:uiPriority w:val="99"/>
    <w:unhideWhenUsed/>
    <w:rsid w:val="00BD22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43</cp:revision>
  <dcterms:created xsi:type="dcterms:W3CDTF">2020-08-18T20:29:00Z</dcterms:created>
  <dcterms:modified xsi:type="dcterms:W3CDTF">2020-08-26T22:13:00Z</dcterms:modified>
</cp:coreProperties>
</file>