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177951" w14:textId="4A3B1714" w:rsidR="005472A8" w:rsidRDefault="005472A8" w:rsidP="005472A8">
      <w:pPr>
        <w:spacing w:after="120"/>
        <w:jc w:val="center"/>
        <w:rPr>
          <w:rFonts w:ascii="Arial" w:hAnsi="Arial" w:cs="Arial"/>
          <w:b/>
          <w:bCs/>
          <w:sz w:val="24"/>
          <w:szCs w:val="24"/>
        </w:rPr>
      </w:pPr>
      <w:r>
        <w:rPr>
          <w:rFonts w:ascii="Arial" w:hAnsi="Arial" w:cs="Arial"/>
          <w:b/>
          <w:bCs/>
          <w:sz w:val="24"/>
          <w:szCs w:val="24"/>
        </w:rPr>
        <w:t xml:space="preserve">Chapter </w:t>
      </w:r>
      <w:r>
        <w:rPr>
          <w:rFonts w:ascii="Arial" w:hAnsi="Arial" w:cs="Arial"/>
          <w:b/>
          <w:bCs/>
          <w:sz w:val="24"/>
          <w:szCs w:val="24"/>
        </w:rPr>
        <w:t>4</w:t>
      </w:r>
    </w:p>
    <w:p w14:paraId="5C1E09CC" w14:textId="77777777" w:rsidR="00CA07BE" w:rsidRPr="002F1BCE" w:rsidRDefault="00CA07BE" w:rsidP="00C960A5">
      <w:pPr>
        <w:spacing w:line="360" w:lineRule="auto"/>
        <w:jc w:val="center"/>
        <w:rPr>
          <w:rFonts w:ascii="Arial" w:hAnsi="Arial" w:cs="Arial"/>
          <w:b/>
          <w:bCs/>
          <w:sz w:val="24"/>
          <w:szCs w:val="24"/>
        </w:rPr>
      </w:pPr>
      <w:r>
        <w:rPr>
          <w:rFonts w:ascii="Arial" w:hAnsi="Arial" w:cs="Arial"/>
          <w:b/>
          <w:bCs/>
          <w:sz w:val="24"/>
          <w:szCs w:val="24"/>
        </w:rPr>
        <w:t xml:space="preserve">Potential </w:t>
      </w:r>
      <w:r w:rsidRPr="002F1BCE">
        <w:rPr>
          <w:rFonts w:ascii="Arial" w:hAnsi="Arial" w:cs="Arial"/>
          <w:b/>
          <w:bCs/>
          <w:sz w:val="24"/>
          <w:szCs w:val="24"/>
        </w:rPr>
        <w:t>Liabilit</w:t>
      </w:r>
      <w:r>
        <w:rPr>
          <w:rFonts w:ascii="Arial" w:hAnsi="Arial" w:cs="Arial"/>
          <w:b/>
          <w:bCs/>
          <w:sz w:val="24"/>
          <w:szCs w:val="24"/>
        </w:rPr>
        <w:t xml:space="preserve">y </w:t>
      </w:r>
      <w:r w:rsidRPr="002F1BCE">
        <w:rPr>
          <w:rFonts w:ascii="Arial" w:hAnsi="Arial" w:cs="Arial"/>
          <w:b/>
          <w:bCs/>
          <w:sz w:val="24"/>
          <w:szCs w:val="24"/>
        </w:rPr>
        <w:t>Issues</w:t>
      </w:r>
    </w:p>
    <w:p w14:paraId="1F95CD41" w14:textId="35280A40" w:rsidR="005472A8" w:rsidRPr="00104014" w:rsidRDefault="005472A8" w:rsidP="00C960A5">
      <w:pPr>
        <w:spacing w:line="360" w:lineRule="auto"/>
        <w:jc w:val="center"/>
        <w:rPr>
          <w:rFonts w:ascii="Arial" w:hAnsi="Arial" w:cs="Arial"/>
          <w:b/>
          <w:bCs/>
          <w:sz w:val="24"/>
          <w:szCs w:val="24"/>
        </w:rPr>
      </w:pPr>
    </w:p>
    <w:p w14:paraId="5E558431" w14:textId="1686BF1C" w:rsidR="00996059" w:rsidRDefault="006E7649" w:rsidP="00CE5D8C">
      <w:pPr>
        <w:tabs>
          <w:tab w:val="left" w:pos="553"/>
        </w:tabs>
        <w:spacing w:after="120" w:line="360" w:lineRule="auto"/>
        <w:rPr>
          <w:rFonts w:asciiTheme="majorHAnsi" w:hAnsiTheme="majorHAnsi" w:cstheme="majorHAnsi"/>
        </w:rPr>
      </w:pPr>
      <w:r>
        <w:rPr>
          <w:rFonts w:asciiTheme="majorHAnsi" w:hAnsiTheme="majorHAnsi" w:cstheme="majorHAnsi"/>
        </w:rPr>
        <w:t>Any discussion of legal issues surrounding L</w:t>
      </w:r>
      <w:r w:rsidR="00A163E7">
        <w:rPr>
          <w:rFonts w:asciiTheme="majorHAnsi" w:hAnsiTheme="majorHAnsi" w:cstheme="majorHAnsi"/>
        </w:rPr>
        <w:t>egionnaires’ disease (L</w:t>
      </w:r>
      <w:r>
        <w:rPr>
          <w:rFonts w:asciiTheme="majorHAnsi" w:hAnsiTheme="majorHAnsi" w:cstheme="majorHAnsi"/>
        </w:rPr>
        <w:t>D</w:t>
      </w:r>
      <w:r w:rsidR="00A163E7">
        <w:rPr>
          <w:rFonts w:asciiTheme="majorHAnsi" w:hAnsiTheme="majorHAnsi" w:cstheme="majorHAnsi"/>
        </w:rPr>
        <w:t>)</w:t>
      </w:r>
      <w:r>
        <w:rPr>
          <w:rFonts w:asciiTheme="majorHAnsi" w:hAnsiTheme="majorHAnsi" w:cstheme="majorHAnsi"/>
        </w:rPr>
        <w:t xml:space="preserve"> investigations would not be complete without a review of potential liability issues that can arise. </w:t>
      </w:r>
      <w:r w:rsidRPr="00242AE2">
        <w:rPr>
          <w:rFonts w:asciiTheme="majorHAnsi" w:hAnsiTheme="majorHAnsi" w:cstheme="majorHAnsi"/>
        </w:rPr>
        <w:t>Liability occurs when a</w:t>
      </w:r>
      <w:r>
        <w:rPr>
          <w:rFonts w:asciiTheme="majorHAnsi" w:hAnsiTheme="majorHAnsi" w:cstheme="majorHAnsi"/>
        </w:rPr>
        <w:t xml:space="preserve">n individual or a facility </w:t>
      </w:r>
      <w:r w:rsidRPr="00242AE2">
        <w:rPr>
          <w:rFonts w:asciiTheme="majorHAnsi" w:hAnsiTheme="majorHAnsi" w:cstheme="majorHAnsi"/>
        </w:rPr>
        <w:t xml:space="preserve">is </w:t>
      </w:r>
      <w:r>
        <w:rPr>
          <w:rFonts w:asciiTheme="majorHAnsi" w:hAnsiTheme="majorHAnsi" w:cstheme="majorHAnsi"/>
        </w:rPr>
        <w:t>determined to</w:t>
      </w:r>
      <w:r w:rsidRPr="00242AE2">
        <w:rPr>
          <w:rFonts w:asciiTheme="majorHAnsi" w:hAnsiTheme="majorHAnsi" w:cstheme="majorHAnsi"/>
        </w:rPr>
        <w:t xml:space="preserve"> be legally responsible for their actions or their failure to act in a situation</w:t>
      </w:r>
      <w:r>
        <w:rPr>
          <w:rFonts w:asciiTheme="majorHAnsi" w:hAnsiTheme="majorHAnsi" w:cstheme="majorHAnsi"/>
        </w:rPr>
        <w:t xml:space="preserve"> in </w:t>
      </w:r>
      <w:r w:rsidRPr="00242AE2">
        <w:rPr>
          <w:rFonts w:asciiTheme="majorHAnsi" w:hAnsiTheme="majorHAnsi" w:cstheme="majorHAnsi"/>
        </w:rPr>
        <w:t>which an injury or damage occurred.</w:t>
      </w:r>
      <w:r>
        <w:rPr>
          <w:rFonts w:asciiTheme="majorHAnsi" w:hAnsiTheme="majorHAnsi" w:cstheme="majorHAnsi"/>
        </w:rPr>
        <w:t xml:space="preserve"> </w:t>
      </w:r>
      <w:r w:rsidR="00996059">
        <w:rPr>
          <w:rFonts w:asciiTheme="majorHAnsi" w:hAnsiTheme="majorHAnsi" w:cstheme="majorHAnsi"/>
        </w:rPr>
        <w:t>This chapter addresses the following topics:</w:t>
      </w:r>
    </w:p>
    <w:p w14:paraId="715532E5" w14:textId="53372CB1" w:rsidR="006E7649" w:rsidRDefault="00981BDD" w:rsidP="00CE5D8C">
      <w:pPr>
        <w:pStyle w:val="ListParagraph"/>
        <w:numPr>
          <w:ilvl w:val="0"/>
          <w:numId w:val="9"/>
        </w:numPr>
        <w:tabs>
          <w:tab w:val="left" w:pos="720"/>
        </w:tabs>
        <w:spacing w:after="120" w:line="360" w:lineRule="auto"/>
        <w:contextualSpacing w:val="0"/>
        <w:rPr>
          <w:rFonts w:asciiTheme="majorHAnsi" w:hAnsiTheme="majorHAnsi" w:cstheme="majorHAnsi"/>
        </w:rPr>
      </w:pPr>
      <w:r>
        <w:rPr>
          <w:rFonts w:asciiTheme="majorHAnsi" w:hAnsiTheme="majorHAnsi" w:cstheme="majorHAnsi"/>
        </w:rPr>
        <w:t>P</w:t>
      </w:r>
      <w:r w:rsidRPr="00996059">
        <w:rPr>
          <w:rFonts w:asciiTheme="majorHAnsi" w:hAnsiTheme="majorHAnsi" w:cstheme="majorHAnsi"/>
        </w:rPr>
        <w:t>otential</w:t>
      </w:r>
      <w:r w:rsidR="008E7897" w:rsidRPr="00996059">
        <w:rPr>
          <w:rFonts w:asciiTheme="majorHAnsi" w:hAnsiTheme="majorHAnsi" w:cstheme="majorHAnsi"/>
        </w:rPr>
        <w:t xml:space="preserve"> theories of liability and how they can arise in the context of an LD outbreak event</w:t>
      </w:r>
      <w:r w:rsidR="00D72645">
        <w:rPr>
          <w:rFonts w:asciiTheme="majorHAnsi" w:hAnsiTheme="majorHAnsi" w:cstheme="majorHAnsi"/>
        </w:rPr>
        <w:t>.</w:t>
      </w:r>
    </w:p>
    <w:p w14:paraId="4F709F40" w14:textId="411FBBA0" w:rsidR="005D1841" w:rsidRPr="00210346" w:rsidRDefault="006D469F" w:rsidP="00CE5D8C">
      <w:pPr>
        <w:pStyle w:val="ListParagraph"/>
        <w:numPr>
          <w:ilvl w:val="0"/>
          <w:numId w:val="9"/>
        </w:numPr>
        <w:tabs>
          <w:tab w:val="left" w:pos="720"/>
        </w:tabs>
        <w:spacing w:after="120" w:line="360" w:lineRule="auto"/>
        <w:contextualSpacing w:val="0"/>
        <w:rPr>
          <w:rFonts w:asciiTheme="majorHAnsi" w:hAnsiTheme="majorHAnsi" w:cstheme="majorHAnsi"/>
        </w:rPr>
      </w:pPr>
      <w:r>
        <w:rPr>
          <w:rFonts w:asciiTheme="majorHAnsi" w:eastAsia="Times New Roman" w:hAnsiTheme="majorHAnsi" w:cstheme="majorHAnsi"/>
          <w:color w:val="000000" w:themeColor="text1"/>
        </w:rPr>
        <w:t>Various theories of n</w:t>
      </w:r>
      <w:r w:rsidR="00D72645">
        <w:rPr>
          <w:rFonts w:asciiTheme="majorHAnsi" w:eastAsia="Times New Roman" w:hAnsiTheme="majorHAnsi" w:cstheme="majorHAnsi"/>
          <w:color w:val="000000" w:themeColor="text1"/>
        </w:rPr>
        <w:t>egligence</w:t>
      </w:r>
      <w:r>
        <w:rPr>
          <w:rFonts w:asciiTheme="majorHAnsi" w:eastAsia="Times New Roman" w:hAnsiTheme="majorHAnsi" w:cstheme="majorHAnsi"/>
          <w:color w:val="000000" w:themeColor="text1"/>
        </w:rPr>
        <w:t xml:space="preserve">, which is the most common </w:t>
      </w:r>
      <w:r w:rsidR="005D1841">
        <w:rPr>
          <w:rFonts w:asciiTheme="majorHAnsi" w:eastAsia="Times New Roman" w:hAnsiTheme="majorHAnsi" w:cstheme="majorHAnsi"/>
          <w:color w:val="000000" w:themeColor="text1"/>
        </w:rPr>
        <w:t xml:space="preserve">type of civil claim associated with LD outbreaks. </w:t>
      </w:r>
    </w:p>
    <w:p w14:paraId="72381624" w14:textId="49251FFE" w:rsidR="008F426B" w:rsidRPr="009E65FA" w:rsidRDefault="00B144E8" w:rsidP="00E40DC7">
      <w:pPr>
        <w:pStyle w:val="ListParagraph"/>
        <w:numPr>
          <w:ilvl w:val="0"/>
          <w:numId w:val="9"/>
        </w:numPr>
        <w:tabs>
          <w:tab w:val="left" w:pos="720"/>
        </w:tabs>
        <w:spacing w:line="360" w:lineRule="auto"/>
        <w:contextualSpacing w:val="0"/>
        <w:rPr>
          <w:rFonts w:asciiTheme="majorHAnsi" w:hAnsiTheme="majorHAnsi" w:cstheme="majorHAnsi"/>
        </w:rPr>
      </w:pPr>
      <w:r>
        <w:rPr>
          <w:rFonts w:asciiTheme="majorHAnsi" w:hAnsiTheme="majorHAnsi" w:cstheme="majorHAnsi"/>
        </w:rPr>
        <w:t>R</w:t>
      </w:r>
      <w:r>
        <w:rPr>
          <w:rFonts w:asciiTheme="majorHAnsi" w:hAnsiTheme="majorHAnsi" w:cstheme="majorHAnsi"/>
        </w:rPr>
        <w:t>egulatory and administrative proceedings for violations of permits</w:t>
      </w:r>
      <w:r w:rsidR="008F426B">
        <w:rPr>
          <w:rFonts w:asciiTheme="majorHAnsi" w:hAnsiTheme="majorHAnsi" w:cstheme="majorHAnsi"/>
        </w:rPr>
        <w:t>, l</w:t>
      </w:r>
      <w:r>
        <w:rPr>
          <w:rFonts w:asciiTheme="majorHAnsi" w:hAnsiTheme="majorHAnsi" w:cstheme="majorHAnsi"/>
        </w:rPr>
        <w:t>icenses</w:t>
      </w:r>
      <w:r w:rsidR="008F426B">
        <w:rPr>
          <w:rFonts w:asciiTheme="majorHAnsi" w:hAnsiTheme="majorHAnsi" w:cstheme="majorHAnsi"/>
        </w:rPr>
        <w:t>, regulations, and laws.</w:t>
      </w:r>
    </w:p>
    <w:p w14:paraId="45DE0963" w14:textId="22CC9FB9" w:rsidR="008E7897" w:rsidRDefault="008E7897" w:rsidP="00E40DC7">
      <w:pPr>
        <w:spacing w:line="360" w:lineRule="auto"/>
        <w:rPr>
          <w:rFonts w:asciiTheme="majorHAnsi" w:eastAsia="Times New Roman" w:hAnsiTheme="majorHAnsi" w:cstheme="majorHAnsi"/>
          <w:color w:val="000000" w:themeColor="text1"/>
          <w:szCs w:val="20"/>
        </w:rPr>
      </w:pPr>
    </w:p>
    <w:p w14:paraId="1F18384D" w14:textId="0D227520" w:rsidR="008E1ACF" w:rsidRPr="005251BC" w:rsidRDefault="00946CCB" w:rsidP="0080556F">
      <w:pPr>
        <w:spacing w:after="120" w:line="360" w:lineRule="auto"/>
        <w:rPr>
          <w:rFonts w:ascii="Arial" w:eastAsia="Times New Roman" w:hAnsi="Arial" w:cs="Arial"/>
          <w:b/>
          <w:bCs/>
          <w:color w:val="000000" w:themeColor="text1"/>
          <w:szCs w:val="20"/>
        </w:rPr>
      </w:pPr>
      <w:r w:rsidRPr="005251BC">
        <w:rPr>
          <w:rFonts w:ascii="Arial" w:eastAsia="Times New Roman" w:hAnsi="Arial" w:cs="Arial"/>
          <w:b/>
          <w:bCs/>
          <w:color w:val="000000" w:themeColor="text1"/>
          <w:szCs w:val="20"/>
        </w:rPr>
        <w:t>Theories of Liab</w:t>
      </w:r>
      <w:r w:rsidR="005251BC" w:rsidRPr="005251BC">
        <w:rPr>
          <w:rFonts w:ascii="Arial" w:eastAsia="Times New Roman" w:hAnsi="Arial" w:cs="Arial"/>
          <w:b/>
          <w:bCs/>
          <w:color w:val="000000" w:themeColor="text1"/>
          <w:szCs w:val="20"/>
        </w:rPr>
        <w:t>ility</w:t>
      </w:r>
    </w:p>
    <w:p w14:paraId="6C8E7433" w14:textId="64CF7383" w:rsidR="006E7649" w:rsidRDefault="00E226B8" w:rsidP="006E7649">
      <w:pPr>
        <w:spacing w:line="360" w:lineRule="auto"/>
        <w:rPr>
          <w:rFonts w:asciiTheme="majorHAnsi" w:hAnsiTheme="majorHAnsi" w:cstheme="majorHAnsi"/>
        </w:rPr>
      </w:pPr>
      <w:r w:rsidRPr="004A2552">
        <w:rPr>
          <w:rFonts w:asciiTheme="majorHAnsi" w:hAnsiTheme="majorHAnsi" w:cstheme="majorHAnsi"/>
          <w:noProof/>
        </w:rPr>
        <mc:AlternateContent>
          <mc:Choice Requires="wps">
            <w:drawing>
              <wp:anchor distT="45720" distB="45720" distL="114300" distR="114300" simplePos="0" relativeHeight="251659264" behindDoc="0" locked="0" layoutInCell="1" allowOverlap="1" wp14:anchorId="03BC5EEA" wp14:editId="7497CBE6">
                <wp:simplePos x="0" y="0"/>
                <wp:positionH relativeFrom="margin">
                  <wp:align>right</wp:align>
                </wp:positionH>
                <wp:positionV relativeFrom="paragraph">
                  <wp:posOffset>1843405</wp:posOffset>
                </wp:positionV>
                <wp:extent cx="2889250" cy="1353185"/>
                <wp:effectExtent l="0" t="0" r="25400" b="184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9250" cy="1353185"/>
                        </a:xfrm>
                        <a:prstGeom prst="rect">
                          <a:avLst/>
                        </a:prstGeom>
                        <a:solidFill>
                          <a:srgbClr val="FFFFFF"/>
                        </a:solidFill>
                        <a:ln w="9525">
                          <a:solidFill>
                            <a:srgbClr val="000000"/>
                          </a:solidFill>
                          <a:miter lim="800000"/>
                          <a:headEnd/>
                          <a:tailEnd/>
                        </a:ln>
                      </wps:spPr>
                      <wps:txbx>
                        <w:txbxContent>
                          <w:p w14:paraId="5FA759B9" w14:textId="4B6D2D2D" w:rsidR="00E226B8" w:rsidRPr="003C4E18" w:rsidRDefault="00E226B8" w:rsidP="00E226B8">
                            <w:pPr>
                              <w:rPr>
                                <w:rFonts w:ascii="Arial" w:hAnsi="Arial" w:cs="Arial"/>
                                <w:b/>
                                <w:bCs/>
                                <w:sz w:val="18"/>
                                <w:szCs w:val="18"/>
                              </w:rPr>
                            </w:pPr>
                            <w:r w:rsidRPr="005A3218">
                              <w:rPr>
                                <w:rFonts w:ascii="Arial" w:hAnsi="Arial" w:cs="Arial"/>
                                <w:b/>
                                <w:bCs/>
                                <w:sz w:val="18"/>
                                <w:szCs w:val="18"/>
                              </w:rPr>
                              <w:t>Please Note:</w:t>
                            </w:r>
                            <w:r w:rsidRPr="005A3218">
                              <w:rPr>
                                <w:rFonts w:ascii="Arial" w:hAnsi="Arial" w:cs="Arial"/>
                                <w:sz w:val="18"/>
                                <w:szCs w:val="18"/>
                              </w:rPr>
                              <w:t xml:space="preserve"> Any legal analysis of a specific case or outbreak depends on the facts of that event and the laws of the jurisdiction in which it occurs. Public health department personnel should consult with their agency/government legal counsel if questions or uncertainties arise in a particular investigation. </w:t>
                            </w:r>
                            <w:r w:rsidRPr="005A3218">
                              <w:rPr>
                                <w:rFonts w:ascii="Arial" w:hAnsi="Arial" w:cs="Arial"/>
                                <w:b/>
                                <w:bCs/>
                                <w:i/>
                                <w:iCs/>
                                <w:sz w:val="18"/>
                                <w:szCs w:val="18"/>
                              </w:rPr>
                              <w:t>Information about laws and legal theories discussed in this section and the toolkit are for information only and are not legal advice.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BC5EEA" id="_x0000_t202" coordsize="21600,21600" o:spt="202" path="m,l,21600r21600,l21600,xe">
                <v:stroke joinstyle="miter"/>
                <v:path gradientshapeok="t" o:connecttype="rect"/>
              </v:shapetype>
              <v:shape id="Text Box 2" o:spid="_x0000_s1026" type="#_x0000_t202" style="position:absolute;margin-left:176.3pt;margin-top:145.15pt;width:227.5pt;height:106.5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">
                <v:textbox>
                  <w:txbxContent>
                    <w:p w14:paraId="5FA759B9" w14:textId="4B6D2D2D" w:rsidR="00E226B8" w:rsidRPr="003C4E18" w:rsidRDefault="00E226B8" w:rsidP="00E226B8">
                      <w:pPr>
                        <w:rPr>
                          <w:rFonts w:ascii="Arial" w:hAnsi="Arial" w:cs="Arial"/>
                          <w:b/>
                          <w:bCs/>
                          <w:sz w:val="18"/>
                          <w:szCs w:val="18"/>
                        </w:rPr>
                      </w:pPr>
                      <w:r w:rsidRPr="005A3218">
                        <w:rPr>
                          <w:rFonts w:ascii="Arial" w:hAnsi="Arial" w:cs="Arial"/>
                          <w:b/>
                          <w:bCs/>
                          <w:sz w:val="18"/>
                          <w:szCs w:val="18"/>
                        </w:rPr>
                        <w:t>Please Note:</w:t>
                      </w:r>
                      <w:r w:rsidRPr="005A3218">
                        <w:rPr>
                          <w:rFonts w:ascii="Arial" w:hAnsi="Arial" w:cs="Arial"/>
                          <w:sz w:val="18"/>
                          <w:szCs w:val="18"/>
                        </w:rPr>
                        <w:t xml:space="preserve"> Any legal analysis of a specific case or outbreak depends on the facts of that event and the laws of the jurisdiction in which it occurs. Public health department personnel should consult with their agency/government legal counsel if questions or uncertainties arise in a particular investigation. </w:t>
                      </w:r>
                      <w:r w:rsidRPr="005A3218">
                        <w:rPr>
                          <w:rFonts w:ascii="Arial" w:hAnsi="Arial" w:cs="Arial"/>
                          <w:b/>
                          <w:bCs/>
                          <w:i/>
                          <w:iCs/>
                          <w:sz w:val="18"/>
                          <w:szCs w:val="18"/>
                        </w:rPr>
                        <w:t>Information about laws and legal theories discussed in this section and the toolkit are for information only and are not legal advice.</w:t>
                      </w:r>
                    </w:p>
                  </w:txbxContent>
                </v:textbox>
                <w10:wrap type="square" anchorx="margin"/>
              </v:shape>
            </w:pict>
          </mc:Fallback>
        </mc:AlternateContent>
      </w:r>
      <w:r w:rsidR="006E7649" w:rsidRPr="009E1CFA">
        <w:rPr>
          <w:rFonts w:asciiTheme="majorHAnsi" w:eastAsia="Times New Roman" w:hAnsiTheme="majorHAnsi" w:cstheme="majorHAnsi"/>
          <w:color w:val="000000" w:themeColor="text1"/>
          <w:szCs w:val="20"/>
        </w:rPr>
        <w:t xml:space="preserve">A foundational principle to understanding potentially legal liabilities is the concept of a tort. A tort in the law is a wrong committed by an actor (a person or entity) either intentionally or unintentionally that causes harm to another person or property. A tort claim is a type of civil claim that allows an individual or entity to sue the actor in civil court for redress of the harm. This is contrasted with contractual claims in which the parties to a contract sue in civil court over the terms of the contract, and with criminal charges in which </w:t>
      </w:r>
      <w:r w:rsidR="006E7649">
        <w:rPr>
          <w:rFonts w:asciiTheme="majorHAnsi" w:eastAsia="Times New Roman" w:hAnsiTheme="majorHAnsi" w:cstheme="majorHAnsi"/>
          <w:color w:val="000000" w:themeColor="text1"/>
          <w:szCs w:val="20"/>
        </w:rPr>
        <w:t>a</w:t>
      </w:r>
      <w:r w:rsidR="006E7649" w:rsidRPr="009E1CFA">
        <w:rPr>
          <w:rFonts w:asciiTheme="majorHAnsi" w:eastAsia="Times New Roman" w:hAnsiTheme="majorHAnsi" w:cstheme="majorHAnsi"/>
          <w:color w:val="000000" w:themeColor="text1"/>
          <w:szCs w:val="20"/>
        </w:rPr>
        <w:t xml:space="preserve"> government prosecutes an </w:t>
      </w:r>
      <w:r w:rsidR="006E7649">
        <w:rPr>
          <w:rFonts w:asciiTheme="majorHAnsi" w:eastAsia="Times New Roman" w:hAnsiTheme="majorHAnsi" w:cstheme="majorHAnsi"/>
          <w:color w:val="000000" w:themeColor="text1"/>
          <w:szCs w:val="20"/>
        </w:rPr>
        <w:t>individual or entity</w:t>
      </w:r>
      <w:r w:rsidR="006E7649" w:rsidRPr="009E1CFA">
        <w:rPr>
          <w:rFonts w:asciiTheme="majorHAnsi" w:eastAsia="Times New Roman" w:hAnsiTheme="majorHAnsi" w:cstheme="majorHAnsi"/>
          <w:color w:val="000000" w:themeColor="text1"/>
          <w:szCs w:val="20"/>
        </w:rPr>
        <w:t xml:space="preserve">. Unintentional torts arise if an individual’s action harm another person or property, but the harm was not intended (i.e., negligence). Conversely, intentional torts occur when an individual intends to cause the harm or injury to another person or property (i.e., </w:t>
      </w:r>
      <w:r w:rsidR="000B4B84">
        <w:rPr>
          <w:rFonts w:asciiTheme="majorHAnsi" w:eastAsia="Times New Roman" w:hAnsiTheme="majorHAnsi" w:cstheme="majorHAnsi"/>
          <w:color w:val="000000" w:themeColor="text1"/>
          <w:szCs w:val="20"/>
        </w:rPr>
        <w:t>fraud</w:t>
      </w:r>
      <w:r w:rsidR="006E7649" w:rsidRPr="009E1CFA">
        <w:rPr>
          <w:rFonts w:asciiTheme="majorHAnsi" w:eastAsia="Times New Roman" w:hAnsiTheme="majorHAnsi" w:cstheme="majorHAnsi"/>
          <w:color w:val="000000" w:themeColor="text1"/>
          <w:szCs w:val="20"/>
        </w:rPr>
        <w:t>).</w:t>
      </w:r>
      <w:r w:rsidR="006E7649">
        <w:rPr>
          <w:rFonts w:eastAsia="Times New Roman" w:cs="Arial"/>
          <w:color w:val="000000" w:themeColor="text1"/>
          <w:szCs w:val="20"/>
        </w:rPr>
        <w:t xml:space="preserve"> </w:t>
      </w:r>
      <w:r w:rsidR="006E7649">
        <w:rPr>
          <w:rFonts w:asciiTheme="majorHAnsi" w:hAnsiTheme="majorHAnsi" w:cstheme="majorHAnsi"/>
        </w:rPr>
        <w:t>This section will review potential theories of liability and how they can arise in the context of an LD outbreak.</w:t>
      </w:r>
    </w:p>
    <w:p w14:paraId="300CAFDB" w14:textId="41F502F6" w:rsidR="006E7649" w:rsidRDefault="006E7649" w:rsidP="006E7649">
      <w:pPr>
        <w:tabs>
          <w:tab w:val="left" w:pos="553"/>
        </w:tabs>
        <w:spacing w:line="360" w:lineRule="auto"/>
        <w:rPr>
          <w:rFonts w:asciiTheme="majorHAnsi" w:hAnsiTheme="majorHAnsi" w:cstheme="majorHAnsi"/>
        </w:rPr>
      </w:pPr>
    </w:p>
    <w:p w14:paraId="71C32A9D" w14:textId="68BC9D7C" w:rsidR="006E7649" w:rsidRDefault="00E92D43" w:rsidP="00CE5D8C">
      <w:pPr>
        <w:keepNext/>
        <w:keepLines/>
        <w:tabs>
          <w:tab w:val="left" w:pos="553"/>
        </w:tabs>
        <w:spacing w:after="120" w:line="360" w:lineRule="auto"/>
        <w:rPr>
          <w:rFonts w:asciiTheme="majorHAnsi" w:hAnsiTheme="majorHAnsi" w:cstheme="majorHAnsi"/>
          <w:b/>
          <w:bCs/>
        </w:rPr>
      </w:pPr>
      <w:r>
        <w:rPr>
          <w:rFonts w:asciiTheme="majorHAnsi" w:hAnsiTheme="majorHAnsi" w:cstheme="majorHAnsi"/>
          <w:b/>
          <w:bCs/>
        </w:rPr>
        <w:t xml:space="preserve">Understanding </w:t>
      </w:r>
      <w:r w:rsidR="006E7649">
        <w:rPr>
          <w:rFonts w:asciiTheme="majorHAnsi" w:hAnsiTheme="majorHAnsi" w:cstheme="majorHAnsi"/>
          <w:b/>
          <w:bCs/>
        </w:rPr>
        <w:t>Direct and Vicarious Liability</w:t>
      </w:r>
    </w:p>
    <w:p w14:paraId="3A8E8A0D" w14:textId="26B3FC22" w:rsidR="00F36CDB" w:rsidRDefault="006E7649" w:rsidP="006E7649">
      <w:pPr>
        <w:tabs>
          <w:tab w:val="left" w:pos="553"/>
        </w:tabs>
        <w:spacing w:line="360" w:lineRule="auto"/>
        <w:rPr>
          <w:rFonts w:asciiTheme="majorHAnsi" w:hAnsiTheme="majorHAnsi" w:cstheme="majorHAnsi"/>
        </w:rPr>
      </w:pPr>
      <w:r>
        <w:rPr>
          <w:rFonts w:asciiTheme="majorHAnsi" w:hAnsiTheme="majorHAnsi" w:cstheme="majorHAnsi"/>
        </w:rPr>
        <w:t>I</w:t>
      </w:r>
      <w:r w:rsidRPr="00242AE2">
        <w:rPr>
          <w:rFonts w:asciiTheme="majorHAnsi" w:hAnsiTheme="majorHAnsi" w:cstheme="majorHAnsi"/>
        </w:rPr>
        <w:t xml:space="preserve">ndividuals and </w:t>
      </w:r>
      <w:r>
        <w:rPr>
          <w:rFonts w:asciiTheme="majorHAnsi" w:hAnsiTheme="majorHAnsi" w:cstheme="majorHAnsi"/>
        </w:rPr>
        <w:t>corporate/organizational</w:t>
      </w:r>
      <w:r w:rsidRPr="00242AE2">
        <w:rPr>
          <w:rFonts w:asciiTheme="majorHAnsi" w:hAnsiTheme="majorHAnsi" w:cstheme="majorHAnsi"/>
        </w:rPr>
        <w:t xml:space="preserve"> entities can be held </w:t>
      </w:r>
      <w:r>
        <w:rPr>
          <w:rFonts w:asciiTheme="majorHAnsi" w:hAnsiTheme="majorHAnsi" w:cstheme="majorHAnsi"/>
        </w:rPr>
        <w:t xml:space="preserve">directly </w:t>
      </w:r>
      <w:r w:rsidRPr="00242AE2">
        <w:rPr>
          <w:rFonts w:asciiTheme="majorHAnsi" w:hAnsiTheme="majorHAnsi" w:cstheme="majorHAnsi"/>
        </w:rPr>
        <w:t xml:space="preserve">liable </w:t>
      </w:r>
      <w:r>
        <w:rPr>
          <w:rFonts w:asciiTheme="majorHAnsi" w:hAnsiTheme="majorHAnsi" w:cstheme="majorHAnsi"/>
        </w:rPr>
        <w:t xml:space="preserve">(i.e., legally responsible) </w:t>
      </w:r>
      <w:r w:rsidRPr="00242AE2">
        <w:rPr>
          <w:rFonts w:asciiTheme="majorHAnsi" w:hAnsiTheme="majorHAnsi" w:cstheme="majorHAnsi"/>
        </w:rPr>
        <w:t>for their own actions</w:t>
      </w:r>
      <w:r>
        <w:rPr>
          <w:rFonts w:asciiTheme="majorHAnsi" w:hAnsiTheme="majorHAnsi" w:cstheme="majorHAnsi"/>
        </w:rPr>
        <w:t xml:space="preserve"> or failures to act (omissions) when they fail in their duty to act according to a </w:t>
      </w:r>
      <w:r w:rsidRPr="0029095F">
        <w:rPr>
          <w:rFonts w:asciiTheme="majorHAnsi" w:hAnsiTheme="majorHAnsi" w:cstheme="majorHAnsi"/>
        </w:rPr>
        <w:t xml:space="preserve">standard </w:t>
      </w:r>
      <w:r w:rsidR="00AB6911" w:rsidRPr="0029095F">
        <w:rPr>
          <w:rFonts w:asciiTheme="majorHAnsi" w:hAnsiTheme="majorHAnsi" w:cstheme="majorHAnsi"/>
        </w:rPr>
        <w:t xml:space="preserve">that </w:t>
      </w:r>
      <w:r w:rsidRPr="0029095F">
        <w:rPr>
          <w:rFonts w:asciiTheme="majorHAnsi" w:hAnsiTheme="majorHAnsi" w:cstheme="majorHAnsi"/>
        </w:rPr>
        <w:t>govern</w:t>
      </w:r>
      <w:r w:rsidR="00AB6911" w:rsidRPr="0029095F">
        <w:rPr>
          <w:rFonts w:asciiTheme="majorHAnsi" w:hAnsiTheme="majorHAnsi" w:cstheme="majorHAnsi"/>
        </w:rPr>
        <w:t xml:space="preserve">s </w:t>
      </w:r>
      <w:r w:rsidR="0029095F" w:rsidRPr="0029095F">
        <w:rPr>
          <w:rFonts w:asciiTheme="majorHAnsi" w:hAnsiTheme="majorHAnsi" w:cstheme="majorHAnsi"/>
        </w:rPr>
        <w:t>their actions.</w:t>
      </w:r>
      <w:r>
        <w:rPr>
          <w:rFonts w:asciiTheme="majorHAnsi" w:hAnsiTheme="majorHAnsi" w:cstheme="majorHAnsi"/>
        </w:rPr>
        <w:t xml:space="preserve"> Persons and entities may also be </w:t>
      </w:r>
      <w:r w:rsidRPr="00242AE2">
        <w:rPr>
          <w:rFonts w:asciiTheme="majorHAnsi" w:hAnsiTheme="majorHAnsi" w:cstheme="majorHAnsi"/>
        </w:rPr>
        <w:t>held legally responsible for the act</w:t>
      </w:r>
      <w:r w:rsidR="00B51655">
        <w:rPr>
          <w:rFonts w:asciiTheme="majorHAnsi" w:hAnsiTheme="majorHAnsi" w:cstheme="majorHAnsi"/>
        </w:rPr>
        <w:t xml:space="preserve">s or omissions </w:t>
      </w:r>
      <w:r w:rsidRPr="00242AE2">
        <w:rPr>
          <w:rFonts w:asciiTheme="majorHAnsi" w:hAnsiTheme="majorHAnsi" w:cstheme="majorHAnsi"/>
        </w:rPr>
        <w:t xml:space="preserve">of another </w:t>
      </w:r>
      <w:r>
        <w:rPr>
          <w:rFonts w:asciiTheme="majorHAnsi" w:hAnsiTheme="majorHAnsi" w:cstheme="majorHAnsi"/>
        </w:rPr>
        <w:t xml:space="preserve">person/entity </w:t>
      </w:r>
      <w:r w:rsidRPr="00242AE2">
        <w:rPr>
          <w:rFonts w:asciiTheme="majorHAnsi" w:hAnsiTheme="majorHAnsi" w:cstheme="majorHAnsi"/>
        </w:rPr>
        <w:t xml:space="preserve">with whom they </w:t>
      </w:r>
      <w:r w:rsidRPr="00242AE2">
        <w:rPr>
          <w:rFonts w:asciiTheme="majorHAnsi" w:hAnsiTheme="majorHAnsi" w:cstheme="majorHAnsi"/>
        </w:rPr>
        <w:lastRenderedPageBreak/>
        <w:t>have a particular legal relationship</w:t>
      </w:r>
      <w:r>
        <w:rPr>
          <w:rFonts w:asciiTheme="majorHAnsi" w:hAnsiTheme="majorHAnsi" w:cstheme="majorHAnsi"/>
        </w:rPr>
        <w:t xml:space="preserve"> (i.e., vicarious liability). Vicarious liability typically arises when </w:t>
      </w:r>
      <w:r w:rsidRPr="00242AE2">
        <w:rPr>
          <w:rFonts w:asciiTheme="majorHAnsi" w:hAnsiTheme="majorHAnsi" w:cstheme="majorHAnsi"/>
        </w:rPr>
        <w:t xml:space="preserve">an employer </w:t>
      </w:r>
      <w:r>
        <w:rPr>
          <w:rFonts w:asciiTheme="majorHAnsi" w:hAnsiTheme="majorHAnsi" w:cstheme="majorHAnsi"/>
        </w:rPr>
        <w:t xml:space="preserve">is </w:t>
      </w:r>
      <w:r w:rsidRPr="00242AE2">
        <w:rPr>
          <w:rFonts w:asciiTheme="majorHAnsi" w:hAnsiTheme="majorHAnsi" w:cstheme="majorHAnsi"/>
        </w:rPr>
        <w:t xml:space="preserve">held </w:t>
      </w:r>
      <w:r>
        <w:rPr>
          <w:rFonts w:asciiTheme="majorHAnsi" w:hAnsiTheme="majorHAnsi" w:cstheme="majorHAnsi"/>
        </w:rPr>
        <w:t xml:space="preserve">legally </w:t>
      </w:r>
      <w:r w:rsidRPr="00242AE2">
        <w:rPr>
          <w:rFonts w:asciiTheme="majorHAnsi" w:hAnsiTheme="majorHAnsi" w:cstheme="majorHAnsi"/>
        </w:rPr>
        <w:t>responsible for the actions of its employe</w:t>
      </w:r>
      <w:r>
        <w:rPr>
          <w:rFonts w:asciiTheme="majorHAnsi" w:hAnsiTheme="majorHAnsi" w:cstheme="majorHAnsi"/>
        </w:rPr>
        <w:t xml:space="preserve">e (also known as the legal principle of </w:t>
      </w:r>
      <w:r w:rsidRPr="00242AE2">
        <w:rPr>
          <w:rFonts w:asciiTheme="majorHAnsi" w:hAnsiTheme="majorHAnsi" w:cstheme="majorHAnsi"/>
          <w:i/>
          <w:iCs/>
        </w:rPr>
        <w:t>respondeat superior</w:t>
      </w:r>
      <w:r>
        <w:rPr>
          <w:rFonts w:asciiTheme="majorHAnsi" w:hAnsiTheme="majorHAnsi" w:cstheme="majorHAnsi"/>
        </w:rPr>
        <w:t>)</w:t>
      </w:r>
      <w:r w:rsidRPr="00242AE2">
        <w:rPr>
          <w:rFonts w:asciiTheme="majorHAnsi" w:hAnsiTheme="majorHAnsi" w:cstheme="majorHAnsi"/>
        </w:rPr>
        <w:t xml:space="preserve">. </w:t>
      </w:r>
      <w:r>
        <w:rPr>
          <w:rFonts w:asciiTheme="majorHAnsi" w:hAnsiTheme="majorHAnsi" w:cstheme="majorHAnsi"/>
        </w:rPr>
        <w:t>Entities like corporations, non-profit organizations, or educational institutions may also be subject to v</w:t>
      </w:r>
      <w:r w:rsidRPr="00242AE2">
        <w:rPr>
          <w:rFonts w:asciiTheme="majorHAnsi" w:hAnsiTheme="majorHAnsi" w:cstheme="majorHAnsi"/>
        </w:rPr>
        <w:t>icarious liability for the acts or omissions of its agents</w:t>
      </w:r>
      <w:r>
        <w:rPr>
          <w:rFonts w:asciiTheme="majorHAnsi" w:hAnsiTheme="majorHAnsi" w:cstheme="majorHAnsi"/>
        </w:rPr>
        <w:t xml:space="preserve">, like officers, directors, or volunteers. </w:t>
      </w:r>
      <w:r w:rsidR="00766211">
        <w:rPr>
          <w:rFonts w:asciiTheme="majorHAnsi" w:hAnsiTheme="majorHAnsi" w:cstheme="majorHAnsi"/>
        </w:rPr>
        <w:t>For example, i</w:t>
      </w:r>
      <w:r w:rsidR="005635EC">
        <w:rPr>
          <w:rFonts w:asciiTheme="majorHAnsi" w:hAnsiTheme="majorHAnsi" w:cstheme="majorHAnsi"/>
        </w:rPr>
        <w:t xml:space="preserve">n </w:t>
      </w:r>
      <w:r w:rsidR="00766211">
        <w:rPr>
          <w:rFonts w:asciiTheme="majorHAnsi" w:hAnsiTheme="majorHAnsi" w:cstheme="majorHAnsi"/>
        </w:rPr>
        <w:t xml:space="preserve">lawsuits </w:t>
      </w:r>
      <w:r w:rsidR="005635EC">
        <w:rPr>
          <w:rFonts w:asciiTheme="majorHAnsi" w:hAnsiTheme="majorHAnsi" w:cstheme="majorHAnsi"/>
        </w:rPr>
        <w:t xml:space="preserve">against </w:t>
      </w:r>
      <w:r w:rsidR="004D157D">
        <w:rPr>
          <w:rFonts w:asciiTheme="majorHAnsi" w:hAnsiTheme="majorHAnsi" w:cstheme="majorHAnsi"/>
        </w:rPr>
        <w:t xml:space="preserve">hotel </w:t>
      </w:r>
      <w:r w:rsidR="005635EC">
        <w:rPr>
          <w:rFonts w:asciiTheme="majorHAnsi" w:hAnsiTheme="majorHAnsi" w:cstheme="majorHAnsi"/>
        </w:rPr>
        <w:t>facilities that have experienced LD outbreaks</w:t>
      </w:r>
      <w:r w:rsidR="00766211">
        <w:rPr>
          <w:rFonts w:asciiTheme="majorHAnsi" w:hAnsiTheme="majorHAnsi" w:cstheme="majorHAnsi"/>
        </w:rPr>
        <w:t xml:space="preserve">, </w:t>
      </w:r>
      <w:r w:rsidR="004D157D">
        <w:rPr>
          <w:rFonts w:asciiTheme="majorHAnsi" w:hAnsiTheme="majorHAnsi" w:cstheme="majorHAnsi"/>
        </w:rPr>
        <w:t xml:space="preserve">the management and corporate </w:t>
      </w:r>
      <w:r w:rsidR="00515067">
        <w:rPr>
          <w:rFonts w:asciiTheme="majorHAnsi" w:hAnsiTheme="majorHAnsi" w:cstheme="majorHAnsi"/>
        </w:rPr>
        <w:t xml:space="preserve">owners of the hotel are </w:t>
      </w:r>
      <w:r w:rsidR="008A0C17">
        <w:rPr>
          <w:rFonts w:asciiTheme="majorHAnsi" w:hAnsiTheme="majorHAnsi" w:cstheme="majorHAnsi"/>
        </w:rPr>
        <w:t xml:space="preserve">frequently </w:t>
      </w:r>
      <w:r w:rsidR="002F2744">
        <w:rPr>
          <w:rFonts w:asciiTheme="majorHAnsi" w:hAnsiTheme="majorHAnsi" w:cstheme="majorHAnsi"/>
        </w:rPr>
        <w:t xml:space="preserve">added to </w:t>
      </w:r>
      <w:r w:rsidR="00441550">
        <w:rPr>
          <w:rFonts w:asciiTheme="majorHAnsi" w:hAnsiTheme="majorHAnsi" w:cstheme="majorHAnsi"/>
        </w:rPr>
        <w:t xml:space="preserve">lawsuit </w:t>
      </w:r>
      <w:r w:rsidR="002F2744">
        <w:rPr>
          <w:rFonts w:asciiTheme="majorHAnsi" w:hAnsiTheme="majorHAnsi" w:cstheme="majorHAnsi"/>
        </w:rPr>
        <w:t xml:space="preserve">for </w:t>
      </w:r>
      <w:r w:rsidR="004D157D">
        <w:rPr>
          <w:rFonts w:asciiTheme="majorHAnsi" w:hAnsiTheme="majorHAnsi" w:cstheme="majorHAnsi"/>
        </w:rPr>
        <w:t xml:space="preserve">the </w:t>
      </w:r>
      <w:r w:rsidR="00766211">
        <w:rPr>
          <w:rFonts w:asciiTheme="majorHAnsi" w:hAnsiTheme="majorHAnsi" w:cstheme="majorHAnsi"/>
        </w:rPr>
        <w:t>failure of employees</w:t>
      </w:r>
      <w:r w:rsidR="004D157D">
        <w:rPr>
          <w:rFonts w:asciiTheme="majorHAnsi" w:hAnsiTheme="majorHAnsi" w:cstheme="majorHAnsi"/>
        </w:rPr>
        <w:t xml:space="preserve"> to properly </w:t>
      </w:r>
      <w:r w:rsidR="009B6503">
        <w:rPr>
          <w:rFonts w:asciiTheme="majorHAnsi" w:hAnsiTheme="majorHAnsi" w:cstheme="majorHAnsi"/>
        </w:rPr>
        <w:t xml:space="preserve">maintain the water systems which gave rise to </w:t>
      </w:r>
      <w:r w:rsidR="008A0C17" w:rsidRPr="008A0C17">
        <w:rPr>
          <w:rFonts w:asciiTheme="majorHAnsi" w:hAnsiTheme="majorHAnsi" w:cstheme="majorHAnsi"/>
          <w:i/>
          <w:iCs/>
        </w:rPr>
        <w:t>Legionella</w:t>
      </w:r>
      <w:r w:rsidR="008A0C17">
        <w:rPr>
          <w:rFonts w:asciiTheme="majorHAnsi" w:hAnsiTheme="majorHAnsi" w:cstheme="majorHAnsi"/>
        </w:rPr>
        <w:t xml:space="preserve"> contamination.</w:t>
      </w:r>
      <w:r w:rsidR="002F2744">
        <w:rPr>
          <w:rStyle w:val="FootnoteReference"/>
          <w:rFonts w:asciiTheme="majorHAnsi" w:hAnsiTheme="majorHAnsi" w:cstheme="majorHAnsi"/>
        </w:rPr>
        <w:footnoteReference w:id="1"/>
      </w:r>
    </w:p>
    <w:p w14:paraId="49C867D3" w14:textId="77777777" w:rsidR="00F36CDB" w:rsidRDefault="00F36CDB" w:rsidP="006E7649">
      <w:pPr>
        <w:tabs>
          <w:tab w:val="left" w:pos="553"/>
        </w:tabs>
        <w:spacing w:line="360" w:lineRule="auto"/>
        <w:rPr>
          <w:rFonts w:asciiTheme="majorHAnsi" w:hAnsiTheme="majorHAnsi" w:cstheme="majorHAnsi"/>
        </w:rPr>
      </w:pPr>
    </w:p>
    <w:p w14:paraId="6746C2DE" w14:textId="3648EB22" w:rsidR="006E7649" w:rsidRDefault="006E7649" w:rsidP="006E7649">
      <w:pPr>
        <w:tabs>
          <w:tab w:val="left" w:pos="553"/>
        </w:tabs>
        <w:spacing w:line="360" w:lineRule="auto"/>
        <w:rPr>
          <w:rFonts w:asciiTheme="majorHAnsi" w:hAnsiTheme="majorHAnsi" w:cstheme="majorHAnsi"/>
        </w:rPr>
      </w:pPr>
      <w:r>
        <w:rPr>
          <w:rFonts w:asciiTheme="majorHAnsi" w:hAnsiTheme="majorHAnsi" w:cstheme="majorHAnsi"/>
        </w:rPr>
        <w:t xml:space="preserve">Entities can try to limit their potential liabilities by </w:t>
      </w:r>
      <w:r w:rsidRPr="00242AE2">
        <w:rPr>
          <w:rFonts w:asciiTheme="majorHAnsi" w:hAnsiTheme="majorHAnsi" w:cstheme="majorHAnsi"/>
        </w:rPr>
        <w:t xml:space="preserve">designating </w:t>
      </w:r>
      <w:r>
        <w:rPr>
          <w:rFonts w:asciiTheme="majorHAnsi" w:hAnsiTheme="majorHAnsi" w:cstheme="majorHAnsi"/>
        </w:rPr>
        <w:t xml:space="preserve">individuals working for the entity as </w:t>
      </w:r>
      <w:r w:rsidRPr="00242AE2">
        <w:rPr>
          <w:rFonts w:asciiTheme="majorHAnsi" w:hAnsiTheme="majorHAnsi" w:cstheme="majorHAnsi"/>
        </w:rPr>
        <w:t xml:space="preserve">independent contractors rather than as employees or agents. </w:t>
      </w:r>
      <w:r>
        <w:rPr>
          <w:rFonts w:asciiTheme="majorHAnsi" w:hAnsiTheme="majorHAnsi" w:cstheme="majorHAnsi"/>
        </w:rPr>
        <w:t>Although t</w:t>
      </w:r>
      <w:r w:rsidRPr="00242AE2">
        <w:rPr>
          <w:rFonts w:asciiTheme="majorHAnsi" w:hAnsiTheme="majorHAnsi" w:cstheme="majorHAnsi"/>
        </w:rPr>
        <w:t xml:space="preserve">his </w:t>
      </w:r>
      <w:r>
        <w:rPr>
          <w:rFonts w:asciiTheme="majorHAnsi" w:hAnsiTheme="majorHAnsi" w:cstheme="majorHAnsi"/>
        </w:rPr>
        <w:t xml:space="preserve">method may be used to successfully avoid or limit </w:t>
      </w:r>
      <w:r w:rsidRPr="00242AE2">
        <w:rPr>
          <w:rFonts w:asciiTheme="majorHAnsi" w:hAnsiTheme="majorHAnsi" w:cstheme="majorHAnsi"/>
        </w:rPr>
        <w:t>liability</w:t>
      </w:r>
      <w:r>
        <w:rPr>
          <w:rFonts w:asciiTheme="majorHAnsi" w:hAnsiTheme="majorHAnsi" w:cstheme="majorHAnsi"/>
        </w:rPr>
        <w:t xml:space="preserve"> for an entity, c</w:t>
      </w:r>
      <w:r w:rsidRPr="00242AE2">
        <w:rPr>
          <w:rFonts w:asciiTheme="majorHAnsi" w:hAnsiTheme="majorHAnsi" w:cstheme="majorHAnsi"/>
        </w:rPr>
        <w:t xml:space="preserve">ourts can disregard </w:t>
      </w:r>
      <w:r>
        <w:rPr>
          <w:rFonts w:asciiTheme="majorHAnsi" w:hAnsiTheme="majorHAnsi" w:cstheme="majorHAnsi"/>
        </w:rPr>
        <w:t>an individual’s status as an</w:t>
      </w:r>
      <w:r w:rsidRPr="00242AE2">
        <w:rPr>
          <w:rFonts w:asciiTheme="majorHAnsi" w:hAnsiTheme="majorHAnsi" w:cstheme="majorHAnsi"/>
        </w:rPr>
        <w:t xml:space="preserve"> independent contractor </w:t>
      </w:r>
      <w:r>
        <w:rPr>
          <w:rFonts w:asciiTheme="majorHAnsi" w:hAnsiTheme="majorHAnsi" w:cstheme="majorHAnsi"/>
        </w:rPr>
        <w:t xml:space="preserve">and determine that the individual is in fact an employee or agent of the entity. In determining if a contractor is an employee of an entity, a court will look at factors such as the extent to which the entity controls the work schedule, working methods, and business practices of the of the contractor. In determining if a contractor is an agent of an entity, courts will determine if an entity held the contractor out as its employee or agent and if a third </w:t>
      </w:r>
      <w:r w:rsidRPr="00CB5B0D">
        <w:rPr>
          <w:rFonts w:asciiTheme="majorHAnsi" w:hAnsiTheme="majorHAnsi" w:cstheme="majorHAnsi"/>
        </w:rPr>
        <w:t xml:space="preserve">party </w:t>
      </w:r>
      <w:r w:rsidRPr="00CB5B0D">
        <w:rPr>
          <w:rFonts w:asciiTheme="majorHAnsi" w:eastAsia="Times New Roman" w:hAnsiTheme="majorHAnsi" w:cstheme="majorHAnsi"/>
          <w:color w:val="000000" w:themeColor="text1"/>
          <w:szCs w:val="20"/>
        </w:rPr>
        <w:t>believed that the contractor was acting on the entity’s behalf. Ultimately, i</w:t>
      </w:r>
      <w:r w:rsidRPr="00CB5B0D">
        <w:rPr>
          <w:rFonts w:asciiTheme="majorHAnsi" w:hAnsiTheme="majorHAnsi" w:cstheme="majorHAnsi"/>
        </w:rPr>
        <w:t xml:space="preserve">f an independent contractor is found to be an employee or agent of an entity, then the </w:t>
      </w:r>
      <w:r w:rsidRPr="00242AE2">
        <w:rPr>
          <w:rFonts w:asciiTheme="majorHAnsi" w:hAnsiTheme="majorHAnsi" w:cstheme="majorHAnsi"/>
        </w:rPr>
        <w:t xml:space="preserve">entity </w:t>
      </w:r>
      <w:r w:rsidRPr="00CB5B0D">
        <w:rPr>
          <w:rFonts w:asciiTheme="majorHAnsi" w:hAnsiTheme="majorHAnsi" w:cstheme="majorHAnsi"/>
        </w:rPr>
        <w:t xml:space="preserve">can be held </w:t>
      </w:r>
      <w:r w:rsidRPr="00242AE2">
        <w:rPr>
          <w:rFonts w:asciiTheme="majorHAnsi" w:hAnsiTheme="majorHAnsi" w:cstheme="majorHAnsi"/>
        </w:rPr>
        <w:t xml:space="preserve">vicariously liable </w:t>
      </w:r>
      <w:r w:rsidRPr="00CB5B0D">
        <w:rPr>
          <w:rFonts w:asciiTheme="majorHAnsi" w:hAnsiTheme="majorHAnsi" w:cstheme="majorHAnsi"/>
        </w:rPr>
        <w:t>for the acts or omissions of the contractor.</w:t>
      </w:r>
      <w:r w:rsidR="009B50D0">
        <w:rPr>
          <w:rFonts w:asciiTheme="majorHAnsi" w:hAnsiTheme="majorHAnsi" w:cstheme="majorHAnsi"/>
        </w:rPr>
        <w:t xml:space="preserve"> </w:t>
      </w:r>
    </w:p>
    <w:p w14:paraId="20AEA5FA" w14:textId="77777777" w:rsidR="006E7649" w:rsidRDefault="006E7649" w:rsidP="006E7649">
      <w:pPr>
        <w:tabs>
          <w:tab w:val="left" w:pos="553"/>
        </w:tabs>
        <w:spacing w:line="360" w:lineRule="auto"/>
        <w:rPr>
          <w:rFonts w:asciiTheme="majorHAnsi" w:hAnsiTheme="majorHAnsi" w:cstheme="majorHAnsi"/>
        </w:rPr>
      </w:pPr>
    </w:p>
    <w:p w14:paraId="67222DCD" w14:textId="151B9F73" w:rsidR="006E7649" w:rsidRPr="00CE5D8C" w:rsidRDefault="007B0F6A" w:rsidP="003434A6">
      <w:pPr>
        <w:keepNext/>
        <w:spacing w:after="120" w:line="360" w:lineRule="auto"/>
        <w:rPr>
          <w:rFonts w:ascii="Arial" w:eastAsia="Times New Roman" w:hAnsi="Arial" w:cs="Arial"/>
          <w:b/>
          <w:bCs/>
          <w:color w:val="3C3030"/>
        </w:rPr>
      </w:pPr>
      <w:r>
        <w:rPr>
          <w:rFonts w:ascii="Arial" w:eastAsia="Times New Roman" w:hAnsi="Arial" w:cs="Arial"/>
          <w:b/>
          <w:bCs/>
          <w:color w:val="3C3030"/>
        </w:rPr>
        <w:t xml:space="preserve">Negligence and Other </w:t>
      </w:r>
      <w:r w:rsidR="006E7649" w:rsidRPr="00CE5D8C">
        <w:rPr>
          <w:rFonts w:ascii="Arial" w:eastAsia="Times New Roman" w:hAnsi="Arial" w:cs="Arial"/>
          <w:b/>
          <w:bCs/>
          <w:color w:val="3C3030"/>
        </w:rPr>
        <w:t>Potential Theories of Civil Liability</w:t>
      </w:r>
    </w:p>
    <w:p w14:paraId="25440457" w14:textId="4D30E8A8" w:rsidR="006E7649" w:rsidRPr="00732FDB" w:rsidRDefault="006E7649" w:rsidP="006E7649">
      <w:pPr>
        <w:spacing w:line="360" w:lineRule="auto"/>
        <w:rPr>
          <w:rFonts w:asciiTheme="majorHAnsi" w:eastAsia="Times New Roman" w:hAnsiTheme="majorHAnsi" w:cstheme="majorHAnsi"/>
          <w:color w:val="000000" w:themeColor="text1"/>
        </w:rPr>
      </w:pPr>
      <w:r w:rsidRPr="00C310C2">
        <w:rPr>
          <w:rFonts w:asciiTheme="majorHAnsi" w:eastAsia="Times New Roman" w:hAnsiTheme="majorHAnsi" w:cstheme="majorHAnsi"/>
          <w:color w:val="000000" w:themeColor="text1"/>
        </w:rPr>
        <w:t>Civil liability is the most likely type of liability issue to arise in the context of an LD outbreak. As noted above, individuals and entities may be found directly or vicariously liable for the act</w:t>
      </w:r>
      <w:r>
        <w:rPr>
          <w:rFonts w:asciiTheme="majorHAnsi" w:eastAsia="Times New Roman" w:hAnsiTheme="majorHAnsi" w:cstheme="majorHAnsi"/>
          <w:color w:val="000000" w:themeColor="text1"/>
        </w:rPr>
        <w:t xml:space="preserve">s or omissions </w:t>
      </w:r>
      <w:r w:rsidRPr="00C310C2">
        <w:rPr>
          <w:rFonts w:asciiTheme="majorHAnsi" w:eastAsia="Times New Roman" w:hAnsiTheme="majorHAnsi" w:cstheme="majorHAnsi"/>
          <w:color w:val="000000" w:themeColor="text1"/>
        </w:rPr>
        <w:t>of themselves or their employees</w:t>
      </w:r>
      <w:r>
        <w:rPr>
          <w:rFonts w:asciiTheme="majorHAnsi" w:eastAsia="Times New Roman" w:hAnsiTheme="majorHAnsi" w:cstheme="majorHAnsi"/>
          <w:color w:val="000000" w:themeColor="text1"/>
        </w:rPr>
        <w:t xml:space="preserve"> or </w:t>
      </w:r>
      <w:r w:rsidRPr="00C310C2">
        <w:rPr>
          <w:rFonts w:asciiTheme="majorHAnsi" w:eastAsia="Times New Roman" w:hAnsiTheme="majorHAnsi" w:cstheme="majorHAnsi"/>
          <w:color w:val="000000" w:themeColor="text1"/>
        </w:rPr>
        <w:t>agents. If a</w:t>
      </w:r>
      <w:r>
        <w:rPr>
          <w:rFonts w:asciiTheme="majorHAnsi" w:eastAsia="Times New Roman" w:hAnsiTheme="majorHAnsi" w:cstheme="majorHAnsi"/>
          <w:color w:val="000000" w:themeColor="text1"/>
        </w:rPr>
        <w:t xml:space="preserve">n individual </w:t>
      </w:r>
      <w:r w:rsidRPr="00C310C2">
        <w:rPr>
          <w:rFonts w:asciiTheme="majorHAnsi" w:eastAsia="Times New Roman" w:hAnsiTheme="majorHAnsi" w:cstheme="majorHAnsi"/>
          <w:color w:val="000000" w:themeColor="text1"/>
        </w:rPr>
        <w:t>or entity is found civilly liable for causing harm, the aggrieved party can seek monetary compensation and, in some instances, an injunction to remediate the harm or to stop current or future action by the liable party.</w:t>
      </w:r>
      <w:r>
        <w:rPr>
          <w:rFonts w:asciiTheme="majorHAnsi" w:eastAsia="Times New Roman" w:hAnsiTheme="majorHAnsi" w:cstheme="majorHAnsi"/>
          <w:color w:val="000000" w:themeColor="text1"/>
        </w:rPr>
        <w:t xml:space="preserve"> Civil claims </w:t>
      </w:r>
      <w:r w:rsidRPr="00C310C2">
        <w:rPr>
          <w:rFonts w:asciiTheme="majorHAnsi" w:eastAsia="Times New Roman" w:hAnsiTheme="majorHAnsi" w:cstheme="majorHAnsi"/>
          <w:color w:val="000000" w:themeColor="text1"/>
        </w:rPr>
        <w:t xml:space="preserve">can </w:t>
      </w:r>
      <w:r>
        <w:rPr>
          <w:rFonts w:asciiTheme="majorHAnsi" w:eastAsia="Times New Roman" w:hAnsiTheme="majorHAnsi" w:cstheme="majorHAnsi"/>
          <w:color w:val="000000" w:themeColor="text1"/>
        </w:rPr>
        <w:t xml:space="preserve">generally </w:t>
      </w:r>
      <w:r w:rsidRPr="00C310C2">
        <w:rPr>
          <w:rFonts w:asciiTheme="majorHAnsi" w:eastAsia="Times New Roman" w:hAnsiTheme="majorHAnsi" w:cstheme="majorHAnsi"/>
          <w:color w:val="000000" w:themeColor="text1"/>
        </w:rPr>
        <w:t>translate into several different theories, including negligence, misrepresentations, privacy violations, discrimination, or even intention harm (i.e. battery).</w:t>
      </w:r>
      <w:r>
        <w:rPr>
          <w:rFonts w:asciiTheme="majorHAnsi" w:eastAsia="Times New Roman" w:hAnsiTheme="majorHAnsi" w:cstheme="majorHAnsi"/>
          <w:color w:val="000000" w:themeColor="text1"/>
        </w:rPr>
        <w:t xml:space="preserve"> This section will focus on the most common form of civil liability claim—negligence— that arises </w:t>
      </w:r>
      <w:r w:rsidRPr="00C310C2">
        <w:rPr>
          <w:rFonts w:asciiTheme="majorHAnsi" w:eastAsia="Times New Roman" w:hAnsiTheme="majorHAnsi" w:cstheme="majorHAnsi"/>
          <w:color w:val="000000" w:themeColor="text1"/>
        </w:rPr>
        <w:t>during or in the aftermath of an LD outbreak</w:t>
      </w:r>
      <w:r>
        <w:rPr>
          <w:rFonts w:asciiTheme="majorHAnsi" w:eastAsia="Times New Roman" w:hAnsiTheme="majorHAnsi" w:cstheme="majorHAnsi"/>
          <w:color w:val="000000" w:themeColor="text1"/>
        </w:rPr>
        <w:t xml:space="preserve">. </w:t>
      </w:r>
    </w:p>
    <w:p w14:paraId="3D67428A" w14:textId="77777777" w:rsidR="006E7649" w:rsidRPr="00732FDB" w:rsidRDefault="006E7649" w:rsidP="006E7649">
      <w:pPr>
        <w:spacing w:line="360" w:lineRule="auto"/>
        <w:rPr>
          <w:rFonts w:asciiTheme="majorHAnsi" w:eastAsia="Times New Roman" w:hAnsiTheme="majorHAnsi" w:cstheme="majorHAnsi"/>
          <w:color w:val="000000" w:themeColor="text1"/>
        </w:rPr>
      </w:pPr>
    </w:p>
    <w:p w14:paraId="3D70862B" w14:textId="77777777" w:rsidR="006E7649" w:rsidRPr="00732FDB" w:rsidRDefault="006E7649" w:rsidP="006E7649">
      <w:pPr>
        <w:keepNext/>
        <w:keepLines/>
        <w:spacing w:line="360" w:lineRule="auto"/>
        <w:rPr>
          <w:rFonts w:asciiTheme="majorHAnsi" w:eastAsia="Times New Roman" w:hAnsiTheme="majorHAnsi" w:cstheme="majorHAnsi"/>
          <w:b/>
          <w:bCs/>
          <w:color w:val="000000" w:themeColor="text1"/>
          <w:szCs w:val="20"/>
        </w:rPr>
      </w:pPr>
      <w:r w:rsidRPr="00732FDB">
        <w:rPr>
          <w:rFonts w:asciiTheme="majorHAnsi" w:eastAsia="Times New Roman" w:hAnsiTheme="majorHAnsi" w:cstheme="majorHAnsi"/>
          <w:b/>
          <w:bCs/>
          <w:color w:val="000000" w:themeColor="text1"/>
          <w:szCs w:val="20"/>
        </w:rPr>
        <w:t>Negligence</w:t>
      </w:r>
    </w:p>
    <w:p w14:paraId="20D7F7E4" w14:textId="13A0D11E" w:rsidR="006E7649" w:rsidRPr="00082C5A" w:rsidRDefault="006E7649" w:rsidP="006E7649">
      <w:pPr>
        <w:spacing w:after="120" w:line="360" w:lineRule="auto"/>
        <w:rPr>
          <w:rFonts w:asciiTheme="majorHAnsi" w:eastAsia="Times New Roman" w:hAnsiTheme="majorHAnsi" w:cstheme="majorHAnsi"/>
          <w:color w:val="000000" w:themeColor="text1"/>
          <w:szCs w:val="20"/>
        </w:rPr>
      </w:pPr>
      <w:r w:rsidRPr="00732FDB">
        <w:rPr>
          <w:rFonts w:asciiTheme="majorHAnsi" w:eastAsia="Times New Roman" w:hAnsiTheme="majorHAnsi" w:cstheme="majorHAnsi"/>
          <w:color w:val="000000" w:themeColor="text1"/>
          <w:szCs w:val="20"/>
        </w:rPr>
        <w:t xml:space="preserve">Negligence occurs when the unintentional but wrongful conduct of an individual or entity (defendant) causes harm to another or their property. </w:t>
      </w:r>
      <w:r w:rsidR="00E06A49">
        <w:rPr>
          <w:rFonts w:asciiTheme="majorHAnsi" w:eastAsia="Times New Roman" w:hAnsiTheme="majorHAnsi" w:cstheme="majorHAnsi"/>
          <w:color w:val="000000" w:themeColor="text1"/>
          <w:szCs w:val="20"/>
        </w:rPr>
        <w:t>As a general proposition, t</w:t>
      </w:r>
      <w:r w:rsidRPr="00732FDB">
        <w:rPr>
          <w:rFonts w:asciiTheme="majorHAnsi" w:eastAsia="Times New Roman" w:hAnsiTheme="majorHAnsi" w:cstheme="majorHAnsi"/>
          <w:color w:val="000000" w:themeColor="text1"/>
          <w:szCs w:val="20"/>
        </w:rPr>
        <w:t xml:space="preserve">he injured party (plaintiff) must prove the following elements for finding of negligence: (1) the defendant owes the plaintiff a duty of care (including a duty of ordinary care); (2) the defendant breached that duty by failing to meet the applicable standard of care; (3) the defendant’s actions resulted in harm to the plaintiff; and (4) the defendant’s breach of duty was the </w:t>
      </w:r>
      <w:r w:rsidRPr="00732FDB">
        <w:rPr>
          <w:rFonts w:asciiTheme="majorHAnsi" w:eastAsia="Times New Roman" w:hAnsiTheme="majorHAnsi" w:cstheme="majorHAnsi"/>
          <w:color w:val="000000" w:themeColor="text1"/>
          <w:szCs w:val="20"/>
        </w:rPr>
        <w:lastRenderedPageBreak/>
        <w:t xml:space="preserve">cause of the plaintiff’s injury. A duty of ordinary care means the amount of care that a reasonable person would take under similar circumstances; this standard is also known as the “reasonable person” standard. However, </w:t>
      </w:r>
      <w:r w:rsidR="000E642A">
        <w:rPr>
          <w:rFonts w:asciiTheme="majorHAnsi" w:eastAsia="Times New Roman" w:hAnsiTheme="majorHAnsi" w:cstheme="majorHAnsi"/>
          <w:color w:val="000000" w:themeColor="text1"/>
          <w:szCs w:val="20"/>
        </w:rPr>
        <w:t xml:space="preserve">it is important to note that </w:t>
      </w:r>
      <w:r w:rsidRPr="00732FDB">
        <w:rPr>
          <w:rFonts w:asciiTheme="majorHAnsi" w:eastAsia="Times New Roman" w:hAnsiTheme="majorHAnsi" w:cstheme="majorHAnsi"/>
          <w:color w:val="000000" w:themeColor="text1"/>
          <w:szCs w:val="20"/>
        </w:rPr>
        <w:t>the standard of care that would apply to</w:t>
      </w:r>
      <w:r w:rsidR="009F695D">
        <w:rPr>
          <w:rFonts w:asciiTheme="majorHAnsi" w:eastAsia="Times New Roman" w:hAnsiTheme="majorHAnsi" w:cstheme="majorHAnsi"/>
          <w:color w:val="000000" w:themeColor="text1"/>
          <w:szCs w:val="20"/>
        </w:rPr>
        <w:t xml:space="preserve"> a</w:t>
      </w:r>
      <w:r w:rsidRPr="00732FDB">
        <w:rPr>
          <w:rFonts w:asciiTheme="majorHAnsi" w:eastAsia="Times New Roman" w:hAnsiTheme="majorHAnsi" w:cstheme="majorHAnsi"/>
          <w:color w:val="000000" w:themeColor="text1"/>
          <w:szCs w:val="20"/>
        </w:rPr>
        <w:t xml:space="preserve"> physician or other person with specialized skills may be different than an ordinary care standard. Determining the applicable standard of care </w:t>
      </w:r>
      <w:r w:rsidR="009F695D">
        <w:rPr>
          <w:rFonts w:asciiTheme="majorHAnsi" w:eastAsia="Times New Roman" w:hAnsiTheme="majorHAnsi" w:cstheme="majorHAnsi"/>
          <w:color w:val="000000" w:themeColor="text1"/>
          <w:szCs w:val="20"/>
        </w:rPr>
        <w:t xml:space="preserve">to apply </w:t>
      </w:r>
      <w:r w:rsidR="00D005CD">
        <w:rPr>
          <w:rFonts w:asciiTheme="majorHAnsi" w:eastAsia="Times New Roman" w:hAnsiTheme="majorHAnsi" w:cstheme="majorHAnsi"/>
          <w:color w:val="000000" w:themeColor="text1"/>
          <w:szCs w:val="20"/>
        </w:rPr>
        <w:t>is a</w:t>
      </w:r>
      <w:r w:rsidRPr="00732FDB">
        <w:rPr>
          <w:rFonts w:asciiTheme="majorHAnsi" w:eastAsia="Times New Roman" w:hAnsiTheme="majorHAnsi" w:cstheme="majorHAnsi"/>
          <w:color w:val="000000" w:themeColor="text1"/>
          <w:szCs w:val="20"/>
        </w:rPr>
        <w:t xml:space="preserve"> </w:t>
      </w:r>
      <w:r w:rsidRPr="00956422">
        <w:rPr>
          <w:rFonts w:asciiTheme="majorHAnsi" w:eastAsia="Times New Roman" w:hAnsiTheme="majorHAnsi" w:cstheme="majorHAnsi"/>
          <w:color w:val="000000" w:themeColor="text1"/>
          <w:szCs w:val="20"/>
        </w:rPr>
        <w:t>significant issue in negligence cases, including whether or not some emergency circumstances existed that would make a defendant’s action reasonable given those emergency circumstances.</w:t>
      </w:r>
      <w:r w:rsidRPr="00732FDB">
        <w:rPr>
          <w:rFonts w:asciiTheme="majorHAnsi" w:eastAsia="Times New Roman" w:hAnsiTheme="majorHAnsi" w:cstheme="majorHAnsi"/>
          <w:color w:val="000000" w:themeColor="text1"/>
          <w:szCs w:val="20"/>
        </w:rPr>
        <w:t xml:space="preserve"> </w:t>
      </w:r>
      <w:r w:rsidR="00082C5A">
        <w:rPr>
          <w:rFonts w:asciiTheme="majorHAnsi" w:eastAsia="Times New Roman" w:hAnsiTheme="majorHAnsi" w:cstheme="majorHAnsi"/>
          <w:color w:val="000000" w:themeColor="text1"/>
          <w:szCs w:val="20"/>
        </w:rPr>
        <w:t>D</w:t>
      </w:r>
      <w:r w:rsidR="00082C5A">
        <w:rPr>
          <w:rFonts w:asciiTheme="majorHAnsi" w:eastAsia="Times New Roman" w:hAnsiTheme="majorHAnsi" w:cstheme="majorHAnsi"/>
          <w:color w:val="000000" w:themeColor="text1"/>
          <w:szCs w:val="20"/>
        </w:rPr>
        <w:t xml:space="preserve">epending on the type of setting in which </w:t>
      </w:r>
      <w:r w:rsidR="00082C5A">
        <w:rPr>
          <w:rFonts w:asciiTheme="majorHAnsi" w:eastAsia="Times New Roman" w:hAnsiTheme="majorHAnsi" w:cstheme="majorHAnsi"/>
          <w:color w:val="000000" w:themeColor="text1"/>
          <w:szCs w:val="20"/>
        </w:rPr>
        <w:t xml:space="preserve">an LD </w:t>
      </w:r>
      <w:r w:rsidR="00082C5A">
        <w:rPr>
          <w:rFonts w:asciiTheme="majorHAnsi" w:eastAsia="Times New Roman" w:hAnsiTheme="majorHAnsi" w:cstheme="majorHAnsi"/>
          <w:color w:val="000000" w:themeColor="text1"/>
          <w:szCs w:val="20"/>
        </w:rPr>
        <w:t>outbreak occur</w:t>
      </w:r>
      <w:r w:rsidR="00082C5A">
        <w:rPr>
          <w:rFonts w:asciiTheme="majorHAnsi" w:eastAsia="Times New Roman" w:hAnsiTheme="majorHAnsi" w:cstheme="majorHAnsi"/>
          <w:color w:val="000000" w:themeColor="text1"/>
          <w:szCs w:val="20"/>
        </w:rPr>
        <w:t>s, t</w:t>
      </w:r>
      <w:r w:rsidRPr="00732FDB">
        <w:rPr>
          <w:rFonts w:asciiTheme="majorHAnsi" w:eastAsia="Times New Roman" w:hAnsiTheme="majorHAnsi" w:cstheme="majorHAnsi"/>
          <w:color w:val="000000" w:themeColor="text1"/>
          <w:szCs w:val="20"/>
        </w:rPr>
        <w:t xml:space="preserve">here are several </w:t>
      </w:r>
      <w:r w:rsidR="00082C5A">
        <w:rPr>
          <w:rFonts w:asciiTheme="majorHAnsi" w:eastAsia="Times New Roman" w:hAnsiTheme="majorHAnsi" w:cstheme="majorHAnsi"/>
          <w:color w:val="000000" w:themeColor="text1"/>
          <w:szCs w:val="20"/>
        </w:rPr>
        <w:t xml:space="preserve">different theories of negligence </w:t>
      </w:r>
      <w:r w:rsidRPr="00732FDB">
        <w:rPr>
          <w:rFonts w:asciiTheme="majorHAnsi" w:eastAsia="Times New Roman" w:hAnsiTheme="majorHAnsi" w:cstheme="majorHAnsi"/>
          <w:color w:val="000000" w:themeColor="text1"/>
          <w:szCs w:val="20"/>
        </w:rPr>
        <w:t>that could apply</w:t>
      </w:r>
      <w:r w:rsidR="00082C5A">
        <w:rPr>
          <w:rFonts w:asciiTheme="majorHAnsi" w:eastAsia="Times New Roman" w:hAnsiTheme="majorHAnsi" w:cstheme="majorHAnsi"/>
          <w:color w:val="000000" w:themeColor="text1"/>
          <w:szCs w:val="20"/>
        </w:rPr>
        <w:t>:</w:t>
      </w:r>
      <w:r w:rsidRPr="00732FDB">
        <w:rPr>
          <w:rFonts w:asciiTheme="majorHAnsi" w:eastAsia="Times New Roman" w:hAnsiTheme="majorHAnsi" w:cstheme="majorHAnsi"/>
          <w:color w:val="000000" w:themeColor="text1"/>
          <w:szCs w:val="20"/>
        </w:rPr>
        <w:t xml:space="preserve"> </w:t>
      </w:r>
    </w:p>
    <w:p w14:paraId="2DA62EFB" w14:textId="64449C31" w:rsidR="006E7649" w:rsidRPr="004577C2" w:rsidRDefault="006E7649" w:rsidP="006E7649">
      <w:pPr>
        <w:numPr>
          <w:ilvl w:val="0"/>
          <w:numId w:val="1"/>
        </w:numPr>
        <w:spacing w:line="360" w:lineRule="auto"/>
        <w:textAlignment w:val="baseline"/>
        <w:rPr>
          <w:rFonts w:asciiTheme="majorHAnsi" w:eastAsia="Times New Roman" w:hAnsiTheme="majorHAnsi" w:cs="Arial"/>
          <w:color w:val="000000" w:themeColor="text1"/>
          <w:szCs w:val="20"/>
        </w:rPr>
      </w:pPr>
      <w:r w:rsidRPr="004577C2">
        <w:rPr>
          <w:rFonts w:asciiTheme="majorHAnsi" w:eastAsia="Times New Roman" w:hAnsiTheme="majorHAnsi" w:cs="Arial"/>
          <w:b/>
          <w:bCs/>
          <w:color w:val="000000" w:themeColor="text1"/>
          <w:szCs w:val="20"/>
          <w:bdr w:val="none" w:sz="0" w:space="0" w:color="auto" w:frame="1"/>
        </w:rPr>
        <w:t>Premises Liability—</w:t>
      </w:r>
      <w:r w:rsidRPr="004577C2">
        <w:rPr>
          <w:rFonts w:asciiTheme="majorHAnsi" w:eastAsia="Times New Roman" w:hAnsiTheme="majorHAnsi" w:cs="Arial"/>
          <w:color w:val="000000" w:themeColor="text1"/>
          <w:szCs w:val="20"/>
          <w:bdr w:val="none" w:sz="0" w:space="0" w:color="auto" w:frame="1"/>
        </w:rPr>
        <w:t xml:space="preserve">This theory is most likely to be used against a facility involved in an LD outbreak. </w:t>
      </w:r>
      <w:r w:rsidRPr="004577C2">
        <w:rPr>
          <w:rFonts w:asciiTheme="majorHAnsi" w:eastAsia="Times New Roman" w:hAnsiTheme="majorHAnsi" w:cs="Arial"/>
          <w:color w:val="000000" w:themeColor="text1"/>
          <w:szCs w:val="20"/>
        </w:rPr>
        <w:t xml:space="preserve">An individual or entity who owns, controls, and/or operates a facility (e.g., building, pool, manufacturing site) may be held responsible for injuries that occurred to people present at the facility. </w:t>
      </w:r>
      <w:r w:rsidR="007E026F">
        <w:rPr>
          <w:rFonts w:asciiTheme="majorHAnsi" w:eastAsia="Times New Roman" w:hAnsiTheme="majorHAnsi" w:cs="Arial"/>
          <w:color w:val="000000" w:themeColor="text1"/>
          <w:szCs w:val="20"/>
        </w:rPr>
        <w:t>In general,</w:t>
      </w:r>
      <w:r w:rsidRPr="004577C2">
        <w:rPr>
          <w:rFonts w:asciiTheme="majorHAnsi" w:eastAsia="Times New Roman" w:hAnsiTheme="majorHAnsi" w:cs="Arial"/>
          <w:color w:val="000000" w:themeColor="text1"/>
          <w:szCs w:val="20"/>
        </w:rPr>
        <w:t xml:space="preserve"> premises liability cases can use the reasonable person standard of care: the premises possessor owes a duty of reasonable care to anyone entering the premises, regardless of their relationship to the premise’s possessor.</w:t>
      </w:r>
      <w:r w:rsidRPr="004577C2">
        <w:rPr>
          <w:rStyle w:val="FootnoteReference"/>
          <w:rFonts w:asciiTheme="majorHAnsi" w:eastAsia="Times New Roman" w:hAnsiTheme="majorHAnsi" w:cs="Arial"/>
          <w:color w:val="000000" w:themeColor="text1"/>
          <w:szCs w:val="20"/>
        </w:rPr>
        <w:footnoteReference w:id="2"/>
      </w:r>
      <w:r w:rsidRPr="004577C2">
        <w:rPr>
          <w:rFonts w:asciiTheme="majorHAnsi" w:eastAsia="Times New Roman" w:hAnsiTheme="majorHAnsi" w:cs="Arial"/>
          <w:color w:val="000000" w:themeColor="text1"/>
          <w:szCs w:val="20"/>
        </w:rPr>
        <w:t xml:space="preserve"> However, the standard of care will be </w:t>
      </w:r>
      <w:r w:rsidRPr="004577C2">
        <w:rPr>
          <w:rFonts w:asciiTheme="majorHAnsi" w:eastAsia="Times New Roman" w:hAnsiTheme="majorHAnsi" w:cs="Arial"/>
          <w:color w:val="000000" w:themeColor="text1"/>
          <w:szCs w:val="20"/>
        </w:rPr>
        <w:lastRenderedPageBreak/>
        <w:t>different depending on what type of facility is involved in the LD outbreak—hospital, congregate living facility, hotel, pool, etc. The specific standards that will be applied to a particular type of facility will be found in statutory and regulatory requirements, industry standards, and court decision</w:t>
      </w:r>
      <w:r w:rsidR="003F3599">
        <w:rPr>
          <w:rFonts w:asciiTheme="majorHAnsi" w:eastAsia="Times New Roman" w:hAnsiTheme="majorHAnsi" w:cs="Arial"/>
          <w:color w:val="000000" w:themeColor="text1"/>
          <w:szCs w:val="20"/>
        </w:rPr>
        <w:t>s</w:t>
      </w:r>
      <w:r w:rsidRPr="004577C2">
        <w:rPr>
          <w:rFonts w:asciiTheme="majorHAnsi" w:eastAsia="Times New Roman" w:hAnsiTheme="majorHAnsi" w:cs="Arial"/>
          <w:color w:val="000000" w:themeColor="text1"/>
          <w:szCs w:val="20"/>
        </w:rPr>
        <w:t>.</w:t>
      </w:r>
    </w:p>
    <w:p w14:paraId="5B65151F" w14:textId="77777777" w:rsidR="006E7649" w:rsidRPr="004577C2" w:rsidRDefault="006E7649" w:rsidP="006E7649">
      <w:pPr>
        <w:spacing w:line="360" w:lineRule="auto"/>
        <w:ind w:left="360"/>
        <w:textAlignment w:val="baseline"/>
        <w:rPr>
          <w:rFonts w:asciiTheme="majorHAnsi" w:eastAsia="Times New Roman" w:hAnsiTheme="majorHAnsi" w:cs="Arial"/>
          <w:b/>
          <w:bCs/>
          <w:color w:val="000000" w:themeColor="text1"/>
          <w:szCs w:val="20"/>
          <w:bdr w:val="none" w:sz="0" w:space="0" w:color="auto" w:frame="1"/>
        </w:rPr>
      </w:pPr>
    </w:p>
    <w:p w14:paraId="2DACD826" w14:textId="2B094D69" w:rsidR="00D81DE6" w:rsidRDefault="006E7649" w:rsidP="006E7649">
      <w:pPr>
        <w:numPr>
          <w:ilvl w:val="0"/>
          <w:numId w:val="1"/>
        </w:numPr>
        <w:spacing w:line="360" w:lineRule="auto"/>
        <w:textAlignment w:val="baseline"/>
        <w:rPr>
          <w:rFonts w:asciiTheme="majorHAnsi" w:eastAsia="Times New Roman" w:hAnsiTheme="majorHAnsi" w:cs="Arial"/>
          <w:color w:val="000000" w:themeColor="text1"/>
          <w:szCs w:val="20"/>
        </w:rPr>
      </w:pPr>
      <w:r w:rsidRPr="004577C2">
        <w:rPr>
          <w:rFonts w:asciiTheme="majorHAnsi" w:eastAsia="Times New Roman" w:hAnsiTheme="majorHAnsi" w:cs="Arial"/>
          <w:b/>
          <w:bCs/>
          <w:color w:val="000000" w:themeColor="text1"/>
          <w:szCs w:val="20"/>
          <w:bdr w:val="none" w:sz="0" w:space="0" w:color="auto" w:frame="1"/>
        </w:rPr>
        <w:t>Negligence Per Se—</w:t>
      </w:r>
      <w:r w:rsidRPr="004577C2">
        <w:rPr>
          <w:rFonts w:asciiTheme="majorHAnsi" w:eastAsia="Times New Roman" w:hAnsiTheme="majorHAnsi" w:cs="Arial"/>
          <w:color w:val="000000" w:themeColor="text1"/>
          <w:szCs w:val="20"/>
        </w:rPr>
        <w:t xml:space="preserve">This theory allows a statute or regulation to be used to set the standard of care when determining negligence. In order to find negligence per se, the plaintiff must be in the category of persons the statute was intended to protect and the injury must be one that the statute was intended to prevent. </w:t>
      </w:r>
      <w:r w:rsidR="00D81DE6">
        <w:rPr>
          <w:rFonts w:asciiTheme="majorHAnsi" w:eastAsia="Times New Roman" w:hAnsiTheme="majorHAnsi" w:cs="Arial"/>
          <w:color w:val="000000" w:themeColor="text1"/>
          <w:szCs w:val="20"/>
        </w:rPr>
        <w:t xml:space="preserve">If the plaintiff </w:t>
      </w:r>
      <w:r w:rsidR="00165436">
        <w:rPr>
          <w:rFonts w:asciiTheme="majorHAnsi" w:eastAsia="Times New Roman" w:hAnsiTheme="majorHAnsi" w:cs="Arial"/>
          <w:color w:val="000000" w:themeColor="text1"/>
          <w:szCs w:val="20"/>
        </w:rPr>
        <w:t xml:space="preserve">meets these requirements, then </w:t>
      </w:r>
      <w:r w:rsidR="00270D80">
        <w:rPr>
          <w:rFonts w:asciiTheme="majorHAnsi" w:eastAsia="Times New Roman" w:hAnsiTheme="majorHAnsi" w:cs="Arial"/>
          <w:color w:val="000000" w:themeColor="text1"/>
          <w:szCs w:val="20"/>
        </w:rPr>
        <w:t xml:space="preserve">the </w:t>
      </w:r>
      <w:r w:rsidR="00165436">
        <w:rPr>
          <w:rFonts w:asciiTheme="majorHAnsi" w:eastAsia="Times New Roman" w:hAnsiTheme="majorHAnsi" w:cs="Arial"/>
          <w:color w:val="000000" w:themeColor="text1"/>
          <w:szCs w:val="20"/>
        </w:rPr>
        <w:t>defendant</w:t>
      </w:r>
      <w:r w:rsidR="00270D80">
        <w:rPr>
          <w:rFonts w:asciiTheme="majorHAnsi" w:eastAsia="Times New Roman" w:hAnsiTheme="majorHAnsi" w:cs="Arial"/>
          <w:color w:val="000000" w:themeColor="text1"/>
          <w:szCs w:val="20"/>
        </w:rPr>
        <w:t xml:space="preserve"> is found to be negligent based on </w:t>
      </w:r>
      <w:r w:rsidR="00CB5103">
        <w:rPr>
          <w:rFonts w:asciiTheme="majorHAnsi" w:eastAsia="Times New Roman" w:hAnsiTheme="majorHAnsi" w:cs="Arial"/>
          <w:color w:val="000000" w:themeColor="text1"/>
          <w:szCs w:val="20"/>
        </w:rPr>
        <w:t xml:space="preserve">the </w:t>
      </w:r>
      <w:r w:rsidR="00165436">
        <w:rPr>
          <w:rFonts w:asciiTheme="majorHAnsi" w:eastAsia="Times New Roman" w:hAnsiTheme="majorHAnsi" w:cs="Arial"/>
          <w:color w:val="000000" w:themeColor="text1"/>
          <w:szCs w:val="20"/>
        </w:rPr>
        <w:t>violation of a controlling statute or regulation</w:t>
      </w:r>
      <w:r w:rsidR="00CB5103">
        <w:rPr>
          <w:rFonts w:asciiTheme="majorHAnsi" w:eastAsia="Times New Roman" w:hAnsiTheme="majorHAnsi" w:cs="Arial"/>
          <w:color w:val="000000" w:themeColor="text1"/>
          <w:szCs w:val="20"/>
        </w:rPr>
        <w:t xml:space="preserve">. </w:t>
      </w:r>
      <w:r w:rsidRPr="004577C2">
        <w:rPr>
          <w:rFonts w:asciiTheme="majorHAnsi" w:eastAsia="Times New Roman" w:hAnsiTheme="majorHAnsi" w:cs="Arial"/>
          <w:color w:val="000000" w:themeColor="text1"/>
          <w:szCs w:val="20"/>
        </w:rPr>
        <w:t>Negligence per se is a subset of both negligence and statutory violations; however, all negligence claims do not require violation of a statute to be successful, and all violations of statutes do not constitute negligence per se.</w:t>
      </w:r>
      <w:r w:rsidR="00D81DE6">
        <w:rPr>
          <w:rFonts w:asciiTheme="majorHAnsi" w:eastAsia="Times New Roman" w:hAnsiTheme="majorHAnsi" w:cs="Arial"/>
          <w:color w:val="000000" w:themeColor="text1"/>
          <w:szCs w:val="20"/>
        </w:rPr>
        <w:t xml:space="preserve"> </w:t>
      </w:r>
    </w:p>
    <w:p w14:paraId="5AECF435" w14:textId="77777777" w:rsidR="00D81DE6" w:rsidRDefault="00D81DE6" w:rsidP="00D81DE6">
      <w:pPr>
        <w:pStyle w:val="ListParagraph"/>
        <w:rPr>
          <w:rFonts w:asciiTheme="majorHAnsi" w:eastAsia="Times New Roman" w:hAnsiTheme="majorHAnsi" w:cs="Arial"/>
          <w:color w:val="000000" w:themeColor="text1"/>
          <w:szCs w:val="20"/>
        </w:rPr>
      </w:pPr>
    </w:p>
    <w:p w14:paraId="0FEC262B" w14:textId="051388E3" w:rsidR="000E4022" w:rsidRPr="000E4022" w:rsidRDefault="00420562" w:rsidP="000E4022">
      <w:pPr>
        <w:spacing w:line="360" w:lineRule="auto"/>
        <w:ind w:left="360"/>
        <w:textAlignment w:val="baseline"/>
        <w:rPr>
          <w:rFonts w:asciiTheme="majorHAnsi" w:eastAsia="Times New Roman" w:hAnsiTheme="majorHAnsi" w:cs="Arial"/>
          <w:color w:val="000000" w:themeColor="text1"/>
          <w:szCs w:val="20"/>
        </w:rPr>
      </w:pPr>
      <w:r>
        <w:rPr>
          <w:rFonts w:asciiTheme="majorHAnsi" w:eastAsia="Times New Roman" w:hAnsiTheme="majorHAnsi" w:cs="Arial"/>
          <w:color w:val="000000" w:themeColor="text1"/>
          <w:szCs w:val="20"/>
        </w:rPr>
        <w:t xml:space="preserve">In some </w:t>
      </w:r>
      <w:r w:rsidRPr="004577C2">
        <w:rPr>
          <w:rFonts w:asciiTheme="majorHAnsi" w:eastAsia="Times New Roman" w:hAnsiTheme="majorHAnsi" w:cs="Arial"/>
          <w:color w:val="000000" w:themeColor="text1"/>
          <w:szCs w:val="20"/>
        </w:rPr>
        <w:t>states</w:t>
      </w:r>
      <w:r>
        <w:rPr>
          <w:rFonts w:asciiTheme="majorHAnsi" w:eastAsia="Times New Roman" w:hAnsiTheme="majorHAnsi" w:cs="Arial"/>
          <w:color w:val="000000" w:themeColor="text1"/>
          <w:szCs w:val="20"/>
        </w:rPr>
        <w:t xml:space="preserve">, </w:t>
      </w:r>
      <w:r w:rsidRPr="004577C2">
        <w:rPr>
          <w:rFonts w:asciiTheme="majorHAnsi" w:eastAsia="Times New Roman" w:hAnsiTheme="majorHAnsi" w:cs="Arial"/>
          <w:color w:val="000000" w:themeColor="text1"/>
          <w:szCs w:val="20"/>
        </w:rPr>
        <w:t xml:space="preserve">only statutes, which have been passed by a legislature, </w:t>
      </w:r>
      <w:r w:rsidR="00DE3DFB">
        <w:rPr>
          <w:rFonts w:asciiTheme="majorHAnsi" w:eastAsia="Times New Roman" w:hAnsiTheme="majorHAnsi" w:cs="Arial"/>
          <w:color w:val="000000" w:themeColor="text1"/>
          <w:szCs w:val="20"/>
        </w:rPr>
        <w:t xml:space="preserve">are allowed </w:t>
      </w:r>
      <w:r w:rsidRPr="004577C2">
        <w:rPr>
          <w:rFonts w:asciiTheme="majorHAnsi" w:eastAsia="Times New Roman" w:hAnsiTheme="majorHAnsi" w:cs="Arial"/>
          <w:color w:val="000000" w:themeColor="text1"/>
          <w:szCs w:val="20"/>
        </w:rPr>
        <w:t xml:space="preserve">to be used to </w:t>
      </w:r>
      <w:r w:rsidR="00DE3DFB">
        <w:rPr>
          <w:rFonts w:asciiTheme="majorHAnsi" w:eastAsia="Times New Roman" w:hAnsiTheme="majorHAnsi" w:cs="Arial"/>
          <w:color w:val="000000" w:themeColor="text1"/>
          <w:szCs w:val="20"/>
        </w:rPr>
        <w:t xml:space="preserve">establish a standard </w:t>
      </w:r>
      <w:r w:rsidR="00EF2EDB">
        <w:rPr>
          <w:rFonts w:asciiTheme="majorHAnsi" w:eastAsia="Times New Roman" w:hAnsiTheme="majorHAnsi" w:cs="Arial"/>
          <w:color w:val="000000" w:themeColor="text1"/>
          <w:szCs w:val="20"/>
        </w:rPr>
        <w:t xml:space="preserve">of care in a </w:t>
      </w:r>
      <w:r w:rsidRPr="004577C2">
        <w:rPr>
          <w:rFonts w:asciiTheme="majorHAnsi" w:eastAsia="Times New Roman" w:hAnsiTheme="majorHAnsi" w:cs="Arial"/>
          <w:color w:val="000000" w:themeColor="text1"/>
          <w:szCs w:val="20"/>
        </w:rPr>
        <w:t>negligence per se</w:t>
      </w:r>
      <w:r w:rsidR="00EF2EDB">
        <w:rPr>
          <w:rFonts w:asciiTheme="majorHAnsi" w:eastAsia="Times New Roman" w:hAnsiTheme="majorHAnsi" w:cs="Arial"/>
          <w:color w:val="000000" w:themeColor="text1"/>
          <w:szCs w:val="20"/>
        </w:rPr>
        <w:t xml:space="preserve"> case</w:t>
      </w:r>
      <w:r w:rsidRPr="004577C2">
        <w:rPr>
          <w:rFonts w:asciiTheme="majorHAnsi" w:eastAsia="Times New Roman" w:hAnsiTheme="majorHAnsi" w:cs="Arial"/>
          <w:color w:val="000000" w:themeColor="text1"/>
          <w:szCs w:val="20"/>
        </w:rPr>
        <w:t>.</w:t>
      </w:r>
      <w:r w:rsidR="009D521A">
        <w:rPr>
          <w:rStyle w:val="FootnoteReference"/>
          <w:rFonts w:asciiTheme="majorHAnsi" w:eastAsia="Times New Roman" w:hAnsiTheme="majorHAnsi" w:cs="Arial"/>
          <w:color w:val="000000" w:themeColor="text1"/>
          <w:szCs w:val="20"/>
        </w:rPr>
        <w:footnoteReference w:id="3"/>
      </w:r>
      <w:r w:rsidR="00CB5103">
        <w:rPr>
          <w:rFonts w:asciiTheme="majorHAnsi" w:eastAsia="Times New Roman" w:hAnsiTheme="majorHAnsi" w:cs="Arial"/>
          <w:color w:val="000000" w:themeColor="text1"/>
          <w:szCs w:val="20"/>
        </w:rPr>
        <w:t xml:space="preserve"> For example, </w:t>
      </w:r>
      <w:r w:rsidR="00292641">
        <w:rPr>
          <w:rFonts w:asciiTheme="majorHAnsi" w:eastAsia="Times New Roman" w:hAnsiTheme="majorHAnsi" w:cs="Arial"/>
          <w:color w:val="000000" w:themeColor="text1"/>
          <w:szCs w:val="20"/>
        </w:rPr>
        <w:t>in a</w:t>
      </w:r>
      <w:r w:rsidR="00C75BFC">
        <w:rPr>
          <w:rFonts w:asciiTheme="majorHAnsi" w:eastAsia="Times New Roman" w:hAnsiTheme="majorHAnsi" w:cs="Arial"/>
          <w:color w:val="000000" w:themeColor="text1"/>
          <w:szCs w:val="20"/>
        </w:rPr>
        <w:t xml:space="preserve"> </w:t>
      </w:r>
      <w:r w:rsidR="0083765A">
        <w:rPr>
          <w:rFonts w:asciiTheme="majorHAnsi" w:eastAsia="Times New Roman" w:hAnsiTheme="majorHAnsi" w:cs="Arial"/>
          <w:color w:val="000000" w:themeColor="text1"/>
          <w:szCs w:val="20"/>
        </w:rPr>
        <w:t xml:space="preserve">New York </w:t>
      </w:r>
      <w:r w:rsidR="00C75BFC">
        <w:rPr>
          <w:rFonts w:asciiTheme="majorHAnsi" w:eastAsia="Times New Roman" w:hAnsiTheme="majorHAnsi" w:cs="Arial"/>
          <w:color w:val="000000" w:themeColor="text1"/>
          <w:szCs w:val="20"/>
        </w:rPr>
        <w:t xml:space="preserve">case involving a </w:t>
      </w:r>
      <w:r w:rsidR="0083765A">
        <w:rPr>
          <w:rFonts w:asciiTheme="majorHAnsi" w:eastAsia="Times New Roman" w:hAnsiTheme="majorHAnsi" w:cs="Arial"/>
          <w:color w:val="000000" w:themeColor="text1"/>
          <w:szCs w:val="20"/>
        </w:rPr>
        <w:t>plaintiff</w:t>
      </w:r>
      <w:r w:rsidR="0069022B">
        <w:rPr>
          <w:rFonts w:asciiTheme="majorHAnsi" w:eastAsia="Times New Roman" w:hAnsiTheme="majorHAnsi" w:cs="Arial"/>
          <w:color w:val="000000" w:themeColor="text1"/>
          <w:szCs w:val="20"/>
        </w:rPr>
        <w:t xml:space="preserve"> who</w:t>
      </w:r>
      <w:r w:rsidR="00C75BFC">
        <w:rPr>
          <w:rFonts w:asciiTheme="majorHAnsi" w:eastAsia="Times New Roman" w:hAnsiTheme="majorHAnsi" w:cs="Arial"/>
          <w:color w:val="000000" w:themeColor="text1"/>
          <w:szCs w:val="20"/>
        </w:rPr>
        <w:t xml:space="preserve"> acquir</w:t>
      </w:r>
      <w:r w:rsidR="0069022B">
        <w:rPr>
          <w:rFonts w:asciiTheme="majorHAnsi" w:eastAsia="Times New Roman" w:hAnsiTheme="majorHAnsi" w:cs="Arial"/>
          <w:color w:val="000000" w:themeColor="text1"/>
          <w:szCs w:val="20"/>
        </w:rPr>
        <w:t xml:space="preserve">ed </w:t>
      </w:r>
      <w:r w:rsidR="00C75BFC">
        <w:rPr>
          <w:rFonts w:asciiTheme="majorHAnsi" w:eastAsia="Times New Roman" w:hAnsiTheme="majorHAnsi" w:cs="Arial"/>
          <w:color w:val="000000" w:themeColor="text1"/>
          <w:szCs w:val="20"/>
        </w:rPr>
        <w:t>LD from a hot tub at a vacation property</w:t>
      </w:r>
      <w:r w:rsidR="0083765A">
        <w:rPr>
          <w:rFonts w:asciiTheme="majorHAnsi" w:eastAsia="Times New Roman" w:hAnsiTheme="majorHAnsi" w:cs="Arial"/>
          <w:color w:val="000000" w:themeColor="text1"/>
          <w:szCs w:val="20"/>
        </w:rPr>
        <w:t xml:space="preserve">, the court did not allow the plaintiff to rely on </w:t>
      </w:r>
      <w:r w:rsidR="00634CA1">
        <w:rPr>
          <w:rFonts w:asciiTheme="majorHAnsi" w:eastAsia="Times New Roman" w:hAnsiTheme="majorHAnsi" w:cs="Arial"/>
          <w:color w:val="000000" w:themeColor="text1"/>
          <w:szCs w:val="20"/>
        </w:rPr>
        <w:t xml:space="preserve">the state’s pool sanitation regulations to establish negligence per se because </w:t>
      </w:r>
      <w:r w:rsidR="00422B40">
        <w:rPr>
          <w:rFonts w:asciiTheme="majorHAnsi" w:eastAsia="Times New Roman" w:hAnsiTheme="majorHAnsi" w:cs="Arial"/>
          <w:color w:val="000000" w:themeColor="text1"/>
          <w:szCs w:val="20"/>
        </w:rPr>
        <w:t xml:space="preserve">New York law only allows for negligence per se when </w:t>
      </w:r>
      <w:r w:rsidR="007B1BF0">
        <w:rPr>
          <w:rFonts w:asciiTheme="majorHAnsi" w:eastAsia="Times New Roman" w:hAnsiTheme="majorHAnsi" w:cs="Arial"/>
          <w:color w:val="000000" w:themeColor="text1"/>
          <w:szCs w:val="20"/>
        </w:rPr>
        <w:t>a statute is violated</w:t>
      </w:r>
      <w:r w:rsidR="005346C5">
        <w:rPr>
          <w:rFonts w:asciiTheme="majorHAnsi" w:eastAsia="Times New Roman" w:hAnsiTheme="majorHAnsi" w:cs="Arial"/>
          <w:color w:val="000000" w:themeColor="text1"/>
          <w:szCs w:val="20"/>
        </w:rPr>
        <w:t>.</w:t>
      </w:r>
      <w:r w:rsidR="00271F24">
        <w:rPr>
          <w:rStyle w:val="FootnoteReference"/>
          <w:rFonts w:asciiTheme="majorHAnsi" w:eastAsia="Times New Roman" w:hAnsiTheme="majorHAnsi" w:cs="Arial"/>
          <w:color w:val="000000" w:themeColor="text1"/>
          <w:szCs w:val="20"/>
        </w:rPr>
        <w:footnoteReference w:id="4"/>
      </w:r>
      <w:r w:rsidR="005346C5">
        <w:rPr>
          <w:rFonts w:asciiTheme="majorHAnsi" w:eastAsia="Times New Roman" w:hAnsiTheme="majorHAnsi" w:cs="Arial"/>
          <w:color w:val="000000" w:themeColor="text1"/>
          <w:szCs w:val="20"/>
        </w:rPr>
        <w:t xml:space="preserve"> The violation of the pool regulations could only be used to </w:t>
      </w:r>
      <w:r w:rsidR="00271F24">
        <w:rPr>
          <w:rFonts w:asciiTheme="majorHAnsi" w:eastAsia="Times New Roman" w:hAnsiTheme="majorHAnsi" w:cs="Arial"/>
          <w:color w:val="000000" w:themeColor="text1"/>
          <w:szCs w:val="20"/>
        </w:rPr>
        <w:t>provide</w:t>
      </w:r>
      <w:r w:rsidR="005346C5">
        <w:rPr>
          <w:rFonts w:asciiTheme="majorHAnsi" w:eastAsia="Times New Roman" w:hAnsiTheme="majorHAnsi" w:cs="Arial"/>
          <w:color w:val="000000" w:themeColor="text1"/>
          <w:szCs w:val="20"/>
        </w:rPr>
        <w:t xml:space="preserve"> </w:t>
      </w:r>
      <w:r w:rsidR="00271F24">
        <w:rPr>
          <w:rFonts w:asciiTheme="majorHAnsi" w:eastAsia="Times New Roman" w:hAnsiTheme="majorHAnsi" w:cs="Arial"/>
          <w:color w:val="000000" w:themeColor="text1"/>
          <w:szCs w:val="20"/>
        </w:rPr>
        <w:t xml:space="preserve">some </w:t>
      </w:r>
      <w:r w:rsidR="005346C5">
        <w:rPr>
          <w:rFonts w:asciiTheme="majorHAnsi" w:eastAsia="Times New Roman" w:hAnsiTheme="majorHAnsi" w:cs="Arial"/>
          <w:color w:val="000000" w:themeColor="text1"/>
          <w:szCs w:val="20"/>
        </w:rPr>
        <w:t>evidence of negli</w:t>
      </w:r>
      <w:r w:rsidR="00271F24">
        <w:rPr>
          <w:rFonts w:asciiTheme="majorHAnsi" w:eastAsia="Times New Roman" w:hAnsiTheme="majorHAnsi" w:cs="Arial"/>
          <w:color w:val="000000" w:themeColor="text1"/>
          <w:szCs w:val="20"/>
        </w:rPr>
        <w:t>gence.</w:t>
      </w:r>
      <w:r w:rsidR="00A95731">
        <w:rPr>
          <w:rStyle w:val="FootnoteReference"/>
          <w:rFonts w:asciiTheme="majorHAnsi" w:eastAsia="Times New Roman" w:hAnsiTheme="majorHAnsi" w:cs="Arial"/>
          <w:color w:val="000000" w:themeColor="text1"/>
          <w:szCs w:val="20"/>
        </w:rPr>
        <w:footnoteReference w:id="5"/>
      </w:r>
      <w:r w:rsidR="00EE6915">
        <w:rPr>
          <w:rFonts w:asciiTheme="majorHAnsi" w:eastAsia="Times New Roman" w:hAnsiTheme="majorHAnsi" w:cs="Arial"/>
          <w:color w:val="000000" w:themeColor="text1"/>
          <w:szCs w:val="20"/>
        </w:rPr>
        <w:t xml:space="preserve"> </w:t>
      </w:r>
      <w:r w:rsidR="00EF2EDB">
        <w:rPr>
          <w:rFonts w:asciiTheme="majorHAnsi" w:eastAsia="Times New Roman" w:hAnsiTheme="majorHAnsi" w:cs="Arial"/>
          <w:color w:val="000000" w:themeColor="text1"/>
          <w:szCs w:val="20"/>
        </w:rPr>
        <w:t xml:space="preserve">However, </w:t>
      </w:r>
      <w:r w:rsidR="00EE6915">
        <w:rPr>
          <w:rFonts w:asciiTheme="majorHAnsi" w:eastAsia="Times New Roman" w:hAnsiTheme="majorHAnsi" w:cs="Arial"/>
          <w:color w:val="000000" w:themeColor="text1"/>
          <w:szCs w:val="20"/>
        </w:rPr>
        <w:t xml:space="preserve">other </w:t>
      </w:r>
      <w:r w:rsidR="006E7649" w:rsidRPr="004577C2">
        <w:rPr>
          <w:rFonts w:asciiTheme="majorHAnsi" w:eastAsia="Times New Roman" w:hAnsiTheme="majorHAnsi" w:cs="Arial"/>
          <w:color w:val="000000" w:themeColor="text1"/>
          <w:szCs w:val="20"/>
        </w:rPr>
        <w:t>states allow violations of administrative regulations to be used to determine the standard of care in a negligence per se case</w:t>
      </w:r>
      <w:r w:rsidR="00847A77">
        <w:rPr>
          <w:rFonts w:asciiTheme="majorHAnsi" w:eastAsia="Times New Roman" w:hAnsiTheme="majorHAnsi" w:cs="Arial"/>
          <w:color w:val="000000" w:themeColor="text1"/>
          <w:szCs w:val="20"/>
        </w:rPr>
        <w:t xml:space="preserve">. </w:t>
      </w:r>
      <w:r w:rsidR="001275A1">
        <w:rPr>
          <w:rFonts w:asciiTheme="majorHAnsi" w:eastAsia="Times New Roman" w:hAnsiTheme="majorHAnsi" w:cs="Arial"/>
          <w:color w:val="000000" w:themeColor="text1"/>
          <w:szCs w:val="20"/>
        </w:rPr>
        <w:t>For example, i</w:t>
      </w:r>
      <w:r w:rsidR="00847A77">
        <w:rPr>
          <w:rFonts w:asciiTheme="majorHAnsi" w:eastAsia="Times New Roman" w:hAnsiTheme="majorHAnsi" w:cs="Arial"/>
          <w:color w:val="000000" w:themeColor="text1"/>
          <w:szCs w:val="20"/>
        </w:rPr>
        <w:t xml:space="preserve">n </w:t>
      </w:r>
      <w:r w:rsidR="006F7FE5">
        <w:rPr>
          <w:rFonts w:asciiTheme="majorHAnsi" w:eastAsia="Times New Roman" w:hAnsiTheme="majorHAnsi" w:cs="Arial"/>
          <w:color w:val="000000" w:themeColor="text1"/>
          <w:szCs w:val="20"/>
        </w:rPr>
        <w:t xml:space="preserve">these jurisdictions </w:t>
      </w:r>
      <w:r w:rsidR="001275A1">
        <w:rPr>
          <w:rFonts w:asciiTheme="majorHAnsi" w:eastAsia="Times New Roman" w:hAnsiTheme="majorHAnsi" w:cs="Arial"/>
          <w:color w:val="000000" w:themeColor="text1"/>
          <w:szCs w:val="20"/>
        </w:rPr>
        <w:t xml:space="preserve">a </w:t>
      </w:r>
      <w:r w:rsidR="006F7FE5">
        <w:rPr>
          <w:rFonts w:asciiTheme="majorHAnsi" w:eastAsia="Times New Roman" w:hAnsiTheme="majorHAnsi" w:cs="Arial"/>
          <w:color w:val="000000" w:themeColor="text1"/>
          <w:szCs w:val="20"/>
        </w:rPr>
        <w:t>building code</w:t>
      </w:r>
      <w:r w:rsidR="001275A1">
        <w:rPr>
          <w:rFonts w:asciiTheme="majorHAnsi" w:eastAsia="Times New Roman" w:hAnsiTheme="majorHAnsi" w:cs="Arial"/>
          <w:color w:val="000000" w:themeColor="text1"/>
          <w:szCs w:val="20"/>
        </w:rPr>
        <w:t xml:space="preserve"> or poo</w:t>
      </w:r>
      <w:r w:rsidR="00A85453">
        <w:rPr>
          <w:rFonts w:asciiTheme="majorHAnsi" w:eastAsia="Times New Roman" w:hAnsiTheme="majorHAnsi" w:cs="Arial"/>
          <w:color w:val="000000" w:themeColor="text1"/>
          <w:szCs w:val="20"/>
        </w:rPr>
        <w:t xml:space="preserve">l sanitation regulation can be used to establish how a facility should </w:t>
      </w:r>
      <w:r w:rsidR="00EF2EDB">
        <w:rPr>
          <w:rFonts w:asciiTheme="majorHAnsi" w:eastAsia="Times New Roman" w:hAnsiTheme="majorHAnsi" w:cs="Arial"/>
          <w:color w:val="000000" w:themeColor="text1"/>
          <w:szCs w:val="20"/>
        </w:rPr>
        <w:t>maintain</w:t>
      </w:r>
      <w:r w:rsidR="00A85453">
        <w:rPr>
          <w:rFonts w:asciiTheme="majorHAnsi" w:eastAsia="Times New Roman" w:hAnsiTheme="majorHAnsi" w:cs="Arial"/>
          <w:color w:val="000000" w:themeColor="text1"/>
          <w:szCs w:val="20"/>
        </w:rPr>
        <w:t xml:space="preserve"> </w:t>
      </w:r>
      <w:r w:rsidR="00B655AD">
        <w:rPr>
          <w:rFonts w:asciiTheme="majorHAnsi" w:eastAsia="Times New Roman" w:hAnsiTheme="majorHAnsi" w:cs="Arial"/>
          <w:color w:val="000000" w:themeColor="text1"/>
          <w:szCs w:val="20"/>
        </w:rPr>
        <w:t xml:space="preserve">their systems to avoid </w:t>
      </w:r>
      <w:r w:rsidR="00B655AD" w:rsidRPr="002F7A2F">
        <w:rPr>
          <w:rFonts w:asciiTheme="majorHAnsi" w:eastAsia="Times New Roman" w:hAnsiTheme="majorHAnsi" w:cs="Arial"/>
          <w:i/>
          <w:iCs/>
          <w:color w:val="000000" w:themeColor="text1"/>
          <w:szCs w:val="20"/>
        </w:rPr>
        <w:t>Legionella</w:t>
      </w:r>
      <w:r w:rsidR="00B655AD">
        <w:rPr>
          <w:rFonts w:asciiTheme="majorHAnsi" w:eastAsia="Times New Roman" w:hAnsiTheme="majorHAnsi" w:cs="Arial"/>
          <w:color w:val="000000" w:themeColor="text1"/>
          <w:szCs w:val="20"/>
        </w:rPr>
        <w:t xml:space="preserve"> contamination.</w:t>
      </w:r>
      <w:r w:rsidR="00E679F0">
        <w:rPr>
          <w:rFonts w:asciiTheme="majorHAnsi" w:eastAsia="Times New Roman" w:hAnsiTheme="majorHAnsi" w:cs="Arial"/>
          <w:color w:val="000000" w:themeColor="text1"/>
          <w:szCs w:val="20"/>
        </w:rPr>
        <w:t xml:space="preserve"> If the facility violated the regulations, they </w:t>
      </w:r>
      <w:r w:rsidR="00EA2927">
        <w:rPr>
          <w:rFonts w:asciiTheme="majorHAnsi" w:eastAsia="Times New Roman" w:hAnsiTheme="majorHAnsi" w:cs="Arial"/>
          <w:color w:val="000000" w:themeColor="text1"/>
          <w:szCs w:val="20"/>
        </w:rPr>
        <w:t>can be found negligent.</w:t>
      </w:r>
      <w:r w:rsidR="002F7A2F">
        <w:rPr>
          <w:rFonts w:asciiTheme="majorHAnsi" w:eastAsia="Times New Roman" w:hAnsiTheme="majorHAnsi" w:cs="Arial"/>
          <w:color w:val="000000" w:themeColor="text1"/>
          <w:szCs w:val="20"/>
        </w:rPr>
        <w:t xml:space="preserve"> State </w:t>
      </w:r>
      <w:r w:rsidR="00653F4A">
        <w:rPr>
          <w:rFonts w:asciiTheme="majorHAnsi" w:eastAsia="Times New Roman" w:hAnsiTheme="majorHAnsi" w:cs="Arial"/>
          <w:color w:val="000000" w:themeColor="text1"/>
          <w:szCs w:val="20"/>
        </w:rPr>
        <w:t xml:space="preserve">regulations </w:t>
      </w:r>
      <w:r w:rsidR="002F7A2F">
        <w:rPr>
          <w:rFonts w:asciiTheme="majorHAnsi" w:eastAsia="Times New Roman" w:hAnsiTheme="majorHAnsi" w:cs="Arial"/>
          <w:color w:val="000000" w:themeColor="text1"/>
          <w:szCs w:val="20"/>
        </w:rPr>
        <w:t xml:space="preserve">and local </w:t>
      </w:r>
      <w:r w:rsidR="00653F4A">
        <w:rPr>
          <w:rFonts w:asciiTheme="majorHAnsi" w:eastAsia="Times New Roman" w:hAnsiTheme="majorHAnsi" w:cs="Arial"/>
          <w:color w:val="000000" w:themeColor="text1"/>
          <w:szCs w:val="20"/>
        </w:rPr>
        <w:t>ordinances</w:t>
      </w:r>
      <w:r w:rsidR="002F7A2F">
        <w:rPr>
          <w:rFonts w:asciiTheme="majorHAnsi" w:eastAsia="Times New Roman" w:hAnsiTheme="majorHAnsi" w:cs="Arial"/>
          <w:color w:val="000000" w:themeColor="text1"/>
          <w:szCs w:val="20"/>
        </w:rPr>
        <w:t xml:space="preserve"> may </w:t>
      </w:r>
      <w:r w:rsidR="00653F4A">
        <w:rPr>
          <w:rFonts w:asciiTheme="majorHAnsi" w:eastAsia="Times New Roman" w:hAnsiTheme="majorHAnsi" w:cs="Arial"/>
          <w:color w:val="000000" w:themeColor="text1"/>
          <w:szCs w:val="20"/>
        </w:rPr>
        <w:t>also</w:t>
      </w:r>
      <w:r w:rsidR="006F6F80">
        <w:rPr>
          <w:rFonts w:asciiTheme="majorHAnsi" w:eastAsia="Times New Roman" w:hAnsiTheme="majorHAnsi" w:cs="Arial"/>
          <w:color w:val="000000" w:themeColor="text1"/>
          <w:szCs w:val="20"/>
        </w:rPr>
        <w:t xml:space="preserve"> </w:t>
      </w:r>
      <w:r w:rsidR="002F7A2F">
        <w:rPr>
          <w:rFonts w:asciiTheme="majorHAnsi" w:eastAsia="Times New Roman" w:hAnsiTheme="majorHAnsi" w:cs="Arial"/>
          <w:color w:val="000000" w:themeColor="text1"/>
          <w:szCs w:val="20"/>
        </w:rPr>
        <w:t>adopt by reference specific national standards</w:t>
      </w:r>
      <w:r w:rsidR="0039459D">
        <w:rPr>
          <w:rFonts w:asciiTheme="majorHAnsi" w:eastAsia="Times New Roman" w:hAnsiTheme="majorHAnsi" w:cs="Arial"/>
          <w:color w:val="000000" w:themeColor="text1"/>
          <w:szCs w:val="20"/>
        </w:rPr>
        <w:t xml:space="preserve"> into their regulations/ordinances</w:t>
      </w:r>
      <w:r w:rsidR="00971947">
        <w:rPr>
          <w:rFonts w:asciiTheme="majorHAnsi" w:eastAsia="Times New Roman" w:hAnsiTheme="majorHAnsi" w:cs="Arial"/>
          <w:color w:val="000000" w:themeColor="text1"/>
          <w:szCs w:val="20"/>
        </w:rPr>
        <w:t xml:space="preserve">, </w:t>
      </w:r>
      <w:r w:rsidR="000E4022">
        <w:rPr>
          <w:rFonts w:asciiTheme="majorHAnsi" w:eastAsia="Times New Roman" w:hAnsiTheme="majorHAnsi" w:cs="Arial"/>
          <w:color w:val="000000" w:themeColor="text1"/>
          <w:szCs w:val="20"/>
        </w:rPr>
        <w:t>such as</w:t>
      </w:r>
      <w:r w:rsidR="00971947">
        <w:rPr>
          <w:rFonts w:asciiTheme="majorHAnsi" w:eastAsia="Times New Roman" w:hAnsiTheme="majorHAnsi" w:cs="Arial"/>
          <w:color w:val="000000" w:themeColor="text1"/>
          <w:szCs w:val="20"/>
        </w:rPr>
        <w:t xml:space="preserve"> </w:t>
      </w:r>
      <w:r w:rsidR="00971947" w:rsidRPr="00470B33">
        <w:rPr>
          <w:rFonts w:asciiTheme="majorHAnsi" w:eastAsia="Times New Roman" w:hAnsiTheme="majorHAnsi" w:cs="Arial"/>
          <w:color w:val="000000" w:themeColor="text1"/>
          <w:szCs w:val="20"/>
        </w:rPr>
        <w:t>ANSI/ASHRAE 188-2015</w:t>
      </w:r>
      <w:r w:rsidR="004428F9">
        <w:rPr>
          <w:rFonts w:asciiTheme="majorHAnsi" w:eastAsia="Times New Roman" w:hAnsiTheme="majorHAnsi" w:cs="Arial"/>
          <w:color w:val="000000" w:themeColor="text1"/>
          <w:szCs w:val="20"/>
        </w:rPr>
        <w:t xml:space="preserve"> or </w:t>
      </w:r>
      <w:r w:rsidR="004428F9" w:rsidRPr="00470B33">
        <w:rPr>
          <w:rFonts w:asciiTheme="majorHAnsi" w:eastAsia="Times New Roman" w:hAnsiTheme="majorHAnsi" w:cs="Arial"/>
          <w:color w:val="000000" w:themeColor="text1"/>
          <w:szCs w:val="20"/>
        </w:rPr>
        <w:t>ANSI/ASHRAE 188-201</w:t>
      </w:r>
      <w:r w:rsidR="004428F9">
        <w:rPr>
          <w:rFonts w:asciiTheme="majorHAnsi" w:eastAsia="Times New Roman" w:hAnsiTheme="majorHAnsi" w:cs="Arial"/>
          <w:color w:val="000000" w:themeColor="text1"/>
          <w:szCs w:val="20"/>
        </w:rPr>
        <w:t xml:space="preserve">8 </w:t>
      </w:r>
      <w:r w:rsidR="000E4022">
        <w:rPr>
          <w:rFonts w:asciiTheme="majorHAnsi" w:eastAsia="Times New Roman" w:hAnsiTheme="majorHAnsi" w:cs="Arial"/>
          <w:color w:val="000000" w:themeColor="text1"/>
          <w:szCs w:val="20"/>
        </w:rPr>
        <w:t>(</w:t>
      </w:r>
      <w:r w:rsidR="000E4022" w:rsidRPr="000E4022">
        <w:rPr>
          <w:rFonts w:asciiTheme="majorHAnsi" w:eastAsia="Times New Roman" w:hAnsiTheme="majorHAnsi" w:cs="Arial"/>
          <w:color w:val="000000" w:themeColor="text1"/>
          <w:szCs w:val="20"/>
        </w:rPr>
        <w:t>Legionellosis: Risk Management for Building Water Systems</w:t>
      </w:r>
      <w:r w:rsidR="000E4022">
        <w:rPr>
          <w:rFonts w:asciiTheme="majorHAnsi" w:eastAsia="Times New Roman" w:hAnsiTheme="majorHAnsi" w:cs="Arial"/>
          <w:color w:val="000000" w:themeColor="text1"/>
          <w:szCs w:val="20"/>
        </w:rPr>
        <w:t>)</w:t>
      </w:r>
      <w:r w:rsidR="00A801D2">
        <w:rPr>
          <w:rFonts w:asciiTheme="majorHAnsi" w:eastAsia="Times New Roman" w:hAnsiTheme="majorHAnsi" w:cs="Arial"/>
          <w:color w:val="000000" w:themeColor="text1"/>
          <w:szCs w:val="20"/>
        </w:rPr>
        <w:t>.</w:t>
      </w:r>
      <w:r w:rsidR="004946FE">
        <w:rPr>
          <w:rStyle w:val="FootnoteReference"/>
          <w:rFonts w:asciiTheme="majorHAnsi" w:eastAsia="Times New Roman" w:hAnsiTheme="majorHAnsi" w:cs="Arial"/>
          <w:color w:val="000000" w:themeColor="text1"/>
          <w:szCs w:val="20"/>
        </w:rPr>
        <w:footnoteReference w:id="6"/>
      </w:r>
      <w:r w:rsidR="0061071D">
        <w:rPr>
          <w:rFonts w:asciiTheme="majorHAnsi" w:eastAsia="Times New Roman" w:hAnsiTheme="majorHAnsi" w:cs="Arial"/>
          <w:color w:val="000000" w:themeColor="text1"/>
          <w:szCs w:val="20"/>
        </w:rPr>
        <w:t xml:space="preserve"> </w:t>
      </w:r>
      <w:r w:rsidR="00A74338">
        <w:rPr>
          <w:rFonts w:asciiTheme="majorHAnsi" w:eastAsia="Times New Roman" w:hAnsiTheme="majorHAnsi" w:cs="Arial"/>
          <w:color w:val="000000" w:themeColor="text1"/>
          <w:szCs w:val="20"/>
        </w:rPr>
        <w:t>Even if industry standard</w:t>
      </w:r>
      <w:r w:rsidR="00CD7A61">
        <w:rPr>
          <w:rFonts w:asciiTheme="majorHAnsi" w:eastAsia="Times New Roman" w:hAnsiTheme="majorHAnsi" w:cs="Arial"/>
          <w:color w:val="000000" w:themeColor="text1"/>
          <w:szCs w:val="20"/>
        </w:rPr>
        <w:t xml:space="preserve">s like these are not adopted into law or codes, they can still </w:t>
      </w:r>
      <w:r w:rsidR="00C403FB">
        <w:rPr>
          <w:rFonts w:asciiTheme="majorHAnsi" w:eastAsia="Times New Roman" w:hAnsiTheme="majorHAnsi" w:cs="Arial"/>
          <w:color w:val="000000" w:themeColor="text1"/>
          <w:szCs w:val="20"/>
        </w:rPr>
        <w:t xml:space="preserve">act as evidence of what the standard of care should be regarding </w:t>
      </w:r>
      <w:r w:rsidR="00FE2C3D">
        <w:rPr>
          <w:rFonts w:asciiTheme="majorHAnsi" w:eastAsia="Times New Roman" w:hAnsiTheme="majorHAnsi" w:cs="Arial"/>
          <w:color w:val="000000" w:themeColor="text1"/>
          <w:szCs w:val="20"/>
        </w:rPr>
        <w:t>managing Legionellosis risks.</w:t>
      </w:r>
      <w:r w:rsidR="00FE2C3D">
        <w:rPr>
          <w:rStyle w:val="FootnoteReference"/>
          <w:rFonts w:asciiTheme="majorHAnsi" w:eastAsia="Times New Roman" w:hAnsiTheme="majorHAnsi" w:cs="Arial"/>
          <w:color w:val="000000" w:themeColor="text1"/>
          <w:szCs w:val="20"/>
        </w:rPr>
        <w:footnoteReference w:id="7"/>
      </w:r>
    </w:p>
    <w:p w14:paraId="111DAA7B" w14:textId="77777777" w:rsidR="00D33143" w:rsidRPr="004577C2" w:rsidRDefault="00D33143" w:rsidP="006E7649">
      <w:pPr>
        <w:spacing w:line="360" w:lineRule="auto"/>
        <w:ind w:left="360"/>
        <w:textAlignment w:val="baseline"/>
        <w:rPr>
          <w:rFonts w:asciiTheme="majorHAnsi" w:eastAsia="Times New Roman" w:hAnsiTheme="majorHAnsi" w:cs="Arial"/>
          <w:color w:val="000000" w:themeColor="text1"/>
          <w:szCs w:val="20"/>
        </w:rPr>
      </w:pPr>
    </w:p>
    <w:p w14:paraId="2FBDAC68" w14:textId="7496A748" w:rsidR="006E7649" w:rsidRPr="004577C2" w:rsidRDefault="006E7649" w:rsidP="00FE63CD">
      <w:pPr>
        <w:numPr>
          <w:ilvl w:val="0"/>
          <w:numId w:val="1"/>
        </w:numPr>
        <w:spacing w:line="360" w:lineRule="auto"/>
        <w:textAlignment w:val="baseline"/>
        <w:rPr>
          <w:rFonts w:asciiTheme="majorHAnsi" w:eastAsia="Times New Roman" w:hAnsiTheme="majorHAnsi" w:cs="Arial"/>
          <w:color w:val="000000" w:themeColor="text1"/>
          <w:szCs w:val="20"/>
        </w:rPr>
      </w:pPr>
      <w:r w:rsidRPr="004577C2">
        <w:rPr>
          <w:rFonts w:asciiTheme="majorHAnsi" w:eastAsia="Times New Roman" w:hAnsiTheme="majorHAnsi" w:cs="Arial"/>
          <w:b/>
          <w:bCs/>
          <w:color w:val="000000" w:themeColor="text1"/>
          <w:szCs w:val="20"/>
          <w:bdr w:val="none" w:sz="0" w:space="0" w:color="auto" w:frame="1"/>
        </w:rPr>
        <w:t>Medical Malpractice—</w:t>
      </w:r>
      <w:r w:rsidRPr="004577C2">
        <w:rPr>
          <w:rFonts w:asciiTheme="majorHAnsi" w:eastAsia="Times New Roman" w:hAnsiTheme="majorHAnsi" w:cs="Arial"/>
          <w:color w:val="000000" w:themeColor="text1"/>
          <w:szCs w:val="20"/>
        </w:rPr>
        <w:t xml:space="preserve">Healthcare professionals may be subject to medical malpractice claims, which are a type of negligence claim. The elements of proof for a medical malpractice claim are the same as for negligence: the healthcare professional owed a duty of care to the patient, which duty was breached by failing to use the knowledge and skills of the profession (standard of care), directly resulting in the injury to the patient. </w:t>
      </w:r>
      <w:r w:rsidR="0071742F">
        <w:rPr>
          <w:rFonts w:asciiTheme="majorHAnsi" w:eastAsia="Times New Roman" w:hAnsiTheme="majorHAnsi" w:cs="Arial"/>
          <w:color w:val="000000" w:themeColor="text1"/>
          <w:szCs w:val="20"/>
        </w:rPr>
        <w:t>For example, i</w:t>
      </w:r>
      <w:r w:rsidR="008C19CB">
        <w:rPr>
          <w:rFonts w:asciiTheme="majorHAnsi" w:eastAsia="Times New Roman" w:hAnsiTheme="majorHAnsi" w:cs="Arial"/>
          <w:color w:val="000000" w:themeColor="text1"/>
          <w:szCs w:val="20"/>
        </w:rPr>
        <w:t xml:space="preserve">f </w:t>
      </w:r>
      <w:r w:rsidR="00FF2916">
        <w:rPr>
          <w:rFonts w:asciiTheme="majorHAnsi" w:eastAsia="Times New Roman" w:hAnsiTheme="majorHAnsi" w:cs="Arial"/>
          <w:color w:val="000000" w:themeColor="text1"/>
          <w:szCs w:val="20"/>
        </w:rPr>
        <w:t xml:space="preserve">a physician or </w:t>
      </w:r>
      <w:r w:rsidR="0071742F">
        <w:rPr>
          <w:rFonts w:asciiTheme="majorHAnsi" w:eastAsia="Times New Roman" w:hAnsiTheme="majorHAnsi" w:cs="Arial"/>
          <w:color w:val="000000" w:themeColor="text1"/>
          <w:szCs w:val="20"/>
        </w:rPr>
        <w:t xml:space="preserve">another healthcare professional </w:t>
      </w:r>
      <w:r w:rsidR="008C19CB">
        <w:rPr>
          <w:rFonts w:asciiTheme="majorHAnsi" w:eastAsia="Times New Roman" w:hAnsiTheme="majorHAnsi" w:cs="Arial"/>
          <w:color w:val="000000" w:themeColor="text1"/>
          <w:szCs w:val="20"/>
        </w:rPr>
        <w:t>fail</w:t>
      </w:r>
      <w:r w:rsidR="0071742F">
        <w:rPr>
          <w:rFonts w:asciiTheme="majorHAnsi" w:eastAsia="Times New Roman" w:hAnsiTheme="majorHAnsi" w:cs="Arial"/>
          <w:color w:val="000000" w:themeColor="text1"/>
          <w:szCs w:val="20"/>
        </w:rPr>
        <w:t>s</w:t>
      </w:r>
      <w:r w:rsidR="000A2787">
        <w:rPr>
          <w:rFonts w:asciiTheme="majorHAnsi" w:eastAsia="Times New Roman" w:hAnsiTheme="majorHAnsi" w:cs="Arial"/>
          <w:color w:val="000000" w:themeColor="text1"/>
          <w:szCs w:val="20"/>
        </w:rPr>
        <w:t xml:space="preserve"> to diagnose a case of LD, the </w:t>
      </w:r>
      <w:r w:rsidR="00864AAC">
        <w:rPr>
          <w:rFonts w:asciiTheme="majorHAnsi" w:eastAsia="Times New Roman" w:hAnsiTheme="majorHAnsi" w:cs="Arial"/>
          <w:color w:val="000000" w:themeColor="text1"/>
          <w:szCs w:val="20"/>
        </w:rPr>
        <w:t>patient,</w:t>
      </w:r>
      <w:r w:rsidR="000A2787">
        <w:rPr>
          <w:rFonts w:asciiTheme="majorHAnsi" w:eastAsia="Times New Roman" w:hAnsiTheme="majorHAnsi" w:cs="Arial"/>
          <w:color w:val="000000" w:themeColor="text1"/>
          <w:szCs w:val="20"/>
        </w:rPr>
        <w:t xml:space="preserve"> or their successors, may have be able to sue for medical malpractice.</w:t>
      </w:r>
    </w:p>
    <w:p w14:paraId="4BFCCBB1" w14:textId="77777777" w:rsidR="006E7649" w:rsidRPr="004577C2" w:rsidRDefault="006E7649" w:rsidP="00FE63CD">
      <w:pPr>
        <w:spacing w:line="360" w:lineRule="auto"/>
        <w:textAlignment w:val="baseline"/>
        <w:rPr>
          <w:rFonts w:asciiTheme="majorHAnsi" w:eastAsia="Times New Roman" w:hAnsiTheme="majorHAnsi" w:cs="Arial"/>
          <w:color w:val="000000" w:themeColor="text1"/>
          <w:szCs w:val="20"/>
        </w:rPr>
      </w:pPr>
    </w:p>
    <w:p w14:paraId="2C10F457" w14:textId="3B152296" w:rsidR="006E7649" w:rsidRDefault="00692B59" w:rsidP="006E7649">
      <w:pPr>
        <w:tabs>
          <w:tab w:val="left" w:pos="553"/>
        </w:tabs>
        <w:spacing w:line="360" w:lineRule="auto"/>
        <w:rPr>
          <w:rFonts w:asciiTheme="majorHAnsi" w:hAnsiTheme="majorHAnsi" w:cstheme="majorHAnsi"/>
        </w:rPr>
      </w:pPr>
      <w:r>
        <w:rPr>
          <w:rFonts w:asciiTheme="majorHAnsi" w:hAnsiTheme="majorHAnsi" w:cstheme="majorHAnsi"/>
        </w:rPr>
        <w:t xml:space="preserve">While there are </w:t>
      </w:r>
      <w:r w:rsidR="0053711B">
        <w:rPr>
          <w:rFonts w:asciiTheme="majorHAnsi" w:hAnsiTheme="majorHAnsi" w:cstheme="majorHAnsi"/>
        </w:rPr>
        <w:t xml:space="preserve">many other theories of negligence, the foregoing </w:t>
      </w:r>
      <w:r w:rsidR="00FE63CD">
        <w:rPr>
          <w:rFonts w:asciiTheme="majorHAnsi" w:hAnsiTheme="majorHAnsi" w:cstheme="majorHAnsi"/>
        </w:rPr>
        <w:t>theories are</w:t>
      </w:r>
      <w:r w:rsidR="0053711B">
        <w:rPr>
          <w:rFonts w:asciiTheme="majorHAnsi" w:hAnsiTheme="majorHAnsi" w:cstheme="majorHAnsi"/>
        </w:rPr>
        <w:t xml:space="preserve"> the most frequently used in lawsuits</w:t>
      </w:r>
      <w:r w:rsidR="00FE63CD">
        <w:rPr>
          <w:rFonts w:asciiTheme="majorHAnsi" w:hAnsiTheme="majorHAnsi" w:cstheme="majorHAnsi"/>
        </w:rPr>
        <w:t xml:space="preserve"> associated with LD. </w:t>
      </w:r>
      <w:r w:rsidR="006A40AA">
        <w:rPr>
          <w:rFonts w:asciiTheme="majorHAnsi" w:hAnsiTheme="majorHAnsi" w:cstheme="majorHAnsi"/>
        </w:rPr>
        <w:t xml:space="preserve">Apart from civil lawsuits, </w:t>
      </w:r>
      <w:r w:rsidR="00DF07CB">
        <w:rPr>
          <w:rFonts w:asciiTheme="majorHAnsi" w:hAnsiTheme="majorHAnsi" w:cstheme="majorHAnsi"/>
        </w:rPr>
        <w:t xml:space="preserve">facilities in which LD outbreaks occur may also be subject to </w:t>
      </w:r>
      <w:bookmarkStart w:id="0" w:name="_Hlk49431401"/>
      <w:r w:rsidR="00DF07CB">
        <w:rPr>
          <w:rFonts w:asciiTheme="majorHAnsi" w:hAnsiTheme="majorHAnsi" w:cstheme="majorHAnsi"/>
        </w:rPr>
        <w:t xml:space="preserve">regulatory and administrative </w:t>
      </w:r>
      <w:r w:rsidR="009859F1">
        <w:rPr>
          <w:rFonts w:asciiTheme="majorHAnsi" w:hAnsiTheme="majorHAnsi" w:cstheme="majorHAnsi"/>
        </w:rPr>
        <w:t xml:space="preserve">proceedings </w:t>
      </w:r>
      <w:r w:rsidR="0052317B">
        <w:rPr>
          <w:rFonts w:asciiTheme="majorHAnsi" w:hAnsiTheme="majorHAnsi" w:cstheme="majorHAnsi"/>
        </w:rPr>
        <w:t xml:space="preserve">for violations of </w:t>
      </w:r>
      <w:r w:rsidR="00A12E3A">
        <w:rPr>
          <w:rFonts w:asciiTheme="majorHAnsi" w:hAnsiTheme="majorHAnsi" w:cstheme="majorHAnsi"/>
        </w:rPr>
        <w:t>their permits</w:t>
      </w:r>
      <w:r w:rsidR="00553B23">
        <w:rPr>
          <w:rFonts w:asciiTheme="majorHAnsi" w:hAnsiTheme="majorHAnsi" w:cstheme="majorHAnsi"/>
        </w:rPr>
        <w:t>/</w:t>
      </w:r>
      <w:r w:rsidR="00A12E3A">
        <w:rPr>
          <w:rFonts w:asciiTheme="majorHAnsi" w:hAnsiTheme="majorHAnsi" w:cstheme="majorHAnsi"/>
        </w:rPr>
        <w:t>licenses</w:t>
      </w:r>
      <w:r w:rsidR="00553B23">
        <w:rPr>
          <w:rFonts w:asciiTheme="majorHAnsi" w:hAnsiTheme="majorHAnsi" w:cstheme="majorHAnsi"/>
        </w:rPr>
        <w:t xml:space="preserve"> and </w:t>
      </w:r>
      <w:r w:rsidR="00E1311D">
        <w:rPr>
          <w:rFonts w:asciiTheme="majorHAnsi" w:hAnsiTheme="majorHAnsi" w:cstheme="majorHAnsi"/>
        </w:rPr>
        <w:t>any applicable laws and regulations.</w:t>
      </w:r>
      <w:bookmarkEnd w:id="0"/>
    </w:p>
    <w:p w14:paraId="217A7A09" w14:textId="77777777" w:rsidR="006E7649" w:rsidRDefault="006E7649" w:rsidP="006E7649">
      <w:pPr>
        <w:tabs>
          <w:tab w:val="left" w:pos="553"/>
        </w:tabs>
        <w:spacing w:line="360" w:lineRule="auto"/>
        <w:rPr>
          <w:rFonts w:asciiTheme="majorHAnsi" w:hAnsiTheme="majorHAnsi" w:cstheme="majorHAnsi"/>
        </w:rPr>
      </w:pPr>
    </w:p>
    <w:p w14:paraId="72A874BC" w14:textId="569F8324" w:rsidR="006E7649" w:rsidRPr="00212CAB" w:rsidRDefault="006E7649" w:rsidP="00A12E3A">
      <w:pPr>
        <w:tabs>
          <w:tab w:val="left" w:pos="553"/>
        </w:tabs>
        <w:spacing w:after="120" w:line="360" w:lineRule="auto"/>
        <w:rPr>
          <w:rFonts w:ascii="Arial" w:hAnsi="Arial" w:cs="Arial"/>
          <w:b/>
          <w:bCs/>
          <w:sz w:val="24"/>
          <w:szCs w:val="24"/>
        </w:rPr>
      </w:pPr>
      <w:r w:rsidRPr="00212CAB">
        <w:rPr>
          <w:rFonts w:ascii="Arial" w:hAnsi="Arial" w:cs="Arial"/>
          <w:b/>
          <w:bCs/>
          <w:sz w:val="24"/>
          <w:szCs w:val="24"/>
        </w:rPr>
        <w:t xml:space="preserve">Regulatory </w:t>
      </w:r>
      <w:r w:rsidR="00324BEA">
        <w:rPr>
          <w:rFonts w:ascii="Arial" w:hAnsi="Arial" w:cs="Arial"/>
          <w:b/>
          <w:bCs/>
          <w:sz w:val="24"/>
          <w:szCs w:val="24"/>
        </w:rPr>
        <w:t xml:space="preserve">and Administrative </w:t>
      </w:r>
      <w:r w:rsidRPr="00212CAB">
        <w:rPr>
          <w:rFonts w:ascii="Arial" w:hAnsi="Arial" w:cs="Arial"/>
          <w:b/>
          <w:bCs/>
          <w:sz w:val="24"/>
          <w:szCs w:val="24"/>
        </w:rPr>
        <w:t xml:space="preserve">Proceedings </w:t>
      </w:r>
    </w:p>
    <w:p w14:paraId="4393411A" w14:textId="00A61A21" w:rsidR="006E7649" w:rsidRDefault="006E7649" w:rsidP="006E7649">
      <w:pPr>
        <w:tabs>
          <w:tab w:val="left" w:pos="553"/>
        </w:tabs>
        <w:spacing w:line="360" w:lineRule="auto"/>
        <w:rPr>
          <w:rFonts w:asciiTheme="majorHAnsi" w:hAnsiTheme="majorHAnsi" w:cstheme="majorHAnsi"/>
        </w:rPr>
      </w:pPr>
      <w:r>
        <w:rPr>
          <w:rFonts w:asciiTheme="majorHAnsi" w:hAnsiTheme="majorHAnsi" w:cstheme="majorHAnsi"/>
        </w:rPr>
        <w:t xml:space="preserve">Administrative liability </w:t>
      </w:r>
      <w:r w:rsidR="003D454D">
        <w:rPr>
          <w:rFonts w:asciiTheme="majorHAnsi" w:hAnsiTheme="majorHAnsi" w:cstheme="majorHAnsi"/>
        </w:rPr>
        <w:t xml:space="preserve">can </w:t>
      </w:r>
      <w:r>
        <w:rPr>
          <w:rFonts w:asciiTheme="majorHAnsi" w:hAnsiTheme="majorHAnsi" w:cstheme="majorHAnsi"/>
        </w:rPr>
        <w:t>arise when a facility</w:t>
      </w:r>
      <w:r w:rsidR="003D454D">
        <w:rPr>
          <w:rFonts w:asciiTheme="majorHAnsi" w:hAnsiTheme="majorHAnsi" w:cstheme="majorHAnsi"/>
        </w:rPr>
        <w:t xml:space="preserve"> or </w:t>
      </w:r>
      <w:r w:rsidR="008D7973">
        <w:rPr>
          <w:rFonts w:asciiTheme="majorHAnsi" w:hAnsiTheme="majorHAnsi" w:cstheme="majorHAnsi"/>
        </w:rPr>
        <w:t xml:space="preserve">individual violates </w:t>
      </w:r>
      <w:r w:rsidR="006E2DE3">
        <w:rPr>
          <w:rFonts w:asciiTheme="majorHAnsi" w:hAnsiTheme="majorHAnsi" w:cstheme="majorHAnsi"/>
        </w:rPr>
        <w:t xml:space="preserve">the terms of their </w:t>
      </w:r>
      <w:r w:rsidR="001006B0">
        <w:rPr>
          <w:rFonts w:asciiTheme="majorHAnsi" w:hAnsiTheme="majorHAnsi" w:cstheme="majorHAnsi"/>
        </w:rPr>
        <w:t xml:space="preserve">government-issued </w:t>
      </w:r>
      <w:r w:rsidR="006E2DE3">
        <w:rPr>
          <w:rFonts w:asciiTheme="majorHAnsi" w:hAnsiTheme="majorHAnsi" w:cstheme="majorHAnsi"/>
        </w:rPr>
        <w:t>permit or license</w:t>
      </w:r>
      <w:r w:rsidR="00CC7A2F">
        <w:rPr>
          <w:rFonts w:asciiTheme="majorHAnsi" w:hAnsiTheme="majorHAnsi" w:cstheme="majorHAnsi"/>
        </w:rPr>
        <w:t xml:space="preserve"> or </w:t>
      </w:r>
      <w:r>
        <w:rPr>
          <w:rFonts w:asciiTheme="majorHAnsi" w:hAnsiTheme="majorHAnsi" w:cstheme="majorHAnsi"/>
        </w:rPr>
        <w:t xml:space="preserve">violates an ordinance, regulation, or statute that governs </w:t>
      </w:r>
      <w:r w:rsidR="00CC7A2F">
        <w:rPr>
          <w:rFonts w:asciiTheme="majorHAnsi" w:hAnsiTheme="majorHAnsi" w:cstheme="majorHAnsi"/>
        </w:rPr>
        <w:t>their</w:t>
      </w:r>
      <w:r>
        <w:rPr>
          <w:rFonts w:asciiTheme="majorHAnsi" w:hAnsiTheme="majorHAnsi" w:cstheme="majorHAnsi"/>
        </w:rPr>
        <w:t xml:space="preserve"> operation. Violations of </w:t>
      </w:r>
      <w:r w:rsidR="00513C6A">
        <w:rPr>
          <w:rFonts w:asciiTheme="majorHAnsi" w:hAnsiTheme="majorHAnsi" w:cstheme="majorHAnsi"/>
        </w:rPr>
        <w:t xml:space="preserve">the conditions of a </w:t>
      </w:r>
      <w:r w:rsidR="00EA77FD">
        <w:rPr>
          <w:rFonts w:asciiTheme="majorHAnsi" w:hAnsiTheme="majorHAnsi" w:cstheme="majorHAnsi"/>
        </w:rPr>
        <w:t>permit</w:t>
      </w:r>
      <w:r w:rsidR="00513C6A">
        <w:rPr>
          <w:rFonts w:asciiTheme="majorHAnsi" w:hAnsiTheme="majorHAnsi" w:cstheme="majorHAnsi"/>
        </w:rPr>
        <w:t xml:space="preserve">, license, or </w:t>
      </w:r>
      <w:r>
        <w:rPr>
          <w:rFonts w:asciiTheme="majorHAnsi" w:hAnsiTheme="majorHAnsi" w:cstheme="majorHAnsi"/>
        </w:rPr>
        <w:t>ordinanc</w:t>
      </w:r>
      <w:r w:rsidR="00513C6A">
        <w:rPr>
          <w:rFonts w:asciiTheme="majorHAnsi" w:hAnsiTheme="majorHAnsi" w:cstheme="majorHAnsi"/>
        </w:rPr>
        <w:t>e</w:t>
      </w:r>
      <w:r>
        <w:rPr>
          <w:rFonts w:asciiTheme="majorHAnsi" w:hAnsiTheme="majorHAnsi" w:cstheme="majorHAnsi"/>
        </w:rPr>
        <w:t xml:space="preserve"> generally begins with failure to comply with applicable requirements</w:t>
      </w:r>
      <w:r w:rsidR="009B307A">
        <w:rPr>
          <w:rFonts w:asciiTheme="majorHAnsi" w:hAnsiTheme="majorHAnsi" w:cstheme="majorHAnsi"/>
        </w:rPr>
        <w:t xml:space="preserve">, which are identified </w:t>
      </w:r>
      <w:r>
        <w:rPr>
          <w:rFonts w:asciiTheme="majorHAnsi" w:hAnsiTheme="majorHAnsi" w:cstheme="majorHAnsi"/>
        </w:rPr>
        <w:t xml:space="preserve">via routine inspections and inspections following complaints and cases/outbreaks. This will begin an administrative process in which violations must be addressed and may be challenged through an appeals process by the involved facilities. Typically, involved facilities will be given a schedule by which to remediate identified deficiencies and will be re-inspected to determine if the deficiencies have been properly addressed. For more serious events or repeated violations, a facility may be subject to stronger penalties such as temporary closure and/or fines. If these facilities resume operations, they may be involved in a probationary period and be subject to greater oversite of their operations while on probation. For more egregious events, the facility may be ordered to permanently close or the operators may lose their license to operate. The facility will have due process rights laid out either in federal or STLT administrative procedure laws or in the specific code governing the business type (e.g., hotels, recreational water facilities) or the type of violations involved (e.g., health code, sanitation code, building code). Administrative liability can </w:t>
      </w:r>
      <w:r w:rsidR="00B82592">
        <w:rPr>
          <w:rFonts w:asciiTheme="majorHAnsi" w:hAnsiTheme="majorHAnsi" w:cstheme="majorHAnsi"/>
        </w:rPr>
        <w:t xml:space="preserve">also </w:t>
      </w:r>
      <w:r>
        <w:rPr>
          <w:rFonts w:asciiTheme="majorHAnsi" w:hAnsiTheme="majorHAnsi" w:cstheme="majorHAnsi"/>
        </w:rPr>
        <w:t xml:space="preserve">ultimately give rise to civil monetary </w:t>
      </w:r>
      <w:r w:rsidR="000A4C00">
        <w:rPr>
          <w:rFonts w:asciiTheme="majorHAnsi" w:hAnsiTheme="majorHAnsi" w:cstheme="majorHAnsi"/>
        </w:rPr>
        <w:t xml:space="preserve">fines, </w:t>
      </w:r>
      <w:r>
        <w:rPr>
          <w:rFonts w:asciiTheme="majorHAnsi" w:hAnsiTheme="majorHAnsi" w:cstheme="majorHAnsi"/>
        </w:rPr>
        <w:t>and in some cases</w:t>
      </w:r>
      <w:r w:rsidR="000A4C00">
        <w:rPr>
          <w:rFonts w:asciiTheme="majorHAnsi" w:hAnsiTheme="majorHAnsi" w:cstheme="majorHAnsi"/>
        </w:rPr>
        <w:t>,</w:t>
      </w:r>
      <w:r>
        <w:rPr>
          <w:rFonts w:asciiTheme="majorHAnsi" w:hAnsiTheme="majorHAnsi" w:cstheme="majorHAnsi"/>
        </w:rPr>
        <w:t xml:space="preserve"> criminal monetary </w:t>
      </w:r>
      <w:r w:rsidR="003434A6">
        <w:rPr>
          <w:rFonts w:asciiTheme="majorHAnsi" w:hAnsiTheme="majorHAnsi" w:cstheme="majorHAnsi"/>
        </w:rPr>
        <w:t>penalties</w:t>
      </w:r>
      <w:r>
        <w:rPr>
          <w:rFonts w:asciiTheme="majorHAnsi" w:hAnsiTheme="majorHAnsi" w:cstheme="majorHAnsi"/>
        </w:rPr>
        <w:t xml:space="preserve"> and jail time.</w:t>
      </w:r>
    </w:p>
    <w:p w14:paraId="03355ACA" w14:textId="77777777" w:rsidR="006E7649" w:rsidRDefault="006E7649" w:rsidP="006E7649">
      <w:pPr>
        <w:tabs>
          <w:tab w:val="left" w:pos="553"/>
        </w:tabs>
        <w:spacing w:line="360" w:lineRule="auto"/>
        <w:rPr>
          <w:rFonts w:asciiTheme="majorHAnsi" w:hAnsiTheme="majorHAnsi" w:cstheme="majorHAnsi"/>
        </w:rPr>
      </w:pPr>
    </w:p>
    <w:p w14:paraId="30E8B0C7" w14:textId="446BE0DB" w:rsidR="006E7649" w:rsidRDefault="006E7649" w:rsidP="006E7649">
      <w:pPr>
        <w:tabs>
          <w:tab w:val="left" w:pos="553"/>
        </w:tabs>
        <w:spacing w:line="360" w:lineRule="auto"/>
        <w:rPr>
          <w:rFonts w:asciiTheme="majorHAnsi" w:hAnsiTheme="majorHAnsi" w:cstheme="majorHAnsi"/>
        </w:rPr>
      </w:pPr>
      <w:r>
        <w:rPr>
          <w:rFonts w:asciiTheme="majorHAnsi" w:hAnsiTheme="majorHAnsi" w:cstheme="majorHAnsi"/>
        </w:rPr>
        <w:lastRenderedPageBreak/>
        <w:t xml:space="preserve">As with facilities, individuals who are licensed in a jurisdiction for a particular trade or profession are likewise subject to administrative processes and sanctions if they violate the statutes, regulations, or ordinances governing their professions. Administrative penalties can range from reprimand, retraining, temporary suspension, or loss of license to practice in the jurisdiction. Proceedings to investigation regulated professions are also subject to federal and STLT administrative procedure laws and due process provisions in codes regulating the profession. </w:t>
      </w:r>
    </w:p>
    <w:p w14:paraId="69D2A161" w14:textId="7B196716" w:rsidR="006E7649" w:rsidRDefault="006E7649" w:rsidP="006E7649">
      <w:pPr>
        <w:tabs>
          <w:tab w:val="left" w:pos="553"/>
        </w:tabs>
        <w:spacing w:line="360" w:lineRule="auto"/>
        <w:rPr>
          <w:rFonts w:asciiTheme="majorHAnsi" w:hAnsiTheme="majorHAnsi" w:cstheme="majorHAnsi"/>
        </w:rPr>
      </w:pPr>
    </w:p>
    <w:p w14:paraId="5E7C937D" w14:textId="18949E05" w:rsidR="00B75B7F" w:rsidRDefault="0083020A" w:rsidP="00C43BB1">
      <w:pPr>
        <w:tabs>
          <w:tab w:val="left" w:pos="553"/>
        </w:tabs>
        <w:spacing w:line="360" w:lineRule="auto"/>
      </w:pPr>
      <w:r w:rsidRPr="0075240F">
        <w:rPr>
          <w:rFonts w:ascii="Calibri" w:eastAsia="Calibri" w:hAnsi="Calibri" w:cs="Times New Roman"/>
          <w:noProof/>
        </w:rPr>
        <mc:AlternateContent>
          <mc:Choice Requires="wps">
            <w:drawing>
              <wp:anchor distT="45720" distB="45720" distL="114300" distR="114300" simplePos="0" relativeHeight="251663360" behindDoc="0" locked="0" layoutInCell="1" allowOverlap="1" wp14:anchorId="73ACEDE2" wp14:editId="26274BF4">
                <wp:simplePos x="0" y="0"/>
                <wp:positionH relativeFrom="margin">
                  <wp:align>center</wp:align>
                </wp:positionH>
                <wp:positionV relativeFrom="paragraph">
                  <wp:posOffset>391795</wp:posOffset>
                </wp:positionV>
                <wp:extent cx="5779770" cy="3722370"/>
                <wp:effectExtent l="0" t="0" r="11430" b="1143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9770" cy="3722511"/>
                        </a:xfrm>
                        <a:prstGeom prst="rect">
                          <a:avLst/>
                        </a:prstGeom>
                        <a:solidFill>
                          <a:srgbClr val="FFFFFF"/>
                        </a:solidFill>
                        <a:ln w="9525">
                          <a:solidFill>
                            <a:srgbClr val="000000"/>
                          </a:solidFill>
                          <a:miter lim="800000"/>
                          <a:headEnd/>
                          <a:tailEnd/>
                        </a:ln>
                      </wps:spPr>
                      <wps:txbx>
                        <w:txbxContent>
                          <w:p w14:paraId="664A10D2" w14:textId="77777777" w:rsidR="008237CC" w:rsidRDefault="008237CC" w:rsidP="008237CC">
                            <w:pPr>
                              <w:spacing w:after="120"/>
                              <w:jc w:val="center"/>
                              <w:rPr>
                                <w:rFonts w:ascii="Arial" w:hAnsi="Arial" w:cs="Arial"/>
                                <w:b/>
                                <w:bCs/>
                              </w:rPr>
                            </w:pPr>
                          </w:p>
                          <w:p w14:paraId="427446B1" w14:textId="77777777" w:rsidR="008237CC" w:rsidRPr="0058248F" w:rsidRDefault="008237CC" w:rsidP="008237CC">
                            <w:pPr>
                              <w:spacing w:after="120"/>
                              <w:jc w:val="center"/>
                              <w:rPr>
                                <w:rFonts w:ascii="Arial" w:hAnsi="Arial" w:cs="Arial"/>
                                <w:b/>
                                <w:bCs/>
                              </w:rPr>
                            </w:pPr>
                            <w:r>
                              <w:rPr>
                                <w:rFonts w:ascii="Arial" w:hAnsi="Arial" w:cs="Arial"/>
                                <w:b/>
                                <w:bCs/>
                              </w:rPr>
                              <w:t>Resources</w:t>
                            </w:r>
                          </w:p>
                          <w:p w14:paraId="01C8DE8E" w14:textId="77777777" w:rsidR="008237CC" w:rsidRPr="0058248F" w:rsidRDefault="008237CC" w:rsidP="008237CC">
                            <w:pPr>
                              <w:jc w:val="center"/>
                              <w:rPr>
                                <w:rFonts w:ascii="Arial" w:hAnsi="Arial" w:cs="Arial"/>
                                <w:b/>
                                <w:bCs/>
                              </w:rPr>
                            </w:pPr>
                          </w:p>
                          <w:p w14:paraId="120E906E" w14:textId="77777777" w:rsidR="008237CC" w:rsidRPr="0070495B" w:rsidRDefault="008237CC" w:rsidP="008237CC">
                            <w:pPr>
                              <w:spacing w:line="360" w:lineRule="auto"/>
                              <w:jc w:val="center"/>
                              <w:rPr>
                                <w:rFonts w:ascii="Arial" w:hAnsi="Arial" w:cs="Arial"/>
                                <w:i/>
                                <w:iCs/>
                                <w:sz w:val="20"/>
                                <w:szCs w:val="20"/>
                              </w:rPr>
                            </w:pPr>
                            <w:r w:rsidRPr="0070495B">
                              <w:rPr>
                                <w:rFonts w:ascii="Arial" w:hAnsi="Arial" w:cs="Arial"/>
                                <w:b/>
                                <w:bCs/>
                                <w:i/>
                                <w:iCs/>
                                <w:sz w:val="20"/>
                                <w:szCs w:val="20"/>
                                <w:highlight w:val="yellow"/>
                              </w:rPr>
                              <w:t>Note to reviewers:</w:t>
                            </w:r>
                            <w:r w:rsidRPr="0070495B">
                              <w:rPr>
                                <w:rFonts w:ascii="Arial" w:hAnsi="Arial" w:cs="Arial"/>
                                <w:i/>
                                <w:iCs/>
                                <w:sz w:val="20"/>
                                <w:szCs w:val="20"/>
                                <w:highlight w:val="yellow"/>
                              </w:rPr>
                              <w:t xml:space="preserve"> Please feel free to identify additional resources</w:t>
                            </w:r>
                          </w:p>
                          <w:p w14:paraId="53C79132" w14:textId="77777777" w:rsidR="008237CC" w:rsidRDefault="008237CC" w:rsidP="008237CC">
                            <w:pPr>
                              <w:rPr>
                                <w:rFonts w:ascii="Arial" w:hAnsi="Arial" w:cs="Arial"/>
                                <w:sz w:val="20"/>
                                <w:szCs w:val="20"/>
                              </w:rPr>
                            </w:pPr>
                          </w:p>
                          <w:p w14:paraId="2A1A15B7" w14:textId="77777777" w:rsidR="008237CC" w:rsidRDefault="008237CC" w:rsidP="0083020A">
                            <w:pPr>
                              <w:rPr>
                                <w:rFonts w:ascii="Arial" w:hAnsi="Arial" w:cs="Arial"/>
                                <w:sz w:val="20"/>
                                <w:szCs w:val="20"/>
                              </w:rPr>
                            </w:pPr>
                          </w:p>
                          <w:p w14:paraId="4994595B" w14:textId="5BDBC60E" w:rsidR="001561C5" w:rsidRDefault="00624A37" w:rsidP="0083020A">
                            <w:pPr>
                              <w:pStyle w:val="ListParagraph"/>
                              <w:numPr>
                                <w:ilvl w:val="0"/>
                                <w:numId w:val="16"/>
                              </w:numPr>
                              <w:ind w:left="1080"/>
                              <w:rPr>
                                <w:rFonts w:ascii="Arial" w:hAnsi="Arial" w:cs="Arial"/>
                                <w:sz w:val="20"/>
                                <w:szCs w:val="20"/>
                              </w:rPr>
                            </w:pPr>
                            <w:r w:rsidRPr="00624A37">
                              <w:rPr>
                                <w:rFonts w:ascii="Arial" w:hAnsi="Arial" w:cs="Arial"/>
                                <w:sz w:val="20"/>
                                <w:szCs w:val="20"/>
                              </w:rPr>
                              <w:t xml:space="preserve">ASHRAE. ASHRAE Publishes Updated Legionellosis Standard. August 13, 2018. </w:t>
                            </w:r>
                            <w:r w:rsidR="00A2531B">
                              <w:rPr>
                                <w:rFonts w:ascii="Arial" w:hAnsi="Arial" w:cs="Arial"/>
                                <w:sz w:val="20"/>
                                <w:szCs w:val="20"/>
                              </w:rPr>
                              <w:t>Available at</w:t>
                            </w:r>
                            <w:r w:rsidRPr="00624A37">
                              <w:rPr>
                                <w:rFonts w:ascii="Arial" w:hAnsi="Arial" w:cs="Arial"/>
                                <w:sz w:val="20"/>
                                <w:szCs w:val="20"/>
                              </w:rPr>
                              <w:t xml:space="preserve"> </w:t>
                            </w:r>
                            <w:hyperlink r:id="rId7" w:history="1">
                              <w:r w:rsidRPr="00624A37">
                                <w:rPr>
                                  <w:rStyle w:val="Hyperlink"/>
                                  <w:rFonts w:ascii="Arial" w:hAnsi="Arial" w:cs="Arial"/>
                                  <w:sz w:val="20"/>
                                  <w:szCs w:val="20"/>
                                </w:rPr>
                                <w:t>https://www.ashrae.org/about/news/2018/ashrae-publishes-updated-legionellosis-standard</w:t>
                              </w:r>
                            </w:hyperlink>
                          </w:p>
                          <w:p w14:paraId="56434FA3" w14:textId="22F52E1F" w:rsidR="001561C5" w:rsidRDefault="001561C5" w:rsidP="0083020A">
                            <w:pPr>
                              <w:pStyle w:val="ListParagraph"/>
                              <w:ind w:left="360"/>
                              <w:rPr>
                                <w:rFonts w:ascii="Arial" w:hAnsi="Arial" w:cs="Arial"/>
                                <w:sz w:val="20"/>
                                <w:szCs w:val="20"/>
                              </w:rPr>
                            </w:pPr>
                          </w:p>
                          <w:p w14:paraId="32F72465" w14:textId="1949E6C6" w:rsidR="00D4531F" w:rsidRDefault="00D4531F" w:rsidP="0083020A">
                            <w:pPr>
                              <w:pStyle w:val="ListParagraph"/>
                              <w:numPr>
                                <w:ilvl w:val="0"/>
                                <w:numId w:val="16"/>
                              </w:numPr>
                              <w:ind w:left="1080"/>
                              <w:rPr>
                                <w:rFonts w:ascii="Arial" w:hAnsi="Arial" w:cs="Arial"/>
                                <w:sz w:val="20"/>
                                <w:szCs w:val="20"/>
                              </w:rPr>
                            </w:pPr>
                            <w:r w:rsidRPr="00D4531F">
                              <w:rPr>
                                <w:rFonts w:ascii="Arial" w:hAnsi="Arial" w:cs="Arial"/>
                                <w:sz w:val="20"/>
                                <w:szCs w:val="20"/>
                              </w:rPr>
                              <w:t>Bernier</w:t>
                            </w:r>
                            <w:r>
                              <w:rPr>
                                <w:rFonts w:ascii="Arial" w:hAnsi="Arial" w:cs="Arial"/>
                                <w:sz w:val="20"/>
                                <w:szCs w:val="20"/>
                              </w:rPr>
                              <w:t>, T.P.</w:t>
                            </w:r>
                            <w:r w:rsidRPr="00D4531F">
                              <w:rPr>
                                <w:rFonts w:ascii="Arial" w:hAnsi="Arial" w:cs="Arial"/>
                                <w:sz w:val="20"/>
                                <w:szCs w:val="20"/>
                              </w:rPr>
                              <w:t xml:space="preserve"> and Smith</w:t>
                            </w:r>
                            <w:r>
                              <w:rPr>
                                <w:rFonts w:ascii="Arial" w:hAnsi="Arial" w:cs="Arial"/>
                                <w:sz w:val="20"/>
                                <w:szCs w:val="20"/>
                              </w:rPr>
                              <w:t xml:space="preserve">, S.E. </w:t>
                            </w:r>
                            <w:r w:rsidR="000B334F" w:rsidRPr="000B334F">
                              <w:rPr>
                                <w:rFonts w:ascii="Arial" w:hAnsi="Arial" w:cs="Arial"/>
                                <w:sz w:val="20"/>
                                <w:szCs w:val="20"/>
                              </w:rPr>
                              <w:t>Lessons Learned</w:t>
                            </w:r>
                            <w:r w:rsidR="000B334F">
                              <w:rPr>
                                <w:rFonts w:ascii="Arial" w:hAnsi="Arial" w:cs="Arial"/>
                                <w:sz w:val="20"/>
                                <w:szCs w:val="20"/>
                              </w:rPr>
                              <w:t xml:space="preserve"> </w:t>
                            </w:r>
                            <w:r w:rsidR="000B334F" w:rsidRPr="000B334F">
                              <w:rPr>
                                <w:rFonts w:ascii="Arial" w:hAnsi="Arial" w:cs="Arial"/>
                                <w:sz w:val="20"/>
                                <w:szCs w:val="20"/>
                              </w:rPr>
                              <w:t>from Legionnaires’</w:t>
                            </w:r>
                            <w:r w:rsidR="000B334F">
                              <w:rPr>
                                <w:rFonts w:ascii="Arial" w:hAnsi="Arial" w:cs="Arial"/>
                                <w:sz w:val="20"/>
                                <w:szCs w:val="20"/>
                              </w:rPr>
                              <w:t xml:space="preserve"> </w:t>
                            </w:r>
                            <w:r w:rsidR="000B334F" w:rsidRPr="000B334F">
                              <w:rPr>
                                <w:rFonts w:ascii="Arial" w:hAnsi="Arial" w:cs="Arial"/>
                                <w:sz w:val="20"/>
                                <w:szCs w:val="20"/>
                              </w:rPr>
                              <w:t>Disease Litigation</w:t>
                            </w:r>
                            <w:r w:rsidR="000B334F">
                              <w:rPr>
                                <w:rFonts w:ascii="Arial" w:hAnsi="Arial" w:cs="Arial"/>
                                <w:sz w:val="20"/>
                                <w:szCs w:val="20"/>
                              </w:rPr>
                              <w:t xml:space="preserve">: </w:t>
                            </w:r>
                            <w:r w:rsidR="00D14891" w:rsidRPr="00D14891">
                              <w:rPr>
                                <w:rFonts w:ascii="Arial" w:hAnsi="Arial" w:cs="Arial"/>
                                <w:sz w:val="20"/>
                                <w:szCs w:val="20"/>
                              </w:rPr>
                              <w:t>The Standard of Care Defense in Emerging Toxic Tort Claim</w:t>
                            </w:r>
                            <w:r w:rsidR="00E830A5">
                              <w:rPr>
                                <w:rFonts w:ascii="Arial" w:hAnsi="Arial" w:cs="Arial"/>
                                <w:sz w:val="20"/>
                                <w:szCs w:val="20"/>
                              </w:rPr>
                              <w:t xml:space="preserve">s. </w:t>
                            </w:r>
                            <w:r w:rsidR="00A2531B">
                              <w:rPr>
                                <w:rFonts w:ascii="Arial" w:hAnsi="Arial" w:cs="Arial"/>
                                <w:sz w:val="20"/>
                                <w:szCs w:val="20"/>
                              </w:rPr>
                              <w:t xml:space="preserve">April 2014. </w:t>
                            </w:r>
                            <w:r w:rsidR="00E830A5">
                              <w:rPr>
                                <w:rFonts w:ascii="Arial" w:hAnsi="Arial" w:cs="Arial"/>
                                <w:sz w:val="20"/>
                                <w:szCs w:val="20"/>
                              </w:rPr>
                              <w:t xml:space="preserve">Available at </w:t>
                            </w:r>
                            <w:hyperlink r:id="rId8" w:history="1">
                              <w:r w:rsidR="00E830A5">
                                <w:rPr>
                                  <w:rStyle w:val="Hyperlink"/>
                                </w:rPr>
                                <w:t>https://media.goldbergsegalla.com/uploads/tpb_ses%20dri%20standard%20of%20care.pdf</w:t>
                              </w:r>
                            </w:hyperlink>
                          </w:p>
                          <w:p w14:paraId="6D3132AB" w14:textId="77777777" w:rsidR="00D4531F" w:rsidRDefault="00D4531F" w:rsidP="0083020A">
                            <w:pPr>
                              <w:pStyle w:val="ListParagraph"/>
                              <w:ind w:left="360"/>
                              <w:rPr>
                                <w:rFonts w:ascii="Arial" w:hAnsi="Arial" w:cs="Arial"/>
                                <w:sz w:val="20"/>
                                <w:szCs w:val="20"/>
                              </w:rPr>
                            </w:pPr>
                          </w:p>
                          <w:p w14:paraId="2059CC63" w14:textId="24FE8C64" w:rsidR="008237CC" w:rsidRPr="0013450D" w:rsidRDefault="001561C5" w:rsidP="0083020A">
                            <w:pPr>
                              <w:pStyle w:val="ListParagraph"/>
                              <w:numPr>
                                <w:ilvl w:val="0"/>
                                <w:numId w:val="16"/>
                              </w:numPr>
                              <w:ind w:left="1080"/>
                              <w:rPr>
                                <w:rFonts w:ascii="Arial" w:hAnsi="Arial" w:cs="Arial"/>
                                <w:sz w:val="20"/>
                                <w:szCs w:val="20"/>
                              </w:rPr>
                            </w:pPr>
                            <w:r w:rsidRPr="001561C5">
                              <w:rPr>
                                <w:rFonts w:ascii="Arial" w:hAnsi="Arial" w:cs="Arial"/>
                                <w:sz w:val="20"/>
                                <w:szCs w:val="20"/>
                              </w:rPr>
                              <w:t xml:space="preserve">Stout, J.E. and Boehlert, G.R. Legal Significance of ANSI/ASHRAE Standard 188-2015. </w:t>
                            </w:r>
                            <w:r w:rsidR="00A2531B">
                              <w:rPr>
                                <w:rFonts w:ascii="Arial" w:hAnsi="Arial" w:cs="Arial"/>
                                <w:sz w:val="20"/>
                                <w:szCs w:val="20"/>
                              </w:rPr>
                              <w:t>Available at</w:t>
                            </w:r>
                            <w:r w:rsidRPr="001561C5">
                              <w:rPr>
                                <w:rFonts w:ascii="Arial" w:hAnsi="Arial" w:cs="Arial"/>
                                <w:sz w:val="20"/>
                                <w:szCs w:val="20"/>
                              </w:rPr>
                              <w:t xml:space="preserve"> </w:t>
                            </w:r>
                            <w:hyperlink r:id="rId9" w:history="1">
                              <w:r w:rsidRPr="001561C5">
                                <w:rPr>
                                  <w:rStyle w:val="Hyperlink"/>
                                  <w:rFonts w:ascii="Arial" w:hAnsi="Arial" w:cs="Arial"/>
                                  <w:sz w:val="20"/>
                                  <w:szCs w:val="20"/>
                                </w:rPr>
                                <w:t>https://www.facilitiesnet.com/facilitiesmanagement/article/Legal-Significance-of-ANSIASHRAE-Standard-188-2015--16353</w:t>
                              </w:r>
                            </w:hyperlink>
                          </w:p>
                          <w:p w14:paraId="3002AAFD" w14:textId="77777777" w:rsidR="008237CC" w:rsidRDefault="008237CC" w:rsidP="008237C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ACEDE2" id="_x0000_s1027" type="#_x0000_t202" style="position:absolute;margin-left:0;margin-top:30.85pt;width:455.1pt;height:293.1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">
                <v:textbox>
                  <w:txbxContent>
                    <w:p w14:paraId="664A10D2" w14:textId="77777777" w:rsidR="008237CC" w:rsidRDefault="008237CC" w:rsidP="008237CC">
                      <w:pPr>
                        <w:spacing w:after="120"/>
                        <w:jc w:val="center"/>
                        <w:rPr>
                          <w:rFonts w:ascii="Arial" w:hAnsi="Arial" w:cs="Arial"/>
                          <w:b/>
                          <w:bCs/>
                        </w:rPr>
                      </w:pPr>
                    </w:p>
                    <w:p w14:paraId="427446B1" w14:textId="77777777" w:rsidR="008237CC" w:rsidRPr="0058248F" w:rsidRDefault="008237CC" w:rsidP="008237CC">
                      <w:pPr>
                        <w:spacing w:after="120"/>
                        <w:jc w:val="center"/>
                        <w:rPr>
                          <w:rFonts w:ascii="Arial" w:hAnsi="Arial" w:cs="Arial"/>
                          <w:b/>
                          <w:bCs/>
                        </w:rPr>
                      </w:pPr>
                      <w:r>
                        <w:rPr>
                          <w:rFonts w:ascii="Arial" w:hAnsi="Arial" w:cs="Arial"/>
                          <w:b/>
                          <w:bCs/>
                        </w:rPr>
                        <w:t>Resources</w:t>
                      </w:r>
                    </w:p>
                    <w:p w14:paraId="01C8DE8E" w14:textId="77777777" w:rsidR="008237CC" w:rsidRPr="0058248F" w:rsidRDefault="008237CC" w:rsidP="008237CC">
                      <w:pPr>
                        <w:jc w:val="center"/>
                        <w:rPr>
                          <w:rFonts w:ascii="Arial" w:hAnsi="Arial" w:cs="Arial"/>
                          <w:b/>
                          <w:bCs/>
                        </w:rPr>
                      </w:pPr>
                    </w:p>
                    <w:p w14:paraId="120E906E" w14:textId="77777777" w:rsidR="008237CC" w:rsidRPr="0070495B" w:rsidRDefault="008237CC" w:rsidP="008237CC">
                      <w:pPr>
                        <w:spacing w:line="360" w:lineRule="auto"/>
                        <w:jc w:val="center"/>
                        <w:rPr>
                          <w:rFonts w:ascii="Arial" w:hAnsi="Arial" w:cs="Arial"/>
                          <w:i/>
                          <w:iCs/>
                          <w:sz w:val="20"/>
                          <w:szCs w:val="20"/>
                        </w:rPr>
                      </w:pPr>
                      <w:r w:rsidRPr="0070495B">
                        <w:rPr>
                          <w:rFonts w:ascii="Arial" w:hAnsi="Arial" w:cs="Arial"/>
                          <w:b/>
                          <w:bCs/>
                          <w:i/>
                          <w:iCs/>
                          <w:sz w:val="20"/>
                          <w:szCs w:val="20"/>
                          <w:highlight w:val="yellow"/>
                        </w:rPr>
                        <w:t>Note to reviewers:</w:t>
                      </w:r>
                      <w:r w:rsidRPr="0070495B">
                        <w:rPr>
                          <w:rFonts w:ascii="Arial" w:hAnsi="Arial" w:cs="Arial"/>
                          <w:i/>
                          <w:iCs/>
                          <w:sz w:val="20"/>
                          <w:szCs w:val="20"/>
                          <w:highlight w:val="yellow"/>
                        </w:rPr>
                        <w:t xml:space="preserve"> Please feel free to identify additional resources</w:t>
                      </w:r>
                    </w:p>
                    <w:p w14:paraId="53C79132" w14:textId="77777777" w:rsidR="008237CC" w:rsidRDefault="008237CC" w:rsidP="008237CC">
                      <w:pPr>
                        <w:rPr>
                          <w:rFonts w:ascii="Arial" w:hAnsi="Arial" w:cs="Arial"/>
                          <w:sz w:val="20"/>
                          <w:szCs w:val="20"/>
                        </w:rPr>
                      </w:pPr>
                    </w:p>
                    <w:p w14:paraId="2A1A15B7" w14:textId="77777777" w:rsidR="008237CC" w:rsidRDefault="008237CC" w:rsidP="0083020A">
                      <w:pPr>
                        <w:rPr>
                          <w:rFonts w:ascii="Arial" w:hAnsi="Arial" w:cs="Arial"/>
                          <w:sz w:val="20"/>
                          <w:szCs w:val="20"/>
                        </w:rPr>
                      </w:pPr>
                    </w:p>
                    <w:p w14:paraId="4994595B" w14:textId="5BDBC60E" w:rsidR="001561C5" w:rsidRDefault="00624A37" w:rsidP="0083020A">
                      <w:pPr>
                        <w:pStyle w:val="ListParagraph"/>
                        <w:numPr>
                          <w:ilvl w:val="0"/>
                          <w:numId w:val="16"/>
                        </w:numPr>
                        <w:ind w:left="1080"/>
                        <w:rPr>
                          <w:rFonts w:ascii="Arial" w:hAnsi="Arial" w:cs="Arial"/>
                          <w:sz w:val="20"/>
                          <w:szCs w:val="20"/>
                        </w:rPr>
                      </w:pPr>
                      <w:r w:rsidRPr="00624A37">
                        <w:rPr>
                          <w:rFonts w:ascii="Arial" w:hAnsi="Arial" w:cs="Arial"/>
                          <w:sz w:val="20"/>
                          <w:szCs w:val="20"/>
                        </w:rPr>
                        <w:t xml:space="preserve">ASHRAE. ASHRAE Publishes Updated Legionellosis Standard. August 13, 2018. </w:t>
                      </w:r>
                      <w:r w:rsidR="00A2531B">
                        <w:rPr>
                          <w:rFonts w:ascii="Arial" w:hAnsi="Arial" w:cs="Arial"/>
                          <w:sz w:val="20"/>
                          <w:szCs w:val="20"/>
                        </w:rPr>
                        <w:t>Available at</w:t>
                      </w:r>
                      <w:r w:rsidRPr="00624A37">
                        <w:rPr>
                          <w:rFonts w:ascii="Arial" w:hAnsi="Arial" w:cs="Arial"/>
                          <w:sz w:val="20"/>
                          <w:szCs w:val="20"/>
                        </w:rPr>
                        <w:t xml:space="preserve"> </w:t>
                      </w:r>
                      <w:hyperlink r:id="rId10" w:history="1">
                        <w:r w:rsidRPr="00624A37">
                          <w:rPr>
                            <w:rStyle w:val="Hyperlink"/>
                            <w:rFonts w:ascii="Arial" w:hAnsi="Arial" w:cs="Arial"/>
                            <w:sz w:val="20"/>
                            <w:szCs w:val="20"/>
                          </w:rPr>
                          <w:t>https://www.ashrae.org/about/news/2018/ashrae-publishes-updated-legionellosis-standard</w:t>
                        </w:r>
                      </w:hyperlink>
                    </w:p>
                    <w:p w14:paraId="56434FA3" w14:textId="22F52E1F" w:rsidR="001561C5" w:rsidRDefault="001561C5" w:rsidP="0083020A">
                      <w:pPr>
                        <w:pStyle w:val="ListParagraph"/>
                        <w:ind w:left="360"/>
                        <w:rPr>
                          <w:rFonts w:ascii="Arial" w:hAnsi="Arial" w:cs="Arial"/>
                          <w:sz w:val="20"/>
                          <w:szCs w:val="20"/>
                        </w:rPr>
                      </w:pPr>
                    </w:p>
                    <w:p w14:paraId="32F72465" w14:textId="1949E6C6" w:rsidR="00D4531F" w:rsidRDefault="00D4531F" w:rsidP="0083020A">
                      <w:pPr>
                        <w:pStyle w:val="ListParagraph"/>
                        <w:numPr>
                          <w:ilvl w:val="0"/>
                          <w:numId w:val="16"/>
                        </w:numPr>
                        <w:ind w:left="1080"/>
                        <w:rPr>
                          <w:rFonts w:ascii="Arial" w:hAnsi="Arial" w:cs="Arial"/>
                          <w:sz w:val="20"/>
                          <w:szCs w:val="20"/>
                        </w:rPr>
                      </w:pPr>
                      <w:r w:rsidRPr="00D4531F">
                        <w:rPr>
                          <w:rFonts w:ascii="Arial" w:hAnsi="Arial" w:cs="Arial"/>
                          <w:sz w:val="20"/>
                          <w:szCs w:val="20"/>
                        </w:rPr>
                        <w:t>Bernier</w:t>
                      </w:r>
                      <w:r>
                        <w:rPr>
                          <w:rFonts w:ascii="Arial" w:hAnsi="Arial" w:cs="Arial"/>
                          <w:sz w:val="20"/>
                          <w:szCs w:val="20"/>
                        </w:rPr>
                        <w:t>, T.P.</w:t>
                      </w:r>
                      <w:r w:rsidRPr="00D4531F">
                        <w:rPr>
                          <w:rFonts w:ascii="Arial" w:hAnsi="Arial" w:cs="Arial"/>
                          <w:sz w:val="20"/>
                          <w:szCs w:val="20"/>
                        </w:rPr>
                        <w:t xml:space="preserve"> and Smith</w:t>
                      </w:r>
                      <w:r>
                        <w:rPr>
                          <w:rFonts w:ascii="Arial" w:hAnsi="Arial" w:cs="Arial"/>
                          <w:sz w:val="20"/>
                          <w:szCs w:val="20"/>
                        </w:rPr>
                        <w:t xml:space="preserve">, S.E. </w:t>
                      </w:r>
                      <w:r w:rsidR="000B334F" w:rsidRPr="000B334F">
                        <w:rPr>
                          <w:rFonts w:ascii="Arial" w:hAnsi="Arial" w:cs="Arial"/>
                          <w:sz w:val="20"/>
                          <w:szCs w:val="20"/>
                        </w:rPr>
                        <w:t>Lessons Learned</w:t>
                      </w:r>
                      <w:r w:rsidR="000B334F">
                        <w:rPr>
                          <w:rFonts w:ascii="Arial" w:hAnsi="Arial" w:cs="Arial"/>
                          <w:sz w:val="20"/>
                          <w:szCs w:val="20"/>
                        </w:rPr>
                        <w:t xml:space="preserve"> </w:t>
                      </w:r>
                      <w:r w:rsidR="000B334F" w:rsidRPr="000B334F">
                        <w:rPr>
                          <w:rFonts w:ascii="Arial" w:hAnsi="Arial" w:cs="Arial"/>
                          <w:sz w:val="20"/>
                          <w:szCs w:val="20"/>
                        </w:rPr>
                        <w:t>from Legionnaires’</w:t>
                      </w:r>
                      <w:r w:rsidR="000B334F">
                        <w:rPr>
                          <w:rFonts w:ascii="Arial" w:hAnsi="Arial" w:cs="Arial"/>
                          <w:sz w:val="20"/>
                          <w:szCs w:val="20"/>
                        </w:rPr>
                        <w:t xml:space="preserve"> </w:t>
                      </w:r>
                      <w:r w:rsidR="000B334F" w:rsidRPr="000B334F">
                        <w:rPr>
                          <w:rFonts w:ascii="Arial" w:hAnsi="Arial" w:cs="Arial"/>
                          <w:sz w:val="20"/>
                          <w:szCs w:val="20"/>
                        </w:rPr>
                        <w:t>Disease Litigation</w:t>
                      </w:r>
                      <w:r w:rsidR="000B334F">
                        <w:rPr>
                          <w:rFonts w:ascii="Arial" w:hAnsi="Arial" w:cs="Arial"/>
                          <w:sz w:val="20"/>
                          <w:szCs w:val="20"/>
                        </w:rPr>
                        <w:t xml:space="preserve">: </w:t>
                      </w:r>
                      <w:r w:rsidR="00D14891" w:rsidRPr="00D14891">
                        <w:rPr>
                          <w:rFonts w:ascii="Arial" w:hAnsi="Arial" w:cs="Arial"/>
                          <w:sz w:val="20"/>
                          <w:szCs w:val="20"/>
                        </w:rPr>
                        <w:t>The Standard of Care Defense in Emerging Toxic Tort Claim</w:t>
                      </w:r>
                      <w:r w:rsidR="00E830A5">
                        <w:rPr>
                          <w:rFonts w:ascii="Arial" w:hAnsi="Arial" w:cs="Arial"/>
                          <w:sz w:val="20"/>
                          <w:szCs w:val="20"/>
                        </w:rPr>
                        <w:t xml:space="preserve">s. </w:t>
                      </w:r>
                      <w:r w:rsidR="00A2531B">
                        <w:rPr>
                          <w:rFonts w:ascii="Arial" w:hAnsi="Arial" w:cs="Arial"/>
                          <w:sz w:val="20"/>
                          <w:szCs w:val="20"/>
                        </w:rPr>
                        <w:t xml:space="preserve">April 2014. </w:t>
                      </w:r>
                      <w:r w:rsidR="00E830A5">
                        <w:rPr>
                          <w:rFonts w:ascii="Arial" w:hAnsi="Arial" w:cs="Arial"/>
                          <w:sz w:val="20"/>
                          <w:szCs w:val="20"/>
                        </w:rPr>
                        <w:t xml:space="preserve">Available at </w:t>
                      </w:r>
                      <w:hyperlink r:id="rId11" w:history="1">
                        <w:r w:rsidR="00E830A5">
                          <w:rPr>
                            <w:rStyle w:val="Hyperlink"/>
                          </w:rPr>
                          <w:t>https://media.goldbergsegalla.com/uploads/tpb_ses%20dri%20standard%20of%20care.pdf</w:t>
                        </w:r>
                      </w:hyperlink>
                    </w:p>
                    <w:p w14:paraId="6D3132AB" w14:textId="77777777" w:rsidR="00D4531F" w:rsidRDefault="00D4531F" w:rsidP="0083020A">
                      <w:pPr>
                        <w:pStyle w:val="ListParagraph"/>
                        <w:ind w:left="360"/>
                        <w:rPr>
                          <w:rFonts w:ascii="Arial" w:hAnsi="Arial" w:cs="Arial"/>
                          <w:sz w:val="20"/>
                          <w:szCs w:val="20"/>
                        </w:rPr>
                      </w:pPr>
                    </w:p>
                    <w:p w14:paraId="2059CC63" w14:textId="24FE8C64" w:rsidR="008237CC" w:rsidRPr="0013450D" w:rsidRDefault="001561C5" w:rsidP="0083020A">
                      <w:pPr>
                        <w:pStyle w:val="ListParagraph"/>
                        <w:numPr>
                          <w:ilvl w:val="0"/>
                          <w:numId w:val="16"/>
                        </w:numPr>
                        <w:ind w:left="1080"/>
                        <w:rPr>
                          <w:rFonts w:ascii="Arial" w:hAnsi="Arial" w:cs="Arial"/>
                          <w:sz w:val="20"/>
                          <w:szCs w:val="20"/>
                        </w:rPr>
                      </w:pPr>
                      <w:r w:rsidRPr="001561C5">
                        <w:rPr>
                          <w:rFonts w:ascii="Arial" w:hAnsi="Arial" w:cs="Arial"/>
                          <w:sz w:val="20"/>
                          <w:szCs w:val="20"/>
                        </w:rPr>
                        <w:t xml:space="preserve">Stout, J.E. and Boehlert, G.R. Legal Significance of ANSI/ASHRAE Standard 188-2015. </w:t>
                      </w:r>
                      <w:r w:rsidR="00A2531B">
                        <w:rPr>
                          <w:rFonts w:ascii="Arial" w:hAnsi="Arial" w:cs="Arial"/>
                          <w:sz w:val="20"/>
                          <w:szCs w:val="20"/>
                        </w:rPr>
                        <w:t>Available at</w:t>
                      </w:r>
                      <w:r w:rsidRPr="001561C5">
                        <w:rPr>
                          <w:rFonts w:ascii="Arial" w:hAnsi="Arial" w:cs="Arial"/>
                          <w:sz w:val="20"/>
                          <w:szCs w:val="20"/>
                        </w:rPr>
                        <w:t xml:space="preserve"> </w:t>
                      </w:r>
                      <w:hyperlink r:id="rId12" w:history="1">
                        <w:r w:rsidRPr="001561C5">
                          <w:rPr>
                            <w:rStyle w:val="Hyperlink"/>
                            <w:rFonts w:ascii="Arial" w:hAnsi="Arial" w:cs="Arial"/>
                            <w:sz w:val="20"/>
                            <w:szCs w:val="20"/>
                          </w:rPr>
                          <w:t>https://www.facilitiesnet.com/facilitiesmanagement/article/Legal-Significance-of-ANSIASHRAE-Standard-188-2015--16353</w:t>
                        </w:r>
                      </w:hyperlink>
                    </w:p>
                    <w:p w14:paraId="3002AAFD" w14:textId="77777777" w:rsidR="008237CC" w:rsidRDefault="008237CC" w:rsidP="008237CC"/>
                  </w:txbxContent>
                </v:textbox>
                <w10:wrap type="square" anchorx="margin"/>
              </v:shape>
            </w:pict>
          </mc:Fallback>
        </mc:AlternateContent>
      </w:r>
    </w:p>
    <w:sectPr w:rsidR="00B75B7F">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F46913" w14:textId="77777777" w:rsidR="006E7649" w:rsidRDefault="006E7649" w:rsidP="006E7649">
      <w:r>
        <w:separator/>
      </w:r>
    </w:p>
  </w:endnote>
  <w:endnote w:type="continuationSeparator" w:id="0">
    <w:p w14:paraId="1A9C3271" w14:textId="77777777" w:rsidR="006E7649" w:rsidRDefault="006E7649" w:rsidP="006E7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62563554"/>
      <w:docPartObj>
        <w:docPartGallery w:val="Page Numbers (Bottom of Page)"/>
        <w:docPartUnique/>
      </w:docPartObj>
    </w:sdtPr>
    <w:sdtEndPr>
      <w:rPr>
        <w:noProof/>
      </w:rPr>
    </w:sdtEndPr>
    <w:sdtContent>
      <w:p w14:paraId="2A77F4A4" w14:textId="72843551" w:rsidR="00CA07BE" w:rsidRDefault="00CA07BE" w:rsidP="00CA07BE">
        <w:pPr>
          <w:pStyle w:val="Footer"/>
          <w:jc w:val="center"/>
        </w:pPr>
        <w:r w:rsidRPr="00CA07BE">
          <w:rPr>
            <w:rFonts w:asciiTheme="majorHAnsi" w:hAnsiTheme="majorHAnsi" w:cstheme="majorHAnsi"/>
          </w:rPr>
          <w:fldChar w:fldCharType="begin"/>
        </w:r>
        <w:r w:rsidRPr="00CA07BE">
          <w:rPr>
            <w:rFonts w:asciiTheme="majorHAnsi" w:hAnsiTheme="majorHAnsi" w:cstheme="majorHAnsi"/>
          </w:rPr>
          <w:instrText xml:space="preserve"> PAGE   \* MERGEFORMAT </w:instrText>
        </w:r>
        <w:r w:rsidRPr="00CA07BE">
          <w:rPr>
            <w:rFonts w:asciiTheme="majorHAnsi" w:hAnsiTheme="majorHAnsi" w:cstheme="majorHAnsi"/>
          </w:rPr>
          <w:fldChar w:fldCharType="separate"/>
        </w:r>
        <w:r w:rsidRPr="00CA07BE">
          <w:rPr>
            <w:rFonts w:asciiTheme="majorHAnsi" w:hAnsiTheme="majorHAnsi" w:cstheme="majorHAnsi"/>
            <w:noProof/>
          </w:rPr>
          <w:t>2</w:t>
        </w:r>
        <w:r w:rsidRPr="00CA07BE">
          <w:rPr>
            <w:rFonts w:asciiTheme="majorHAnsi" w:hAnsiTheme="majorHAnsi" w:cstheme="majorHAnsi"/>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69DF03" w14:textId="77777777" w:rsidR="006E7649" w:rsidRDefault="006E7649" w:rsidP="006E7649">
      <w:r>
        <w:separator/>
      </w:r>
    </w:p>
  </w:footnote>
  <w:footnote w:type="continuationSeparator" w:id="0">
    <w:p w14:paraId="4EED73E0" w14:textId="77777777" w:rsidR="006E7649" w:rsidRDefault="006E7649" w:rsidP="006E7649">
      <w:r>
        <w:continuationSeparator/>
      </w:r>
    </w:p>
  </w:footnote>
  <w:footnote w:id="1">
    <w:p w14:paraId="53809101" w14:textId="142C00A6" w:rsidR="00010184" w:rsidRPr="00210346" w:rsidRDefault="00010184" w:rsidP="00010184">
      <w:pPr>
        <w:tabs>
          <w:tab w:val="left" w:pos="686"/>
        </w:tabs>
        <w:rPr>
          <w:rFonts w:asciiTheme="majorHAnsi" w:hAnsiTheme="majorHAnsi" w:cs="Calibri Light"/>
          <w:b/>
          <w:bCs/>
          <w:sz w:val="20"/>
          <w:szCs w:val="20"/>
        </w:rPr>
      </w:pPr>
      <w:r w:rsidRPr="00210346">
        <w:rPr>
          <w:rFonts w:asciiTheme="majorHAnsi" w:hAnsiTheme="majorHAnsi" w:cs="Calibri Light"/>
          <w:b/>
          <w:bCs/>
          <w:sz w:val="20"/>
          <w:szCs w:val="20"/>
          <w:highlight w:val="yellow"/>
        </w:rPr>
        <w:t>Footnotes will be streamlined and edited to style guide once text is finalized</w:t>
      </w:r>
    </w:p>
    <w:p w14:paraId="72AB2E8A" w14:textId="44F704D1" w:rsidR="002F2744" w:rsidRPr="00210346" w:rsidRDefault="002F2744">
      <w:pPr>
        <w:pStyle w:val="FootnoteText"/>
        <w:rPr>
          <w:rFonts w:asciiTheme="majorHAnsi" w:hAnsiTheme="majorHAnsi"/>
        </w:rPr>
      </w:pPr>
      <w:r w:rsidRPr="00210346">
        <w:rPr>
          <w:rStyle w:val="FootnoteReference"/>
          <w:rFonts w:asciiTheme="majorHAnsi" w:hAnsiTheme="majorHAnsi"/>
        </w:rPr>
        <w:footnoteRef/>
      </w:r>
      <w:r w:rsidRPr="00210346">
        <w:rPr>
          <w:rFonts w:asciiTheme="majorHAnsi" w:hAnsiTheme="majorHAnsi"/>
        </w:rPr>
        <w:t xml:space="preserve"> </w:t>
      </w:r>
      <w:r w:rsidRPr="00C32E19">
        <w:rPr>
          <w:rFonts w:asciiTheme="majorHAnsi" w:hAnsiTheme="majorHAnsi"/>
          <w:i/>
          <w:iCs/>
        </w:rPr>
        <w:t>For example</w:t>
      </w:r>
      <w:r w:rsidRPr="00210346">
        <w:rPr>
          <w:rFonts w:asciiTheme="majorHAnsi" w:hAnsiTheme="majorHAnsi"/>
        </w:rPr>
        <w:t xml:space="preserve">, </w:t>
      </w:r>
      <w:r w:rsidRPr="00210346">
        <w:rPr>
          <w:rFonts w:asciiTheme="majorHAnsi" w:hAnsiTheme="majorHAnsi"/>
        </w:rPr>
        <w:t>Licari v. Best W. Int'l Inc., Case No. 2:11-cv-603 (D. Utah Jul. 12, 2013)</w:t>
      </w:r>
      <w:r w:rsidRPr="00210346">
        <w:rPr>
          <w:rFonts w:asciiTheme="majorHAnsi" w:hAnsiTheme="majorHAnsi"/>
        </w:rPr>
        <w:t>.</w:t>
      </w:r>
    </w:p>
  </w:footnote>
  <w:footnote w:id="2">
    <w:p w14:paraId="29AD1246" w14:textId="33B2DF5A" w:rsidR="006E7649" w:rsidRPr="00210346" w:rsidRDefault="006E7649" w:rsidP="006E7649">
      <w:pPr>
        <w:pStyle w:val="FootnoteText"/>
        <w:rPr>
          <w:rFonts w:asciiTheme="majorHAnsi" w:hAnsiTheme="majorHAnsi"/>
        </w:rPr>
      </w:pPr>
      <w:r w:rsidRPr="00210346">
        <w:rPr>
          <w:rStyle w:val="FootnoteReference"/>
          <w:rFonts w:asciiTheme="majorHAnsi" w:hAnsiTheme="majorHAnsi"/>
        </w:rPr>
        <w:footnoteRef/>
      </w:r>
      <w:r w:rsidRPr="00210346">
        <w:rPr>
          <w:rFonts w:asciiTheme="majorHAnsi" w:hAnsiTheme="majorHAnsi"/>
        </w:rPr>
        <w:t xml:space="preserve"> Note that the traditional analysis of premises liability cases depends on whether the defendant was in possession of the premises (e.g., ownership, lease) and the status of the plaintiff (e.g., invitee, licensee, or trespasser). While possessors owe a duty of care to invitees and licenses, they generally do not </w:t>
      </w:r>
      <w:r w:rsidR="002D1AE5" w:rsidRPr="00210346">
        <w:rPr>
          <w:rFonts w:asciiTheme="majorHAnsi" w:hAnsiTheme="majorHAnsi"/>
        </w:rPr>
        <w:t>for</w:t>
      </w:r>
      <w:r w:rsidRPr="00210346">
        <w:rPr>
          <w:rFonts w:asciiTheme="majorHAnsi" w:hAnsiTheme="majorHAnsi"/>
        </w:rPr>
        <w:t xml:space="preserve"> trespassers. In some states, a general reasonable person standard has replaced th</w:t>
      </w:r>
      <w:r w:rsidR="00F83F31" w:rsidRPr="00210346">
        <w:rPr>
          <w:rFonts w:asciiTheme="majorHAnsi" w:hAnsiTheme="majorHAnsi"/>
        </w:rPr>
        <w:t>is</w:t>
      </w:r>
      <w:r w:rsidRPr="00210346">
        <w:rPr>
          <w:rFonts w:asciiTheme="majorHAnsi" w:hAnsiTheme="majorHAnsi"/>
        </w:rPr>
        <w:t xml:space="preserve"> traditional analysis based on the status of the person entering the premises; however, some states still have different rules for trespassers (even innocent ones). </w:t>
      </w:r>
    </w:p>
  </w:footnote>
  <w:footnote w:id="3">
    <w:p w14:paraId="0DF7B6BD" w14:textId="59012945" w:rsidR="009D521A" w:rsidRPr="00210346" w:rsidRDefault="009D521A">
      <w:pPr>
        <w:pStyle w:val="FootnoteText"/>
        <w:rPr>
          <w:rFonts w:asciiTheme="majorHAnsi" w:hAnsiTheme="majorHAnsi"/>
        </w:rPr>
      </w:pPr>
      <w:r w:rsidRPr="00210346">
        <w:rPr>
          <w:rStyle w:val="FootnoteReference"/>
          <w:rFonts w:asciiTheme="majorHAnsi" w:hAnsiTheme="majorHAnsi"/>
        </w:rPr>
        <w:footnoteRef/>
      </w:r>
      <w:r w:rsidRPr="00210346">
        <w:rPr>
          <w:rFonts w:asciiTheme="majorHAnsi" w:hAnsiTheme="majorHAnsi"/>
        </w:rPr>
        <w:t xml:space="preserve"> </w:t>
      </w:r>
      <w:r w:rsidR="001C480A" w:rsidRPr="00210346">
        <w:rPr>
          <w:rFonts w:asciiTheme="majorHAnsi" w:hAnsiTheme="majorHAnsi"/>
        </w:rPr>
        <w:t>Stout</w:t>
      </w:r>
      <w:r w:rsidR="001C480A" w:rsidRPr="00210346">
        <w:rPr>
          <w:rFonts w:asciiTheme="majorHAnsi" w:hAnsiTheme="majorHAnsi"/>
        </w:rPr>
        <w:t xml:space="preserve">, J.E. </w:t>
      </w:r>
      <w:r w:rsidR="001C480A" w:rsidRPr="00210346">
        <w:rPr>
          <w:rFonts w:asciiTheme="majorHAnsi" w:hAnsiTheme="majorHAnsi"/>
        </w:rPr>
        <w:t>and Boehlert</w:t>
      </w:r>
      <w:r w:rsidR="000F4AE0" w:rsidRPr="00210346">
        <w:rPr>
          <w:rFonts w:asciiTheme="majorHAnsi" w:hAnsiTheme="majorHAnsi"/>
        </w:rPr>
        <w:t xml:space="preserve">, G.R. </w:t>
      </w:r>
      <w:r w:rsidR="00511852" w:rsidRPr="00210346">
        <w:rPr>
          <w:rFonts w:asciiTheme="majorHAnsi" w:hAnsiTheme="majorHAnsi"/>
        </w:rPr>
        <w:t>Legal Significance of ANSI/ASHRAE Standard 188-2015</w:t>
      </w:r>
      <w:r w:rsidR="00511852" w:rsidRPr="00210346">
        <w:rPr>
          <w:rFonts w:asciiTheme="majorHAnsi" w:hAnsiTheme="majorHAnsi"/>
        </w:rPr>
        <w:t xml:space="preserve">. </w:t>
      </w:r>
      <w:r w:rsidR="000F4AE0" w:rsidRPr="00210346">
        <w:rPr>
          <w:rFonts w:asciiTheme="majorHAnsi" w:hAnsiTheme="majorHAnsi"/>
        </w:rPr>
        <w:t xml:space="preserve">Retrieved from </w:t>
      </w:r>
      <w:hyperlink r:id="rId1" w:history="1">
        <w:r w:rsidR="000F4AE0" w:rsidRPr="00210346">
          <w:rPr>
            <w:rStyle w:val="Hyperlink"/>
            <w:rFonts w:asciiTheme="majorHAnsi" w:hAnsiTheme="majorHAnsi"/>
          </w:rPr>
          <w:t>https://www.facilitiesnet.com/facilitiesmanagement/article/Legal-Significance-of-ANSIASHRAE-Standard-188-2015--16353</w:t>
        </w:r>
      </w:hyperlink>
      <w:r w:rsidR="000F4AE0" w:rsidRPr="00210346">
        <w:rPr>
          <w:rFonts w:asciiTheme="majorHAnsi" w:hAnsiTheme="majorHAnsi"/>
        </w:rPr>
        <w:t>. Accessed August 27, 2020.</w:t>
      </w:r>
    </w:p>
  </w:footnote>
  <w:footnote w:id="4">
    <w:p w14:paraId="5E90C9A0" w14:textId="7C024C97" w:rsidR="00271F24" w:rsidRPr="00210346" w:rsidRDefault="00271F24">
      <w:pPr>
        <w:pStyle w:val="FootnoteText"/>
        <w:rPr>
          <w:rFonts w:asciiTheme="majorHAnsi" w:hAnsiTheme="majorHAnsi"/>
        </w:rPr>
      </w:pPr>
      <w:r w:rsidRPr="00210346">
        <w:rPr>
          <w:rStyle w:val="FootnoteReference"/>
          <w:rFonts w:asciiTheme="majorHAnsi" w:hAnsiTheme="majorHAnsi"/>
        </w:rPr>
        <w:footnoteRef/>
      </w:r>
      <w:r w:rsidRPr="00210346">
        <w:rPr>
          <w:rFonts w:asciiTheme="majorHAnsi" w:hAnsiTheme="majorHAnsi"/>
        </w:rPr>
        <w:t xml:space="preserve"> </w:t>
      </w:r>
      <w:r w:rsidR="006C7C28" w:rsidRPr="00210346">
        <w:rPr>
          <w:rFonts w:asciiTheme="majorHAnsi" w:hAnsiTheme="majorHAnsi"/>
        </w:rPr>
        <w:t>Hopkins v. Booth, 16-CV-1020V(F) (W.D.N.Y. Nov. 20, 2017)</w:t>
      </w:r>
      <w:r w:rsidR="00FE2E50" w:rsidRPr="00210346">
        <w:rPr>
          <w:rFonts w:asciiTheme="majorHAnsi" w:hAnsiTheme="majorHAnsi"/>
        </w:rPr>
        <w:t>.</w:t>
      </w:r>
    </w:p>
  </w:footnote>
  <w:footnote w:id="5">
    <w:p w14:paraId="48D86255" w14:textId="7DBA3BC9" w:rsidR="00A95731" w:rsidRPr="00210346" w:rsidRDefault="00A95731">
      <w:pPr>
        <w:pStyle w:val="FootnoteText"/>
        <w:rPr>
          <w:rFonts w:asciiTheme="majorHAnsi" w:hAnsiTheme="majorHAnsi"/>
        </w:rPr>
      </w:pPr>
      <w:r w:rsidRPr="00210346">
        <w:rPr>
          <w:rStyle w:val="FootnoteReference"/>
          <w:rFonts w:asciiTheme="majorHAnsi" w:hAnsiTheme="majorHAnsi"/>
        </w:rPr>
        <w:footnoteRef/>
      </w:r>
      <w:r w:rsidRPr="00210346">
        <w:rPr>
          <w:rFonts w:asciiTheme="majorHAnsi" w:hAnsiTheme="majorHAnsi"/>
        </w:rPr>
        <w:t xml:space="preserve"> </w:t>
      </w:r>
      <w:r w:rsidRPr="00210346">
        <w:rPr>
          <w:rFonts w:asciiTheme="majorHAnsi" w:hAnsiTheme="majorHAnsi"/>
        </w:rPr>
        <w:t>Hopkins v. Booth, 16-CV-1020V(F) (W.D.N.Y. Nov. 20, 2017)</w:t>
      </w:r>
      <w:r w:rsidR="00AE1A88" w:rsidRPr="00210346">
        <w:rPr>
          <w:rFonts w:asciiTheme="majorHAnsi" w:hAnsiTheme="majorHAnsi"/>
        </w:rPr>
        <w:t>.</w:t>
      </w:r>
    </w:p>
  </w:footnote>
  <w:footnote w:id="6">
    <w:p w14:paraId="327D4641" w14:textId="1C992678" w:rsidR="004946FE" w:rsidRPr="00210346" w:rsidRDefault="004946FE">
      <w:pPr>
        <w:pStyle w:val="FootnoteText"/>
        <w:rPr>
          <w:rFonts w:asciiTheme="majorHAnsi" w:hAnsiTheme="majorHAnsi"/>
        </w:rPr>
      </w:pPr>
      <w:r w:rsidRPr="00210346">
        <w:rPr>
          <w:rStyle w:val="FootnoteReference"/>
          <w:rFonts w:asciiTheme="majorHAnsi" w:hAnsiTheme="majorHAnsi"/>
        </w:rPr>
        <w:footnoteRef/>
      </w:r>
      <w:r w:rsidR="008D65D4" w:rsidRPr="00210346">
        <w:rPr>
          <w:rFonts w:asciiTheme="majorHAnsi" w:hAnsiTheme="majorHAnsi"/>
        </w:rPr>
        <w:t xml:space="preserve"> </w:t>
      </w:r>
      <w:r w:rsidR="005647F0" w:rsidRPr="00210346">
        <w:rPr>
          <w:rFonts w:asciiTheme="majorHAnsi" w:hAnsiTheme="majorHAnsi"/>
          <w:i/>
          <w:iCs/>
        </w:rPr>
        <w:t xml:space="preserve">See </w:t>
      </w:r>
      <w:r w:rsidR="008D65D4" w:rsidRPr="00210346">
        <w:rPr>
          <w:rFonts w:asciiTheme="majorHAnsi" w:hAnsiTheme="majorHAnsi"/>
        </w:rPr>
        <w:t xml:space="preserve">ASHRAE. </w:t>
      </w:r>
      <w:r w:rsidR="00E54A77" w:rsidRPr="00210346">
        <w:rPr>
          <w:rFonts w:asciiTheme="majorHAnsi" w:hAnsiTheme="majorHAnsi"/>
        </w:rPr>
        <w:t>ASHRAE Publishes Updated Legionellosis Standard</w:t>
      </w:r>
      <w:r w:rsidR="00E54A77" w:rsidRPr="00210346">
        <w:rPr>
          <w:rFonts w:asciiTheme="majorHAnsi" w:hAnsiTheme="majorHAnsi"/>
        </w:rPr>
        <w:t xml:space="preserve">. August 13, 2018. </w:t>
      </w:r>
      <w:r w:rsidR="005647F0" w:rsidRPr="00210346">
        <w:rPr>
          <w:rFonts w:asciiTheme="majorHAnsi" w:hAnsiTheme="majorHAnsi"/>
        </w:rPr>
        <w:t xml:space="preserve">Retrieved from </w:t>
      </w:r>
      <w:hyperlink r:id="rId2" w:history="1">
        <w:r w:rsidR="005647F0" w:rsidRPr="00210346">
          <w:rPr>
            <w:rStyle w:val="Hyperlink"/>
            <w:rFonts w:asciiTheme="majorHAnsi" w:hAnsiTheme="majorHAnsi"/>
          </w:rPr>
          <w:t>https://www.ashrae.org/about/news/2018/ashrae-publishes-updated-legionellosis-standard</w:t>
        </w:r>
      </w:hyperlink>
      <w:r w:rsidR="005647F0" w:rsidRPr="00210346">
        <w:rPr>
          <w:rFonts w:asciiTheme="majorHAnsi" w:hAnsiTheme="majorHAnsi"/>
        </w:rPr>
        <w:t>. Accessed August 27, 2020.</w:t>
      </w:r>
      <w:r w:rsidR="00087FBE" w:rsidRPr="00210346">
        <w:rPr>
          <w:rFonts w:asciiTheme="majorHAnsi" w:hAnsiTheme="majorHAnsi"/>
        </w:rPr>
        <w:t xml:space="preserve"> </w:t>
      </w:r>
      <w:r w:rsidR="00087FBE" w:rsidRPr="00C32E19">
        <w:rPr>
          <w:rFonts w:asciiTheme="majorHAnsi" w:hAnsiTheme="majorHAnsi"/>
          <w:i/>
          <w:iCs/>
        </w:rPr>
        <w:t>See also</w:t>
      </w:r>
      <w:r w:rsidR="00087FBE" w:rsidRPr="00210346">
        <w:rPr>
          <w:rFonts w:asciiTheme="majorHAnsi" w:hAnsiTheme="majorHAnsi"/>
        </w:rPr>
        <w:t xml:space="preserve"> </w:t>
      </w:r>
      <w:r w:rsidR="00087FBE" w:rsidRPr="00210346">
        <w:rPr>
          <w:rFonts w:asciiTheme="majorHAnsi" w:hAnsiTheme="majorHAnsi"/>
        </w:rPr>
        <w:t xml:space="preserve">Stout, J.E. and Boehlert, G.R. Legal Significance of ANSI/ASHRAE Standard 188-2015. Retrieved from </w:t>
      </w:r>
      <w:hyperlink r:id="rId3" w:history="1">
        <w:r w:rsidR="00087FBE" w:rsidRPr="00210346">
          <w:rPr>
            <w:rStyle w:val="Hyperlink"/>
            <w:rFonts w:asciiTheme="majorHAnsi" w:hAnsiTheme="majorHAnsi"/>
          </w:rPr>
          <w:t>https://www.facilitiesnet.com/facilitiesmanagement/article/Legal-Significance-of-ANSIASHRAE-Standard-188-2015--16353</w:t>
        </w:r>
      </w:hyperlink>
      <w:r w:rsidR="00087FBE" w:rsidRPr="00210346">
        <w:rPr>
          <w:rFonts w:asciiTheme="majorHAnsi" w:hAnsiTheme="majorHAnsi"/>
        </w:rPr>
        <w:t>. Accessed August 27, 2020.</w:t>
      </w:r>
    </w:p>
  </w:footnote>
  <w:footnote w:id="7">
    <w:p w14:paraId="597718E5" w14:textId="01208E56" w:rsidR="00FE2C3D" w:rsidRPr="00210346" w:rsidRDefault="00FE2C3D">
      <w:pPr>
        <w:pStyle w:val="FootnoteText"/>
        <w:rPr>
          <w:rFonts w:asciiTheme="majorHAnsi" w:hAnsiTheme="majorHAnsi"/>
        </w:rPr>
      </w:pPr>
      <w:r w:rsidRPr="00210346">
        <w:rPr>
          <w:rStyle w:val="FootnoteReference"/>
          <w:rFonts w:asciiTheme="majorHAnsi" w:hAnsiTheme="majorHAnsi"/>
        </w:rPr>
        <w:footnoteRef/>
      </w:r>
      <w:r w:rsidRPr="00210346">
        <w:rPr>
          <w:rFonts w:asciiTheme="majorHAnsi" w:hAnsiTheme="majorHAnsi"/>
        </w:rPr>
        <w:t xml:space="preserve"> </w:t>
      </w:r>
      <w:r w:rsidRPr="00210346">
        <w:rPr>
          <w:rFonts w:asciiTheme="majorHAnsi" w:hAnsiTheme="majorHAnsi"/>
        </w:rPr>
        <w:t xml:space="preserve">Stout, J.E. and Boehlert, G.R. Legal Significance of ANSI/ASHRAE Standard 188-2015. Retrieved from </w:t>
      </w:r>
      <w:hyperlink r:id="rId4" w:history="1">
        <w:r w:rsidRPr="00210346">
          <w:rPr>
            <w:rStyle w:val="Hyperlink"/>
            <w:rFonts w:asciiTheme="majorHAnsi" w:hAnsiTheme="majorHAnsi"/>
          </w:rPr>
          <w:t>https://www.facilitiesnet.com/facilitiesmanagement/article/Legal-Significance-of-ANSIASHRAE-Standard-188-2015--16353</w:t>
        </w:r>
      </w:hyperlink>
      <w:r w:rsidRPr="00210346">
        <w:rPr>
          <w:rFonts w:asciiTheme="majorHAnsi" w:hAnsiTheme="majorHAnsi"/>
        </w:rPr>
        <w:t>. Accessed August 27,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33ECD" w14:textId="478C824B" w:rsidR="00CA07BE" w:rsidRDefault="00CA07BE" w:rsidP="00CA07BE">
    <w:pPr>
      <w:pStyle w:val="Header"/>
      <w:jc w:val="center"/>
    </w:pPr>
    <w:r>
      <w:rPr>
        <w:highlight w:val="yellow"/>
      </w:rPr>
      <w:t xml:space="preserve">DRAFT 1 – </w:t>
    </w:r>
    <w:r w:rsidRPr="00AF4E52">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476ED"/>
    <w:multiLevelType w:val="hybridMultilevel"/>
    <w:tmpl w:val="6F1AC5B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141B7F38"/>
    <w:multiLevelType w:val="hybridMultilevel"/>
    <w:tmpl w:val="BE1CB1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7E85677"/>
    <w:multiLevelType w:val="hybridMultilevel"/>
    <w:tmpl w:val="D57C7A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D378D9"/>
    <w:multiLevelType w:val="hybridMultilevel"/>
    <w:tmpl w:val="D94CEB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7824F9B"/>
    <w:multiLevelType w:val="hybridMultilevel"/>
    <w:tmpl w:val="51105C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8AA32E9"/>
    <w:multiLevelType w:val="hybridMultilevel"/>
    <w:tmpl w:val="B47210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F191FED"/>
    <w:multiLevelType w:val="hybridMultilevel"/>
    <w:tmpl w:val="A51A55E6"/>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27745AE"/>
    <w:multiLevelType w:val="hybridMultilevel"/>
    <w:tmpl w:val="D2129F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81F3306"/>
    <w:multiLevelType w:val="hybridMultilevel"/>
    <w:tmpl w:val="39189E1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FC063F7"/>
    <w:multiLevelType w:val="hybridMultilevel"/>
    <w:tmpl w:val="6AD4AA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7431D54"/>
    <w:multiLevelType w:val="hybridMultilevel"/>
    <w:tmpl w:val="87FEB8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AD17A01"/>
    <w:multiLevelType w:val="hybridMultilevel"/>
    <w:tmpl w:val="6B841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B92201"/>
    <w:multiLevelType w:val="hybridMultilevel"/>
    <w:tmpl w:val="709A2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867780"/>
    <w:multiLevelType w:val="hybridMultilevel"/>
    <w:tmpl w:val="AC1E6D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3652DC7"/>
    <w:multiLevelType w:val="hybridMultilevel"/>
    <w:tmpl w:val="B986EB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CAF1BD9"/>
    <w:multiLevelType w:val="hybridMultilevel"/>
    <w:tmpl w:val="14EA99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5"/>
  </w:num>
  <w:num w:numId="3">
    <w:abstractNumId w:val="8"/>
  </w:num>
  <w:num w:numId="4">
    <w:abstractNumId w:val="2"/>
  </w:num>
  <w:num w:numId="5">
    <w:abstractNumId w:val="13"/>
  </w:num>
  <w:num w:numId="6">
    <w:abstractNumId w:val="14"/>
  </w:num>
  <w:num w:numId="7">
    <w:abstractNumId w:val="5"/>
  </w:num>
  <w:num w:numId="8">
    <w:abstractNumId w:val="12"/>
  </w:num>
  <w:num w:numId="9">
    <w:abstractNumId w:val="11"/>
  </w:num>
  <w:num w:numId="10">
    <w:abstractNumId w:val="3"/>
  </w:num>
  <w:num w:numId="11">
    <w:abstractNumId w:val="4"/>
  </w:num>
  <w:num w:numId="12">
    <w:abstractNumId w:val="10"/>
  </w:num>
  <w:num w:numId="13">
    <w:abstractNumId w:val="1"/>
  </w:num>
  <w:num w:numId="14">
    <w:abstractNumId w:val="9"/>
  </w:num>
  <w:num w:numId="15">
    <w:abstractNumId w:val="6"/>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649"/>
    <w:rsid w:val="00001940"/>
    <w:rsid w:val="00010184"/>
    <w:rsid w:val="00082C5A"/>
    <w:rsid w:val="00087FBE"/>
    <w:rsid w:val="000A2787"/>
    <w:rsid w:val="000A4C00"/>
    <w:rsid w:val="000B180C"/>
    <w:rsid w:val="000B334F"/>
    <w:rsid w:val="000B4B84"/>
    <w:rsid w:val="000E4022"/>
    <w:rsid w:val="000E642A"/>
    <w:rsid w:val="000F4AE0"/>
    <w:rsid w:val="001006B0"/>
    <w:rsid w:val="001275A1"/>
    <w:rsid w:val="00151278"/>
    <w:rsid w:val="001561C5"/>
    <w:rsid w:val="00165436"/>
    <w:rsid w:val="001A1273"/>
    <w:rsid w:val="001C480A"/>
    <w:rsid w:val="0020359A"/>
    <w:rsid w:val="00204509"/>
    <w:rsid w:val="00210346"/>
    <w:rsid w:val="00212CAB"/>
    <w:rsid w:val="00260870"/>
    <w:rsid w:val="00270D80"/>
    <w:rsid w:val="00271F24"/>
    <w:rsid w:val="0029095F"/>
    <w:rsid w:val="00292641"/>
    <w:rsid w:val="002A05C2"/>
    <w:rsid w:val="002B665E"/>
    <w:rsid w:val="002C5933"/>
    <w:rsid w:val="002D1AE5"/>
    <w:rsid w:val="002F2744"/>
    <w:rsid w:val="002F5887"/>
    <w:rsid w:val="002F7A2F"/>
    <w:rsid w:val="00324BEA"/>
    <w:rsid w:val="003434A6"/>
    <w:rsid w:val="0039459D"/>
    <w:rsid w:val="00395631"/>
    <w:rsid w:val="003C4E18"/>
    <w:rsid w:val="003D454D"/>
    <w:rsid w:val="003F3599"/>
    <w:rsid w:val="00420562"/>
    <w:rsid w:val="00422B40"/>
    <w:rsid w:val="00441550"/>
    <w:rsid w:val="004428F9"/>
    <w:rsid w:val="00442BB1"/>
    <w:rsid w:val="00453977"/>
    <w:rsid w:val="004577C2"/>
    <w:rsid w:val="00470B33"/>
    <w:rsid w:val="00476446"/>
    <w:rsid w:val="004934C6"/>
    <w:rsid w:val="004946FE"/>
    <w:rsid w:val="004B789F"/>
    <w:rsid w:val="004D157D"/>
    <w:rsid w:val="004F3A97"/>
    <w:rsid w:val="00511852"/>
    <w:rsid w:val="00513C6A"/>
    <w:rsid w:val="00515067"/>
    <w:rsid w:val="0052317B"/>
    <w:rsid w:val="005251BC"/>
    <w:rsid w:val="005346C5"/>
    <w:rsid w:val="0053711B"/>
    <w:rsid w:val="005472A8"/>
    <w:rsid w:val="00553B23"/>
    <w:rsid w:val="005635EC"/>
    <w:rsid w:val="005647F0"/>
    <w:rsid w:val="00574B0A"/>
    <w:rsid w:val="005D1841"/>
    <w:rsid w:val="0061071D"/>
    <w:rsid w:val="00624A37"/>
    <w:rsid w:val="00634CA1"/>
    <w:rsid w:val="00653F4A"/>
    <w:rsid w:val="006749F5"/>
    <w:rsid w:val="0069022B"/>
    <w:rsid w:val="00692B59"/>
    <w:rsid w:val="006A038D"/>
    <w:rsid w:val="006A40AA"/>
    <w:rsid w:val="006C7C28"/>
    <w:rsid w:val="006D469F"/>
    <w:rsid w:val="006E2DE3"/>
    <w:rsid w:val="006E7649"/>
    <w:rsid w:val="006F6F80"/>
    <w:rsid w:val="006F7FE5"/>
    <w:rsid w:val="007125D4"/>
    <w:rsid w:val="0071742F"/>
    <w:rsid w:val="00726CCA"/>
    <w:rsid w:val="00766211"/>
    <w:rsid w:val="007769D9"/>
    <w:rsid w:val="00793908"/>
    <w:rsid w:val="00797CDF"/>
    <w:rsid w:val="007B0F6A"/>
    <w:rsid w:val="007B1BF0"/>
    <w:rsid w:val="007E026F"/>
    <w:rsid w:val="007E521B"/>
    <w:rsid w:val="0080556F"/>
    <w:rsid w:val="00820431"/>
    <w:rsid w:val="008237CC"/>
    <w:rsid w:val="0083020A"/>
    <w:rsid w:val="008346C7"/>
    <w:rsid w:val="0083765A"/>
    <w:rsid w:val="00843A0D"/>
    <w:rsid w:val="00847A77"/>
    <w:rsid w:val="00864AAC"/>
    <w:rsid w:val="008A0C17"/>
    <w:rsid w:val="008C19CB"/>
    <w:rsid w:val="008D65D4"/>
    <w:rsid w:val="008D7973"/>
    <w:rsid w:val="008E1ACF"/>
    <w:rsid w:val="008E7897"/>
    <w:rsid w:val="008F426B"/>
    <w:rsid w:val="0090716D"/>
    <w:rsid w:val="009308FE"/>
    <w:rsid w:val="00946CCB"/>
    <w:rsid w:val="00956422"/>
    <w:rsid w:val="00971947"/>
    <w:rsid w:val="00981BDD"/>
    <w:rsid w:val="009859F1"/>
    <w:rsid w:val="00996059"/>
    <w:rsid w:val="009A4F91"/>
    <w:rsid w:val="009B040A"/>
    <w:rsid w:val="009B307A"/>
    <w:rsid w:val="009B50D0"/>
    <w:rsid w:val="009B6503"/>
    <w:rsid w:val="009D16A3"/>
    <w:rsid w:val="009D521A"/>
    <w:rsid w:val="009E65FA"/>
    <w:rsid w:val="009F695D"/>
    <w:rsid w:val="00A12E3A"/>
    <w:rsid w:val="00A163E7"/>
    <w:rsid w:val="00A20A33"/>
    <w:rsid w:val="00A2531B"/>
    <w:rsid w:val="00A74338"/>
    <w:rsid w:val="00A801D2"/>
    <w:rsid w:val="00A85453"/>
    <w:rsid w:val="00A95731"/>
    <w:rsid w:val="00AB6911"/>
    <w:rsid w:val="00AE1A88"/>
    <w:rsid w:val="00AF3E00"/>
    <w:rsid w:val="00B144E8"/>
    <w:rsid w:val="00B51655"/>
    <w:rsid w:val="00B62F2C"/>
    <w:rsid w:val="00B655AD"/>
    <w:rsid w:val="00B75B7F"/>
    <w:rsid w:val="00B82592"/>
    <w:rsid w:val="00BE7AEC"/>
    <w:rsid w:val="00C007B4"/>
    <w:rsid w:val="00C32E19"/>
    <w:rsid w:val="00C403FB"/>
    <w:rsid w:val="00C43BB1"/>
    <w:rsid w:val="00C75BFC"/>
    <w:rsid w:val="00C960A5"/>
    <w:rsid w:val="00CA07BE"/>
    <w:rsid w:val="00CB5103"/>
    <w:rsid w:val="00CC7A2F"/>
    <w:rsid w:val="00CD7A61"/>
    <w:rsid w:val="00CE5D8C"/>
    <w:rsid w:val="00D005CD"/>
    <w:rsid w:val="00D14891"/>
    <w:rsid w:val="00D214BB"/>
    <w:rsid w:val="00D24DF1"/>
    <w:rsid w:val="00D33143"/>
    <w:rsid w:val="00D4531F"/>
    <w:rsid w:val="00D72645"/>
    <w:rsid w:val="00D766FB"/>
    <w:rsid w:val="00D81DE6"/>
    <w:rsid w:val="00DA4BF0"/>
    <w:rsid w:val="00DE1E9C"/>
    <w:rsid w:val="00DE3DFB"/>
    <w:rsid w:val="00DF07CB"/>
    <w:rsid w:val="00E06A49"/>
    <w:rsid w:val="00E1311D"/>
    <w:rsid w:val="00E226B8"/>
    <w:rsid w:val="00E40DC7"/>
    <w:rsid w:val="00E54A77"/>
    <w:rsid w:val="00E674F5"/>
    <w:rsid w:val="00E679F0"/>
    <w:rsid w:val="00E725BF"/>
    <w:rsid w:val="00E830A5"/>
    <w:rsid w:val="00E92D43"/>
    <w:rsid w:val="00EA2927"/>
    <w:rsid w:val="00EA77FD"/>
    <w:rsid w:val="00ED6208"/>
    <w:rsid w:val="00EE6915"/>
    <w:rsid w:val="00EF2EDB"/>
    <w:rsid w:val="00F36CDB"/>
    <w:rsid w:val="00F41C1F"/>
    <w:rsid w:val="00F50AB3"/>
    <w:rsid w:val="00F83F31"/>
    <w:rsid w:val="00F870AD"/>
    <w:rsid w:val="00FD4D2E"/>
    <w:rsid w:val="00FE2C3D"/>
    <w:rsid w:val="00FE2E50"/>
    <w:rsid w:val="00FE4E79"/>
    <w:rsid w:val="00FE63CD"/>
    <w:rsid w:val="00FF29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7CF25EAD"/>
  <w15:chartTrackingRefBased/>
  <w15:docId w15:val="{6E141344-0ADD-449B-BF13-9244B23C6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64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 w:type="paragraph" w:styleId="FootnoteText">
    <w:name w:val="footnote text"/>
    <w:basedOn w:val="Normal"/>
    <w:link w:val="FootnoteTextChar"/>
    <w:uiPriority w:val="99"/>
    <w:unhideWhenUsed/>
    <w:rsid w:val="006E7649"/>
    <w:rPr>
      <w:sz w:val="20"/>
      <w:szCs w:val="20"/>
    </w:rPr>
  </w:style>
  <w:style w:type="character" w:customStyle="1" w:styleId="FootnoteTextChar">
    <w:name w:val="Footnote Text Char"/>
    <w:basedOn w:val="DefaultParagraphFont"/>
    <w:link w:val="FootnoteText"/>
    <w:uiPriority w:val="99"/>
    <w:rsid w:val="006E7649"/>
    <w:rPr>
      <w:sz w:val="20"/>
      <w:szCs w:val="20"/>
    </w:rPr>
  </w:style>
  <w:style w:type="character" w:styleId="FootnoteReference">
    <w:name w:val="footnote reference"/>
    <w:basedOn w:val="DefaultParagraphFont"/>
    <w:uiPriority w:val="99"/>
    <w:semiHidden/>
    <w:unhideWhenUsed/>
    <w:rsid w:val="006E7649"/>
    <w:rPr>
      <w:vertAlign w:val="superscript"/>
    </w:rPr>
  </w:style>
  <w:style w:type="character" w:styleId="Hyperlink">
    <w:name w:val="Hyperlink"/>
    <w:basedOn w:val="DefaultParagraphFont"/>
    <w:uiPriority w:val="99"/>
    <w:unhideWhenUsed/>
    <w:rsid w:val="006E7649"/>
    <w:rPr>
      <w:color w:val="0000FF"/>
      <w:u w:val="single"/>
    </w:rPr>
  </w:style>
  <w:style w:type="paragraph" w:styleId="Header">
    <w:name w:val="header"/>
    <w:basedOn w:val="Normal"/>
    <w:link w:val="HeaderChar"/>
    <w:uiPriority w:val="99"/>
    <w:unhideWhenUsed/>
    <w:rsid w:val="00CA07BE"/>
    <w:pPr>
      <w:tabs>
        <w:tab w:val="center" w:pos="4680"/>
        <w:tab w:val="right" w:pos="9360"/>
      </w:tabs>
    </w:pPr>
  </w:style>
  <w:style w:type="character" w:customStyle="1" w:styleId="HeaderChar">
    <w:name w:val="Header Char"/>
    <w:basedOn w:val="DefaultParagraphFont"/>
    <w:link w:val="Header"/>
    <w:uiPriority w:val="99"/>
    <w:rsid w:val="00CA07BE"/>
  </w:style>
  <w:style w:type="paragraph" w:styleId="Footer">
    <w:name w:val="footer"/>
    <w:basedOn w:val="Normal"/>
    <w:link w:val="FooterChar"/>
    <w:uiPriority w:val="99"/>
    <w:unhideWhenUsed/>
    <w:rsid w:val="00CA07BE"/>
    <w:pPr>
      <w:tabs>
        <w:tab w:val="center" w:pos="4680"/>
        <w:tab w:val="right" w:pos="9360"/>
      </w:tabs>
    </w:pPr>
  </w:style>
  <w:style w:type="character" w:customStyle="1" w:styleId="FooterChar">
    <w:name w:val="Footer Char"/>
    <w:basedOn w:val="DefaultParagraphFont"/>
    <w:link w:val="Footer"/>
    <w:uiPriority w:val="99"/>
    <w:rsid w:val="00CA07BE"/>
  </w:style>
  <w:style w:type="paragraph" w:styleId="ListParagraph">
    <w:name w:val="List Paragraph"/>
    <w:basedOn w:val="Normal"/>
    <w:uiPriority w:val="34"/>
    <w:qFormat/>
    <w:rsid w:val="00797CDF"/>
    <w:pPr>
      <w:ind w:left="720"/>
      <w:contextualSpacing/>
    </w:pPr>
  </w:style>
  <w:style w:type="character" w:styleId="UnresolvedMention">
    <w:name w:val="Unresolved Mention"/>
    <w:basedOn w:val="DefaultParagraphFont"/>
    <w:uiPriority w:val="99"/>
    <w:semiHidden/>
    <w:unhideWhenUsed/>
    <w:rsid w:val="001561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61451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a.goldbergsegalla.com/uploads/tpb_ses%20dri%20standard%20of%20care.pdf"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shrae.org/about/news/2018/ashrae-publishes-updated-legionellosis-standard" TargetMode="External"/><Relationship Id="rId12" Type="http://schemas.openxmlformats.org/officeDocument/2006/relationships/hyperlink" Target="https://www.facilitiesnet.com/facilitiesmanagement/article/Legal-Significance-of-ANSIASHRAE-Standard-188-2015--1635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edia.goldbergsegalla.com/uploads/tpb_ses%20dri%20standard%20of%20care.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ashrae.org/about/news/2018/ashrae-publishes-updated-legionellosis-standard" TargetMode="External"/><Relationship Id="rId4" Type="http://schemas.openxmlformats.org/officeDocument/2006/relationships/webSettings" Target="webSettings.xml"/><Relationship Id="rId9" Type="http://schemas.openxmlformats.org/officeDocument/2006/relationships/hyperlink" Target="https://www.facilitiesnet.com/facilitiesmanagement/article/Legal-Significance-of-ANSIASHRAE-Standard-188-2015--16353"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facilitiesnet.com/facilitiesmanagement/article/Legal-Significance-of-ANSIASHRAE-Standard-188-2015--16353" TargetMode="External"/><Relationship Id="rId2" Type="http://schemas.openxmlformats.org/officeDocument/2006/relationships/hyperlink" Target="https://www.ashrae.org/about/news/2018/ashrae-publishes-updated-legionellosis-standard" TargetMode="External"/><Relationship Id="rId1" Type="http://schemas.openxmlformats.org/officeDocument/2006/relationships/hyperlink" Target="https://www.facilitiesnet.com/facilitiesmanagement/article/Legal-Significance-of-ANSIASHRAE-Standard-188-2015--16353" TargetMode="External"/><Relationship Id="rId4" Type="http://schemas.openxmlformats.org/officeDocument/2006/relationships/hyperlink" Target="https://www.facilitiesnet.com/facilitiesmanagement/article/Legal-Significance-of-ANSIASHRAE-Standard-188-2015--163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442</TotalTime>
  <Pages>6</Pages>
  <Words>1846</Words>
  <Characters>10527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196</cp:revision>
  <dcterms:created xsi:type="dcterms:W3CDTF">2020-08-26T23:34:00Z</dcterms:created>
  <dcterms:modified xsi:type="dcterms:W3CDTF">2020-08-27T19:25:00Z</dcterms:modified>
</cp:coreProperties>
</file>