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B78A77" w14:textId="4472922C" w:rsidR="00724A3D" w:rsidRPr="00724A3D" w:rsidRDefault="00724A3D" w:rsidP="00724A3D">
      <w:pPr>
        <w:spacing w:after="120"/>
        <w:jc w:val="center"/>
        <w:rPr>
          <w:rFonts w:ascii="Arial" w:hAnsi="Arial" w:cs="Arial"/>
          <w:b/>
          <w:bCs/>
          <w:sz w:val="24"/>
          <w:szCs w:val="24"/>
        </w:rPr>
      </w:pPr>
      <w:bookmarkStart w:id="0" w:name="Legal"/>
      <w:r w:rsidRPr="00724A3D">
        <w:rPr>
          <w:rFonts w:ascii="Arial" w:hAnsi="Arial" w:cs="Arial"/>
          <w:b/>
          <w:bCs/>
          <w:sz w:val="24"/>
          <w:szCs w:val="24"/>
        </w:rPr>
        <w:t xml:space="preserve">Chapter </w:t>
      </w:r>
      <w:r>
        <w:rPr>
          <w:rFonts w:ascii="Arial" w:hAnsi="Arial" w:cs="Arial"/>
          <w:b/>
          <w:bCs/>
          <w:sz w:val="24"/>
          <w:szCs w:val="24"/>
        </w:rPr>
        <w:t>2</w:t>
      </w:r>
    </w:p>
    <w:bookmarkEnd w:id="0"/>
    <w:p w14:paraId="646272FB" w14:textId="14F315B2" w:rsidR="00055DF4" w:rsidRPr="001A3AB0" w:rsidRDefault="009252AC" w:rsidP="001A3AB0">
      <w:pPr>
        <w:spacing w:line="360" w:lineRule="auto"/>
        <w:jc w:val="center"/>
        <w:rPr>
          <w:rFonts w:ascii="Arial" w:hAnsi="Arial" w:cs="Arial"/>
          <w:sz w:val="24"/>
          <w:szCs w:val="24"/>
        </w:rPr>
      </w:pPr>
      <w:r w:rsidRPr="009252AC">
        <w:rPr>
          <w:rFonts w:ascii="Arial" w:hAnsi="Arial" w:cs="Arial"/>
          <w:b/>
          <w:bCs/>
          <w:sz w:val="24"/>
          <w:szCs w:val="24"/>
        </w:rPr>
        <w:t>Legal Authorities for Legionnaires’ Disease Activities</w:t>
      </w:r>
    </w:p>
    <w:p w14:paraId="2FE1FFE5" w14:textId="695964D3" w:rsidR="00055DF4" w:rsidRPr="001A3AB0" w:rsidRDefault="00055DF4" w:rsidP="001A3AB0">
      <w:pPr>
        <w:tabs>
          <w:tab w:val="left" w:pos="8573"/>
        </w:tabs>
        <w:spacing w:line="360" w:lineRule="auto"/>
        <w:rPr>
          <w:rFonts w:ascii="Arial" w:hAnsi="Arial" w:cs="Arial"/>
          <w:sz w:val="24"/>
          <w:szCs w:val="24"/>
        </w:rPr>
      </w:pPr>
    </w:p>
    <w:p w14:paraId="0C22BF93" w14:textId="22B8060E" w:rsidR="00055DF4" w:rsidRDefault="00176DFD" w:rsidP="006217C7">
      <w:pPr>
        <w:spacing w:after="120" w:line="360" w:lineRule="auto"/>
        <w:rPr>
          <w:rFonts w:asciiTheme="majorHAnsi" w:hAnsiTheme="majorHAnsi" w:cstheme="majorHAnsi"/>
        </w:rPr>
      </w:pPr>
      <w:r w:rsidRPr="004A2552">
        <w:rPr>
          <w:rFonts w:asciiTheme="majorHAnsi" w:hAnsiTheme="majorHAnsi" w:cstheme="majorHAnsi"/>
          <w:noProof/>
        </w:rPr>
        <mc:AlternateContent>
          <mc:Choice Requires="wps">
            <w:drawing>
              <wp:anchor distT="45720" distB="45720" distL="114300" distR="114300" simplePos="0" relativeHeight="251661312" behindDoc="0" locked="0" layoutInCell="1" allowOverlap="1" wp14:anchorId="650E73D0" wp14:editId="79F8018B">
                <wp:simplePos x="0" y="0"/>
                <wp:positionH relativeFrom="margin">
                  <wp:posOffset>3400470</wp:posOffset>
                </wp:positionH>
                <wp:positionV relativeFrom="paragraph">
                  <wp:posOffset>1145400</wp:posOffset>
                </wp:positionV>
                <wp:extent cx="2322830" cy="1727835"/>
                <wp:effectExtent l="0" t="0" r="2032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1727835"/>
                        </a:xfrm>
                        <a:prstGeom prst="rect">
                          <a:avLst/>
                        </a:prstGeom>
                        <a:solidFill>
                          <a:srgbClr val="FFFFFF"/>
                        </a:solidFill>
                        <a:ln w="9525">
                          <a:solidFill>
                            <a:srgbClr val="000000"/>
                          </a:solidFill>
                          <a:miter lim="800000"/>
                          <a:headEnd/>
                          <a:tailEnd/>
                        </a:ln>
                      </wps:spPr>
                      <wps:txbx>
                        <w:txbxContent>
                          <w:p w14:paraId="28F90789" w14:textId="77777777" w:rsidR="00E07D19" w:rsidRPr="003C4E18" w:rsidRDefault="00E07D19" w:rsidP="00E07D19">
                            <w:pPr>
                              <w:rPr>
                                <w:rFonts w:ascii="Arial" w:hAnsi="Arial" w:cs="Arial"/>
                                <w:b/>
                                <w:bCs/>
                                <w:sz w:val="18"/>
                                <w:szCs w:val="18"/>
                              </w:rPr>
                            </w:pPr>
                            <w:r w:rsidRPr="005A3218">
                              <w:rPr>
                                <w:rFonts w:ascii="Arial" w:hAnsi="Arial" w:cs="Arial"/>
                                <w:b/>
                                <w:bCs/>
                                <w:sz w:val="18"/>
                                <w:szCs w:val="18"/>
                              </w:rPr>
                              <w:t>Please Note:</w:t>
                            </w:r>
                            <w:r w:rsidRPr="005A3218">
                              <w:rPr>
                                <w:rFonts w:ascii="Arial" w:hAnsi="Arial"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 if questions or uncertainties arise in a particular investigation. </w:t>
                            </w:r>
                            <w:r w:rsidRPr="005A3218">
                              <w:rPr>
                                <w:rFonts w:ascii="Arial" w:hAnsi="Arial" w:cs="Arial"/>
                                <w:b/>
                                <w:bCs/>
                                <w:i/>
                                <w:iCs/>
                                <w:sz w:val="18"/>
                                <w:szCs w:val="18"/>
                              </w:rPr>
                              <w:t>Information about laws and legal theories discussed in this section and the toolkit are for information only and are not legal advice.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0E73D0" id="_x0000_t202" coordsize="21600,21600" o:spt="202" path="m,l,21600r21600,l21600,xe">
                <v:stroke joinstyle="miter"/>
                <v:path gradientshapeok="t" o:connecttype="rect"/>
              </v:shapetype>
              <v:shape id="Text Box 2" o:spid="_x0000_s1026" type="#_x0000_t202" style="position:absolute;margin-left:267.75pt;margin-top:90.2pt;width:182.9pt;height:136.0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">
                <v:textbox>
                  <w:txbxContent>
                    <w:p w14:paraId="28F90789" w14:textId="77777777" w:rsidR="00E07D19" w:rsidRPr="003C4E18" w:rsidRDefault="00E07D19" w:rsidP="00E07D19">
                      <w:pPr>
                        <w:rPr>
                          <w:rFonts w:ascii="Arial" w:hAnsi="Arial" w:cs="Arial"/>
                          <w:b/>
                          <w:bCs/>
                          <w:sz w:val="18"/>
                          <w:szCs w:val="18"/>
                        </w:rPr>
                      </w:pPr>
                      <w:r w:rsidRPr="005A3218">
                        <w:rPr>
                          <w:rFonts w:ascii="Arial" w:hAnsi="Arial" w:cs="Arial"/>
                          <w:b/>
                          <w:bCs/>
                          <w:sz w:val="18"/>
                          <w:szCs w:val="18"/>
                        </w:rPr>
                        <w:t>Please Note:</w:t>
                      </w:r>
                      <w:r w:rsidRPr="005A3218">
                        <w:rPr>
                          <w:rFonts w:ascii="Arial" w:hAnsi="Arial"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 if questions or uncertainties arise in a particular investigation. </w:t>
                      </w:r>
                      <w:r w:rsidRPr="005A3218">
                        <w:rPr>
                          <w:rFonts w:ascii="Arial" w:hAnsi="Arial" w:cs="Arial"/>
                          <w:b/>
                          <w:bCs/>
                          <w:i/>
                          <w:iCs/>
                          <w:sz w:val="18"/>
                          <w:szCs w:val="18"/>
                        </w:rPr>
                        <w:t>Information about laws and legal theories discussed in this section and the toolkit are for information only and are not legal advice.</w:t>
                      </w:r>
                    </w:p>
                  </w:txbxContent>
                </v:textbox>
                <w10:wrap type="square" anchorx="margin"/>
              </v:shape>
            </w:pict>
          </mc:Fallback>
        </mc:AlternateContent>
      </w:r>
      <w:r w:rsidR="00055DF4" w:rsidRPr="00577CFC">
        <w:rPr>
          <w:rFonts w:asciiTheme="majorHAnsi" w:hAnsiTheme="majorHAnsi" w:cstheme="majorHAnsi"/>
        </w:rPr>
        <w:t xml:space="preserve">While </w:t>
      </w:r>
      <w:r w:rsidR="00055DF4">
        <w:rPr>
          <w:rFonts w:asciiTheme="majorHAnsi" w:hAnsiTheme="majorHAnsi" w:cstheme="majorHAnsi"/>
        </w:rPr>
        <w:t xml:space="preserve">this toolkit focuses on the variety of settings in which </w:t>
      </w:r>
      <w:r>
        <w:rPr>
          <w:rFonts w:asciiTheme="majorHAnsi" w:hAnsiTheme="majorHAnsi" w:cstheme="majorHAnsi"/>
        </w:rPr>
        <w:t>Legionnaires’ Disease (LD)</w:t>
      </w:r>
      <w:r w:rsidR="00055DF4">
        <w:rPr>
          <w:rFonts w:asciiTheme="majorHAnsi" w:hAnsiTheme="majorHAnsi" w:cstheme="majorHAnsi"/>
        </w:rPr>
        <w:t xml:space="preserve"> events occur, </w:t>
      </w:r>
      <w:r w:rsidR="00055DF4" w:rsidRPr="00577CFC">
        <w:rPr>
          <w:rFonts w:asciiTheme="majorHAnsi" w:hAnsiTheme="majorHAnsi" w:cstheme="majorHAnsi"/>
        </w:rPr>
        <w:t xml:space="preserve">there are </w:t>
      </w:r>
      <w:r w:rsidR="00162882">
        <w:rPr>
          <w:rFonts w:asciiTheme="majorHAnsi" w:hAnsiTheme="majorHAnsi" w:cstheme="majorHAnsi"/>
        </w:rPr>
        <w:t xml:space="preserve">foundational legal authorities </w:t>
      </w:r>
      <w:r w:rsidR="00C8422C">
        <w:rPr>
          <w:rFonts w:asciiTheme="majorHAnsi" w:hAnsiTheme="majorHAnsi" w:cstheme="majorHAnsi"/>
        </w:rPr>
        <w:t xml:space="preserve">that </w:t>
      </w:r>
      <w:r w:rsidR="00083A5F">
        <w:rPr>
          <w:rFonts w:asciiTheme="majorHAnsi" w:hAnsiTheme="majorHAnsi" w:cstheme="majorHAnsi"/>
        </w:rPr>
        <w:t>empower</w:t>
      </w:r>
      <w:r w:rsidR="00C8422C">
        <w:rPr>
          <w:rFonts w:asciiTheme="majorHAnsi" w:hAnsiTheme="majorHAnsi" w:cstheme="majorHAnsi"/>
        </w:rPr>
        <w:t xml:space="preserve"> public health </w:t>
      </w:r>
      <w:r w:rsidR="004164A0">
        <w:rPr>
          <w:rFonts w:asciiTheme="majorHAnsi" w:hAnsiTheme="majorHAnsi" w:cstheme="majorHAnsi"/>
        </w:rPr>
        <w:t xml:space="preserve">and other agencies </w:t>
      </w:r>
      <w:r w:rsidR="00C8422C">
        <w:rPr>
          <w:rFonts w:asciiTheme="majorHAnsi" w:hAnsiTheme="majorHAnsi" w:cstheme="majorHAnsi"/>
        </w:rPr>
        <w:t xml:space="preserve">to </w:t>
      </w:r>
      <w:r w:rsidR="00DF2451">
        <w:rPr>
          <w:rFonts w:asciiTheme="majorHAnsi" w:hAnsiTheme="majorHAnsi" w:cstheme="majorHAnsi"/>
        </w:rPr>
        <w:t>act</w:t>
      </w:r>
      <w:r w:rsidR="00552891">
        <w:rPr>
          <w:rFonts w:asciiTheme="majorHAnsi" w:hAnsiTheme="majorHAnsi" w:cstheme="majorHAnsi"/>
        </w:rPr>
        <w:t xml:space="preserve"> </w:t>
      </w:r>
      <w:r w:rsidR="00055DF4" w:rsidRPr="00577CFC">
        <w:rPr>
          <w:rFonts w:asciiTheme="majorHAnsi" w:hAnsiTheme="majorHAnsi" w:cstheme="majorHAnsi"/>
        </w:rPr>
        <w:t xml:space="preserve">across </w:t>
      </w:r>
      <w:r w:rsidR="00FE447C">
        <w:rPr>
          <w:rFonts w:asciiTheme="majorHAnsi" w:hAnsiTheme="majorHAnsi" w:cstheme="majorHAnsi"/>
        </w:rPr>
        <w:t>a</w:t>
      </w:r>
      <w:r w:rsidR="004164A0">
        <w:rPr>
          <w:rFonts w:asciiTheme="majorHAnsi" w:hAnsiTheme="majorHAnsi" w:cstheme="majorHAnsi"/>
        </w:rPr>
        <w:t xml:space="preserve"> </w:t>
      </w:r>
      <w:r w:rsidR="00FE447C">
        <w:rPr>
          <w:rFonts w:asciiTheme="majorHAnsi" w:hAnsiTheme="majorHAnsi" w:cstheme="majorHAnsi"/>
        </w:rPr>
        <w:t xml:space="preserve">range of </w:t>
      </w:r>
      <w:r w:rsidR="00055DF4" w:rsidRPr="00577CFC">
        <w:rPr>
          <w:rFonts w:asciiTheme="majorHAnsi" w:hAnsiTheme="majorHAnsi" w:cstheme="majorHAnsi"/>
        </w:rPr>
        <w:t xml:space="preserve">settings. </w:t>
      </w:r>
      <w:r w:rsidR="00FE447C">
        <w:rPr>
          <w:rFonts w:asciiTheme="majorHAnsi" w:hAnsiTheme="majorHAnsi" w:cstheme="majorHAnsi"/>
        </w:rPr>
        <w:t>These public health legal authorities are furthered by</w:t>
      </w:r>
      <w:r w:rsidR="0027499A">
        <w:rPr>
          <w:rFonts w:asciiTheme="majorHAnsi" w:hAnsiTheme="majorHAnsi" w:cstheme="majorHAnsi"/>
        </w:rPr>
        <w:t xml:space="preserve"> </w:t>
      </w:r>
      <w:r w:rsidR="00FE447C">
        <w:rPr>
          <w:rFonts w:asciiTheme="majorHAnsi" w:hAnsiTheme="majorHAnsi" w:cstheme="majorHAnsi"/>
        </w:rPr>
        <w:t xml:space="preserve">statutes and regulations </w:t>
      </w:r>
      <w:r w:rsidR="00325F8F">
        <w:rPr>
          <w:rFonts w:asciiTheme="majorHAnsi" w:hAnsiTheme="majorHAnsi" w:cstheme="majorHAnsi"/>
        </w:rPr>
        <w:t xml:space="preserve">governing the operations of </w:t>
      </w:r>
      <w:r w:rsidR="0027499A">
        <w:rPr>
          <w:rFonts w:asciiTheme="majorHAnsi" w:hAnsiTheme="majorHAnsi" w:cstheme="majorHAnsi"/>
        </w:rPr>
        <w:t>specific</w:t>
      </w:r>
      <w:r w:rsidR="00325F8F">
        <w:rPr>
          <w:rFonts w:asciiTheme="majorHAnsi" w:hAnsiTheme="majorHAnsi" w:cstheme="majorHAnsi"/>
        </w:rPr>
        <w:t xml:space="preserve"> </w:t>
      </w:r>
      <w:r w:rsidR="002D5224">
        <w:rPr>
          <w:rFonts w:asciiTheme="majorHAnsi" w:hAnsiTheme="majorHAnsi" w:cstheme="majorHAnsi"/>
        </w:rPr>
        <w:t>facility</w:t>
      </w:r>
      <w:r w:rsidR="00325F8F">
        <w:rPr>
          <w:rFonts w:asciiTheme="majorHAnsi" w:hAnsiTheme="majorHAnsi" w:cstheme="majorHAnsi"/>
        </w:rPr>
        <w:t xml:space="preserve"> types</w:t>
      </w:r>
      <w:r w:rsidR="002D5224">
        <w:rPr>
          <w:rFonts w:asciiTheme="majorHAnsi" w:hAnsiTheme="majorHAnsi" w:cstheme="majorHAnsi"/>
        </w:rPr>
        <w:t xml:space="preserve"> (e.g., hotels, hospitals) and systems (e.g., </w:t>
      </w:r>
      <w:r w:rsidR="008F24C2">
        <w:rPr>
          <w:rFonts w:asciiTheme="majorHAnsi" w:hAnsiTheme="majorHAnsi" w:cstheme="majorHAnsi"/>
        </w:rPr>
        <w:t>pools</w:t>
      </w:r>
      <w:r w:rsidR="002424DF">
        <w:rPr>
          <w:rFonts w:asciiTheme="majorHAnsi" w:hAnsiTheme="majorHAnsi" w:cstheme="majorHAnsi"/>
        </w:rPr>
        <w:t xml:space="preserve">). </w:t>
      </w:r>
      <w:r w:rsidR="00055DF4">
        <w:rPr>
          <w:rFonts w:asciiTheme="majorHAnsi" w:hAnsiTheme="majorHAnsi" w:cstheme="majorHAnsi"/>
        </w:rPr>
        <w:t xml:space="preserve">This </w:t>
      </w:r>
      <w:r w:rsidR="006217C7">
        <w:rPr>
          <w:rFonts w:asciiTheme="majorHAnsi" w:hAnsiTheme="majorHAnsi" w:cstheme="majorHAnsi"/>
        </w:rPr>
        <w:t xml:space="preserve">chapter </w:t>
      </w:r>
      <w:r w:rsidR="00C35B5D">
        <w:rPr>
          <w:rFonts w:asciiTheme="majorHAnsi" w:hAnsiTheme="majorHAnsi" w:cstheme="majorHAnsi"/>
        </w:rPr>
        <w:t xml:space="preserve">gives a brief </w:t>
      </w:r>
      <w:r w:rsidR="00321FCC">
        <w:rPr>
          <w:rFonts w:asciiTheme="majorHAnsi" w:hAnsiTheme="majorHAnsi" w:cstheme="majorHAnsi"/>
        </w:rPr>
        <w:t xml:space="preserve">overview of: </w:t>
      </w:r>
    </w:p>
    <w:p w14:paraId="2C1C138A" w14:textId="25CF9511" w:rsidR="00055DF4" w:rsidRPr="00C70011" w:rsidRDefault="00321FCC" w:rsidP="006217C7">
      <w:pPr>
        <w:pStyle w:val="ListParagraph"/>
        <w:numPr>
          <w:ilvl w:val="0"/>
          <w:numId w:val="2"/>
        </w:numPr>
        <w:spacing w:after="120" w:line="360" w:lineRule="auto"/>
        <w:contextualSpacing w:val="0"/>
        <w:rPr>
          <w:rFonts w:asciiTheme="majorHAnsi" w:hAnsiTheme="majorHAnsi" w:cstheme="majorHAnsi"/>
        </w:rPr>
      </w:pPr>
      <w:r>
        <w:rPr>
          <w:rFonts w:asciiTheme="majorHAnsi" w:hAnsiTheme="majorHAnsi" w:cstheme="majorHAnsi"/>
        </w:rPr>
        <w:t>The s</w:t>
      </w:r>
      <w:r w:rsidR="00055DF4" w:rsidRPr="00C70011">
        <w:rPr>
          <w:rFonts w:asciiTheme="majorHAnsi" w:hAnsiTheme="majorHAnsi" w:cstheme="majorHAnsi"/>
        </w:rPr>
        <w:t xml:space="preserve">ources of </w:t>
      </w:r>
      <w:r w:rsidR="00055DF4">
        <w:rPr>
          <w:rFonts w:asciiTheme="majorHAnsi" w:hAnsiTheme="majorHAnsi" w:cstheme="majorHAnsi"/>
        </w:rPr>
        <w:t xml:space="preserve">public health </w:t>
      </w:r>
      <w:r w:rsidR="00055DF4" w:rsidRPr="00C70011">
        <w:rPr>
          <w:rFonts w:asciiTheme="majorHAnsi" w:hAnsiTheme="majorHAnsi" w:cstheme="majorHAnsi"/>
        </w:rPr>
        <w:t>legal authority</w:t>
      </w:r>
      <w:r w:rsidR="002424DF">
        <w:rPr>
          <w:rFonts w:asciiTheme="majorHAnsi" w:hAnsiTheme="majorHAnsi" w:cstheme="majorHAnsi"/>
        </w:rPr>
        <w:t>.</w:t>
      </w:r>
    </w:p>
    <w:p w14:paraId="4C266442" w14:textId="0AFEFF78" w:rsidR="00055DF4" w:rsidRDefault="00055DF4" w:rsidP="006217C7">
      <w:pPr>
        <w:pStyle w:val="ListParagraph"/>
        <w:numPr>
          <w:ilvl w:val="0"/>
          <w:numId w:val="2"/>
        </w:numPr>
        <w:spacing w:after="120" w:line="360" w:lineRule="auto"/>
        <w:contextualSpacing w:val="0"/>
        <w:rPr>
          <w:rFonts w:asciiTheme="majorHAnsi" w:hAnsiTheme="majorHAnsi" w:cstheme="majorHAnsi"/>
        </w:rPr>
      </w:pPr>
      <w:r w:rsidRPr="00C70011">
        <w:rPr>
          <w:rFonts w:asciiTheme="majorHAnsi" w:hAnsiTheme="majorHAnsi" w:cstheme="majorHAnsi"/>
        </w:rPr>
        <w:t>T</w:t>
      </w:r>
      <w:r w:rsidR="00BD6BF8">
        <w:rPr>
          <w:rFonts w:asciiTheme="majorHAnsi" w:hAnsiTheme="majorHAnsi" w:cstheme="majorHAnsi"/>
        </w:rPr>
        <w:t>he t</w:t>
      </w:r>
      <w:r w:rsidRPr="00C70011">
        <w:rPr>
          <w:rFonts w:asciiTheme="majorHAnsi" w:hAnsiTheme="majorHAnsi" w:cstheme="majorHAnsi"/>
        </w:rPr>
        <w:t xml:space="preserve">ypes of authorities available to public health </w:t>
      </w:r>
      <w:r w:rsidR="00BD6BF8">
        <w:rPr>
          <w:rFonts w:asciiTheme="majorHAnsi" w:hAnsiTheme="majorHAnsi" w:cstheme="majorHAnsi"/>
        </w:rPr>
        <w:t xml:space="preserve">and other </w:t>
      </w:r>
      <w:r w:rsidR="002424DF">
        <w:rPr>
          <w:rFonts w:asciiTheme="majorHAnsi" w:hAnsiTheme="majorHAnsi" w:cstheme="majorHAnsi"/>
        </w:rPr>
        <w:t>agencies</w:t>
      </w:r>
      <w:r w:rsidR="00BD6BF8">
        <w:rPr>
          <w:rFonts w:asciiTheme="majorHAnsi" w:hAnsiTheme="majorHAnsi" w:cstheme="majorHAnsi"/>
        </w:rPr>
        <w:t xml:space="preserve"> to address LD.</w:t>
      </w:r>
    </w:p>
    <w:p w14:paraId="2F1C78E2" w14:textId="34C27DF5" w:rsidR="00055DF4" w:rsidRDefault="00055DF4" w:rsidP="00055DF4">
      <w:pPr>
        <w:spacing w:line="360" w:lineRule="auto"/>
        <w:rPr>
          <w:rFonts w:asciiTheme="majorHAnsi" w:hAnsiTheme="majorHAnsi" w:cstheme="majorHAnsi"/>
        </w:rPr>
      </w:pPr>
    </w:p>
    <w:p w14:paraId="72563590" w14:textId="77777777" w:rsidR="00055DF4" w:rsidRPr="002424DF" w:rsidRDefault="00055DF4" w:rsidP="002424DF">
      <w:pPr>
        <w:spacing w:after="120" w:line="360" w:lineRule="auto"/>
        <w:rPr>
          <w:rFonts w:ascii="Arial" w:hAnsi="Arial" w:cs="Arial"/>
          <w:b/>
          <w:bCs/>
        </w:rPr>
      </w:pPr>
      <w:r w:rsidRPr="002424DF">
        <w:rPr>
          <w:rFonts w:ascii="Arial" w:hAnsi="Arial" w:cs="Arial"/>
          <w:b/>
          <w:bCs/>
        </w:rPr>
        <w:t>Sources of Public Health Authority</w:t>
      </w:r>
    </w:p>
    <w:p w14:paraId="7051CFBE" w14:textId="12AD8D21" w:rsidR="00055DF4" w:rsidRDefault="00055DF4" w:rsidP="007066C5">
      <w:pPr>
        <w:spacing w:line="360" w:lineRule="auto"/>
        <w:rPr>
          <w:rFonts w:asciiTheme="majorHAnsi" w:hAnsiTheme="majorHAnsi" w:cstheme="majorHAnsi"/>
        </w:rPr>
      </w:pPr>
      <w:r>
        <w:rPr>
          <w:rFonts w:asciiTheme="majorHAnsi" w:hAnsiTheme="majorHAnsi" w:cstheme="majorHAnsi"/>
        </w:rPr>
        <w:t>The authority of state, tribal, local, and territorial (STLT) public health officials and departments is both established in and constrained by several types of legal sources, including constitutions, statutes, regulations, and judicial decisions. (See Box 1) The ultimate authority for state public health action arises from the Tenth Amendment to the U.S. Constitution which grants states the powers and rights not specifically delegated to the U.S. government in the Constitution. Known as the “state police power”, states (and localities through delegation) are empowered to make and enforce laws that promote the health, safety, and welfare of the public.</w:t>
      </w:r>
      <w:r>
        <w:rPr>
          <w:rStyle w:val="FootnoteReference"/>
          <w:rFonts w:asciiTheme="majorHAnsi" w:hAnsiTheme="majorHAnsi" w:cstheme="majorHAnsi"/>
        </w:rPr>
        <w:footnoteReference w:id="1"/>
      </w:r>
      <w:r>
        <w:rPr>
          <w:rFonts w:asciiTheme="majorHAnsi" w:hAnsiTheme="majorHAnsi" w:cstheme="majorHAnsi"/>
        </w:rPr>
        <w:t xml:space="preserve"> Tribal nations are sovereign entities and therefore have inherent rights of self-governance.</w:t>
      </w:r>
      <w:r>
        <w:rPr>
          <w:rStyle w:val="FootnoteReference"/>
          <w:rFonts w:asciiTheme="majorHAnsi" w:hAnsiTheme="majorHAnsi" w:cstheme="majorHAnsi"/>
        </w:rPr>
        <w:footnoteReference w:id="2"/>
      </w:r>
      <w:r>
        <w:rPr>
          <w:rFonts w:asciiTheme="majorHAnsi" w:hAnsiTheme="majorHAnsi" w:cstheme="majorHAnsi"/>
        </w:rPr>
        <w:t xml:space="preserve"> Territories are granted self-governance authorities by the U.S. Congress under the Constitution.</w:t>
      </w:r>
      <w:r>
        <w:rPr>
          <w:rStyle w:val="FootnoteReference"/>
          <w:rFonts w:asciiTheme="majorHAnsi" w:hAnsiTheme="majorHAnsi" w:cstheme="majorHAnsi"/>
        </w:rPr>
        <w:footnoteReference w:id="3"/>
      </w:r>
      <w:r>
        <w:rPr>
          <w:rFonts w:asciiTheme="majorHAnsi" w:hAnsiTheme="majorHAnsi" w:cstheme="majorHAnsi"/>
        </w:rPr>
        <w:t xml:space="preserve"> Thus, these collective legal authorities all </w:t>
      </w:r>
      <w:r>
        <w:rPr>
          <w:rFonts w:asciiTheme="majorHAnsi" w:hAnsiTheme="majorHAnsi" w:cstheme="majorHAnsi"/>
        </w:rPr>
        <w:lastRenderedPageBreak/>
        <w:t xml:space="preserve">support the primary mission </w:t>
      </w:r>
      <w:r w:rsidR="007066C5" w:rsidRPr="00C1203E">
        <w:rPr>
          <w:rFonts w:asciiTheme="majorHAnsi" w:hAnsiTheme="majorHAnsi" w:cstheme="majorHAnsi"/>
          <w:noProof/>
        </w:rPr>
        <mc:AlternateContent>
          <mc:Choice Requires="wps">
            <w:drawing>
              <wp:anchor distT="45720" distB="45720" distL="114300" distR="114300" simplePos="0" relativeHeight="251659264" behindDoc="0" locked="0" layoutInCell="1" allowOverlap="1" wp14:anchorId="39AEF5AC" wp14:editId="1E43840E">
                <wp:simplePos x="0" y="0"/>
                <wp:positionH relativeFrom="margin">
                  <wp:align>right</wp:align>
                </wp:positionH>
                <wp:positionV relativeFrom="paragraph">
                  <wp:posOffset>55245</wp:posOffset>
                </wp:positionV>
                <wp:extent cx="2669540" cy="3217545"/>
                <wp:effectExtent l="0" t="0" r="16510" b="2095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9540" cy="3217545"/>
                        </a:xfrm>
                        <a:prstGeom prst="rect">
                          <a:avLst/>
                        </a:prstGeom>
                        <a:solidFill>
                          <a:srgbClr val="FFFFFF"/>
                        </a:solidFill>
                        <a:ln w="9525">
                          <a:solidFill>
                            <a:srgbClr val="000000"/>
                          </a:solidFill>
                          <a:miter lim="800000"/>
                          <a:headEnd/>
                          <a:tailEnd/>
                        </a:ln>
                      </wps:spPr>
                      <wps:txbx>
                        <w:txbxContent>
                          <w:p w14:paraId="6A6B0DAE" w14:textId="77777777" w:rsidR="00055DF4" w:rsidRPr="007F478E" w:rsidRDefault="00055DF4" w:rsidP="00055DF4">
                            <w:pPr>
                              <w:spacing w:after="120"/>
                              <w:ind w:left="360" w:hanging="360"/>
                              <w:jc w:val="center"/>
                              <w:rPr>
                                <w:rFonts w:ascii="Arial Nova Light" w:hAnsi="Arial Nova Light"/>
                                <w:b/>
                                <w:bCs/>
                                <w:sz w:val="20"/>
                                <w:szCs w:val="20"/>
                              </w:rPr>
                            </w:pPr>
                            <w:r w:rsidRPr="007F478E">
                              <w:rPr>
                                <w:rFonts w:ascii="Arial Nova Light" w:hAnsi="Arial Nova Light"/>
                                <w:b/>
                                <w:bCs/>
                                <w:sz w:val="20"/>
                                <w:szCs w:val="20"/>
                              </w:rPr>
                              <w:t>BOX 1: Sources of Legal Authority</w:t>
                            </w:r>
                          </w:p>
                          <w:p w14:paraId="27F8C91E" w14:textId="77777777" w:rsidR="00055DF4" w:rsidRPr="00C1203E" w:rsidRDefault="00055DF4" w:rsidP="00055DF4">
                            <w:pPr>
                              <w:pStyle w:val="ListParagraph"/>
                              <w:numPr>
                                <w:ilvl w:val="0"/>
                                <w:numId w:val="1"/>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Constitutions</w:t>
                            </w:r>
                            <w:r w:rsidRPr="00C1203E">
                              <w:rPr>
                                <w:rFonts w:ascii="Arial Nova Light" w:hAnsi="Arial Nova Light" w:cstheme="majorHAnsi"/>
                                <w:sz w:val="18"/>
                                <w:szCs w:val="18"/>
                              </w:rPr>
                              <w:t xml:space="preserve"> – The U.S. Constitution, state and territorial constitutions, and tribal constitutions or similar foundational documents.</w:t>
                            </w:r>
                          </w:p>
                          <w:p w14:paraId="0E4855E0" w14:textId="77777777" w:rsidR="00055DF4" w:rsidRPr="00C1203E" w:rsidRDefault="00055DF4" w:rsidP="00055DF4">
                            <w:pPr>
                              <w:pStyle w:val="ListParagraph"/>
                              <w:numPr>
                                <w:ilvl w:val="0"/>
                                <w:numId w:val="1"/>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Statutes—</w:t>
                            </w:r>
                            <w:r w:rsidRPr="00C1203E">
                              <w:rPr>
                                <w:rFonts w:ascii="Arial Nova Light" w:hAnsi="Arial Nova Light" w:cstheme="majorHAnsi"/>
                                <w:sz w:val="18"/>
                                <w:szCs w:val="18"/>
                              </w:rPr>
                              <w:t>Laws passed by legislative bodies in states, territories, and Tribal nations.</w:t>
                            </w:r>
                          </w:p>
                          <w:p w14:paraId="08131AEA" w14:textId="77777777" w:rsidR="00055DF4" w:rsidRPr="00C1203E" w:rsidRDefault="00055DF4" w:rsidP="00055DF4">
                            <w:pPr>
                              <w:pStyle w:val="ListParagraph"/>
                              <w:numPr>
                                <w:ilvl w:val="0"/>
                                <w:numId w:val="1"/>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Regulations</w:t>
                            </w:r>
                            <w:r w:rsidRPr="00C1203E">
                              <w:rPr>
                                <w:rFonts w:ascii="Arial Nova Light" w:hAnsi="Arial Nova Light" w:cstheme="majorHAnsi"/>
                                <w:sz w:val="18"/>
                                <w:szCs w:val="18"/>
                              </w:rPr>
                              <w:t xml:space="preserve"> – Administrative rules adopted by states, territories, and Tribal nations to implement programs and actions authorized by statutes.</w:t>
                            </w:r>
                          </w:p>
                          <w:p w14:paraId="5FFC40BF" w14:textId="77777777" w:rsidR="00055DF4" w:rsidRPr="00C1203E" w:rsidRDefault="00055DF4" w:rsidP="00055DF4">
                            <w:pPr>
                              <w:pStyle w:val="ListParagraph"/>
                              <w:numPr>
                                <w:ilvl w:val="0"/>
                                <w:numId w:val="1"/>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Local Charters and Ordinances</w:t>
                            </w:r>
                            <w:r w:rsidRPr="00C1203E">
                              <w:rPr>
                                <w:rFonts w:ascii="Arial Nova Light" w:hAnsi="Arial Nova Light" w:cstheme="majorHAnsi"/>
                                <w:sz w:val="18"/>
                                <w:szCs w:val="18"/>
                              </w:rPr>
                              <w:t xml:space="preserve"> – Laws and rules adopted by local governments.</w:t>
                            </w:r>
                          </w:p>
                          <w:p w14:paraId="6B4CD300" w14:textId="079FEDAB" w:rsidR="00055DF4" w:rsidRDefault="00055DF4" w:rsidP="00055DF4">
                            <w:pPr>
                              <w:pStyle w:val="ListParagraph"/>
                              <w:numPr>
                                <w:ilvl w:val="0"/>
                                <w:numId w:val="1"/>
                              </w:numPr>
                              <w:ind w:left="360"/>
                              <w:rPr>
                                <w:rFonts w:ascii="Arial Nova Light" w:hAnsi="Arial Nova Light" w:cstheme="majorHAnsi"/>
                                <w:sz w:val="18"/>
                                <w:szCs w:val="18"/>
                              </w:rPr>
                            </w:pPr>
                            <w:r w:rsidRPr="00C1203E">
                              <w:rPr>
                                <w:rFonts w:ascii="Arial Nova Light" w:hAnsi="Arial Nova Light" w:cstheme="majorHAnsi"/>
                                <w:b/>
                                <w:bCs/>
                                <w:sz w:val="18"/>
                                <w:szCs w:val="18"/>
                              </w:rPr>
                              <w:t>Judicial Decisions</w:t>
                            </w:r>
                            <w:r w:rsidRPr="00C1203E">
                              <w:rPr>
                                <w:rFonts w:ascii="Arial Nova Light" w:hAnsi="Arial Nova Light" w:cstheme="majorHAnsi"/>
                                <w:sz w:val="18"/>
                                <w:szCs w:val="18"/>
                              </w:rPr>
                              <w:t xml:space="preserve"> – Interpretations of federal, state, and local laws and </w:t>
                            </w:r>
                            <w:r w:rsidRPr="00C20895">
                              <w:rPr>
                                <w:rFonts w:ascii="Arial Nova Light" w:hAnsi="Arial Nova Light" w:cstheme="majorHAnsi"/>
                                <w:sz w:val="18"/>
                                <w:szCs w:val="18"/>
                              </w:rPr>
                              <w:t xml:space="preserve">rules </w:t>
                            </w:r>
                            <w:r w:rsidR="00AB31A4">
                              <w:rPr>
                                <w:rFonts w:ascii="Arial Nova Light" w:hAnsi="Arial Nova Light" w:cstheme="majorHAnsi"/>
                                <w:sz w:val="18"/>
                                <w:szCs w:val="18"/>
                              </w:rPr>
                              <w:t>by the courts.</w:t>
                            </w:r>
                          </w:p>
                          <w:p w14:paraId="7D478B40" w14:textId="77777777" w:rsidR="00055DF4" w:rsidRPr="00C1203E" w:rsidRDefault="00055DF4" w:rsidP="00055DF4">
                            <w:pPr>
                              <w:pStyle w:val="ListParagraph"/>
                              <w:ind w:left="360"/>
                              <w:rPr>
                                <w:rFonts w:ascii="Arial Nova Light" w:hAnsi="Arial Nova Light" w:cstheme="majorHAnsi"/>
                                <w:sz w:val="18"/>
                                <w:szCs w:val="18"/>
                              </w:rPr>
                            </w:pPr>
                          </w:p>
                          <w:p w14:paraId="3CB617F4" w14:textId="67B97E32" w:rsidR="00055DF4" w:rsidRPr="00C1203E" w:rsidRDefault="00055DF4" w:rsidP="00055DF4">
                            <w:pPr>
                              <w:pStyle w:val="ListParagraph"/>
                              <w:numPr>
                                <w:ilvl w:val="0"/>
                                <w:numId w:val="1"/>
                              </w:numPr>
                              <w:ind w:left="360"/>
                              <w:rPr>
                                <w:rFonts w:ascii="Arial Nova Light" w:hAnsi="Arial Nova Light" w:cstheme="majorHAnsi"/>
                                <w:sz w:val="18"/>
                                <w:szCs w:val="18"/>
                              </w:rPr>
                            </w:pPr>
                            <w:r w:rsidRPr="00C1203E">
                              <w:rPr>
                                <w:rFonts w:ascii="Arial Nova Light" w:hAnsi="Arial Nova Light" w:cstheme="majorHAnsi"/>
                                <w:b/>
                                <w:bCs/>
                                <w:sz w:val="18"/>
                                <w:szCs w:val="18"/>
                              </w:rPr>
                              <w:t>Executive Order</w:t>
                            </w:r>
                            <w:r w:rsidRPr="00AB31A4">
                              <w:rPr>
                                <w:rFonts w:ascii="Arial Nova Light" w:hAnsi="Arial Nova Light" w:cstheme="majorHAnsi"/>
                                <w:b/>
                                <w:bCs/>
                                <w:sz w:val="18"/>
                                <w:szCs w:val="18"/>
                              </w:rPr>
                              <w:t>s—</w:t>
                            </w:r>
                            <w:r w:rsidR="00780337">
                              <w:rPr>
                                <w:rFonts w:ascii="Arial Nova Light" w:hAnsi="Arial Nova Light" w:cstheme="majorHAnsi"/>
                                <w:b/>
                                <w:bCs/>
                                <w:sz w:val="18"/>
                                <w:szCs w:val="18"/>
                              </w:rPr>
                              <w:t>Orders</w:t>
                            </w:r>
                            <w:r w:rsidR="00A254C7" w:rsidRPr="00A254C7">
                              <w:rPr>
                                <w:rFonts w:ascii="Arial Nova Light" w:hAnsi="Arial Nova Light" w:cstheme="majorHAnsi"/>
                                <w:b/>
                                <w:bCs/>
                                <w:sz w:val="18"/>
                                <w:szCs w:val="18"/>
                              </w:rPr>
                              <w:t xml:space="preserve"> issued by </w:t>
                            </w:r>
                            <w:r w:rsidR="00780337">
                              <w:rPr>
                                <w:rFonts w:ascii="Arial Nova Light" w:hAnsi="Arial Nova Light" w:cstheme="majorHAnsi"/>
                                <w:b/>
                                <w:bCs/>
                                <w:sz w:val="18"/>
                                <w:szCs w:val="18"/>
                              </w:rPr>
                              <w:t>chief executive of a government (e.g., P</w:t>
                            </w:r>
                            <w:r w:rsidR="00A254C7" w:rsidRPr="00A254C7">
                              <w:rPr>
                                <w:rFonts w:ascii="Arial Nova Light" w:hAnsi="Arial Nova Light" w:cstheme="majorHAnsi"/>
                                <w:b/>
                                <w:bCs/>
                                <w:sz w:val="18"/>
                                <w:szCs w:val="18"/>
                              </w:rPr>
                              <w:t>resident</w:t>
                            </w:r>
                            <w:r w:rsidR="00780337">
                              <w:rPr>
                                <w:rFonts w:ascii="Arial Nova Light" w:hAnsi="Arial Nova Light" w:cstheme="majorHAnsi"/>
                                <w:b/>
                                <w:bCs/>
                                <w:sz w:val="18"/>
                                <w:szCs w:val="18"/>
                              </w:rPr>
                              <w:t xml:space="preserve">, governor) </w:t>
                            </w:r>
                            <w:r w:rsidR="00CE5261">
                              <w:rPr>
                                <w:rFonts w:ascii="Arial Nova Light" w:hAnsi="Arial Nova Light" w:cstheme="majorHAnsi"/>
                                <w:b/>
                                <w:bCs/>
                                <w:sz w:val="18"/>
                                <w:szCs w:val="18"/>
                              </w:rPr>
                              <w:t xml:space="preserve">that </w:t>
                            </w:r>
                            <w:r w:rsidR="00A254C7" w:rsidRPr="00A254C7">
                              <w:rPr>
                                <w:rFonts w:ascii="Arial Nova Light" w:hAnsi="Arial Nova Light" w:cstheme="majorHAnsi"/>
                                <w:b/>
                                <w:bCs/>
                                <w:sz w:val="18"/>
                                <w:szCs w:val="18"/>
                              </w:rPr>
                              <w:t>hav</w:t>
                            </w:r>
                            <w:r w:rsidR="00CE5261">
                              <w:rPr>
                                <w:rFonts w:ascii="Arial Nova Light" w:hAnsi="Arial Nova Light" w:cstheme="majorHAnsi"/>
                                <w:b/>
                                <w:bCs/>
                                <w:sz w:val="18"/>
                                <w:szCs w:val="18"/>
                              </w:rPr>
                              <w:t xml:space="preserve">e </w:t>
                            </w:r>
                            <w:r w:rsidR="00A254C7" w:rsidRPr="00A254C7">
                              <w:rPr>
                                <w:rFonts w:ascii="Arial Nova Light" w:hAnsi="Arial Nova Light" w:cstheme="majorHAnsi"/>
                                <w:b/>
                                <w:bCs/>
                                <w:sz w:val="18"/>
                                <w:szCs w:val="18"/>
                              </w:rPr>
                              <w:t>the force of law.</w:t>
                            </w:r>
                          </w:p>
                          <w:p w14:paraId="30C1AF4D" w14:textId="77777777" w:rsidR="00055DF4" w:rsidRPr="00C1203E" w:rsidRDefault="00055DF4" w:rsidP="00055DF4">
                            <w:pPr>
                              <w:rPr>
                                <w:rFonts w:ascii="Arial Nova Light" w:hAnsi="Arial Nova Light"/>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EF5AC" id="_x0000_s1027" type="#_x0000_t202" style="position:absolute;margin-left:159pt;margin-top:4.35pt;width:210.2pt;height:253.3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">
                <v:textbox>
                  <w:txbxContent>
                    <w:p w14:paraId="6A6B0DAE" w14:textId="77777777" w:rsidR="00055DF4" w:rsidRPr="007F478E" w:rsidRDefault="00055DF4" w:rsidP="00055DF4">
                      <w:pPr>
                        <w:spacing w:after="120"/>
                        <w:ind w:left="360" w:hanging="360"/>
                        <w:jc w:val="center"/>
                        <w:rPr>
                          <w:rFonts w:ascii="Arial Nova Light" w:hAnsi="Arial Nova Light"/>
                          <w:b/>
                          <w:bCs/>
                          <w:sz w:val="20"/>
                          <w:szCs w:val="20"/>
                        </w:rPr>
                      </w:pPr>
                      <w:r w:rsidRPr="007F478E">
                        <w:rPr>
                          <w:rFonts w:ascii="Arial Nova Light" w:hAnsi="Arial Nova Light"/>
                          <w:b/>
                          <w:bCs/>
                          <w:sz w:val="20"/>
                          <w:szCs w:val="20"/>
                        </w:rPr>
                        <w:t>BOX 1: Sources of Legal Authority</w:t>
                      </w:r>
                    </w:p>
                    <w:p w14:paraId="27F8C91E" w14:textId="77777777" w:rsidR="00055DF4" w:rsidRPr="00C1203E" w:rsidRDefault="00055DF4" w:rsidP="00055DF4">
                      <w:pPr>
                        <w:pStyle w:val="ListParagraph"/>
                        <w:numPr>
                          <w:ilvl w:val="0"/>
                          <w:numId w:val="1"/>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Constitutions</w:t>
                      </w:r>
                      <w:r w:rsidRPr="00C1203E">
                        <w:rPr>
                          <w:rFonts w:ascii="Arial Nova Light" w:hAnsi="Arial Nova Light" w:cstheme="majorHAnsi"/>
                          <w:sz w:val="18"/>
                          <w:szCs w:val="18"/>
                        </w:rPr>
                        <w:t xml:space="preserve"> – The U.S. Constitution, state and territorial constitutions, and tribal constitutions or similar foundational documents.</w:t>
                      </w:r>
                    </w:p>
                    <w:p w14:paraId="0E4855E0" w14:textId="77777777" w:rsidR="00055DF4" w:rsidRPr="00C1203E" w:rsidRDefault="00055DF4" w:rsidP="00055DF4">
                      <w:pPr>
                        <w:pStyle w:val="ListParagraph"/>
                        <w:numPr>
                          <w:ilvl w:val="0"/>
                          <w:numId w:val="1"/>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Statutes—</w:t>
                      </w:r>
                      <w:r w:rsidRPr="00C1203E">
                        <w:rPr>
                          <w:rFonts w:ascii="Arial Nova Light" w:hAnsi="Arial Nova Light" w:cstheme="majorHAnsi"/>
                          <w:sz w:val="18"/>
                          <w:szCs w:val="18"/>
                        </w:rPr>
                        <w:t>Laws passed by legislative bodies in states, territories, and Tribal nations.</w:t>
                      </w:r>
                    </w:p>
                    <w:p w14:paraId="08131AEA" w14:textId="77777777" w:rsidR="00055DF4" w:rsidRPr="00C1203E" w:rsidRDefault="00055DF4" w:rsidP="00055DF4">
                      <w:pPr>
                        <w:pStyle w:val="ListParagraph"/>
                        <w:numPr>
                          <w:ilvl w:val="0"/>
                          <w:numId w:val="1"/>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Regulations</w:t>
                      </w:r>
                      <w:r w:rsidRPr="00C1203E">
                        <w:rPr>
                          <w:rFonts w:ascii="Arial Nova Light" w:hAnsi="Arial Nova Light" w:cstheme="majorHAnsi"/>
                          <w:sz w:val="18"/>
                          <w:szCs w:val="18"/>
                        </w:rPr>
                        <w:t xml:space="preserve"> – Administrative rules adopted by states, territories, and Tribal nations to implement programs and actions authorized by statutes.</w:t>
                      </w:r>
                    </w:p>
                    <w:p w14:paraId="5FFC40BF" w14:textId="77777777" w:rsidR="00055DF4" w:rsidRPr="00C1203E" w:rsidRDefault="00055DF4" w:rsidP="00055DF4">
                      <w:pPr>
                        <w:pStyle w:val="ListParagraph"/>
                        <w:numPr>
                          <w:ilvl w:val="0"/>
                          <w:numId w:val="1"/>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Local Charters and Ordinances</w:t>
                      </w:r>
                      <w:r w:rsidRPr="00C1203E">
                        <w:rPr>
                          <w:rFonts w:ascii="Arial Nova Light" w:hAnsi="Arial Nova Light" w:cstheme="majorHAnsi"/>
                          <w:sz w:val="18"/>
                          <w:szCs w:val="18"/>
                        </w:rPr>
                        <w:t xml:space="preserve"> – Laws and rules adopted by local governments.</w:t>
                      </w:r>
                    </w:p>
                    <w:p w14:paraId="6B4CD300" w14:textId="079FEDAB" w:rsidR="00055DF4" w:rsidRDefault="00055DF4" w:rsidP="00055DF4">
                      <w:pPr>
                        <w:pStyle w:val="ListParagraph"/>
                        <w:numPr>
                          <w:ilvl w:val="0"/>
                          <w:numId w:val="1"/>
                        </w:numPr>
                        <w:ind w:left="360"/>
                        <w:rPr>
                          <w:rFonts w:ascii="Arial Nova Light" w:hAnsi="Arial Nova Light" w:cstheme="majorHAnsi"/>
                          <w:sz w:val="18"/>
                          <w:szCs w:val="18"/>
                        </w:rPr>
                      </w:pPr>
                      <w:r w:rsidRPr="00C1203E">
                        <w:rPr>
                          <w:rFonts w:ascii="Arial Nova Light" w:hAnsi="Arial Nova Light" w:cstheme="majorHAnsi"/>
                          <w:b/>
                          <w:bCs/>
                          <w:sz w:val="18"/>
                          <w:szCs w:val="18"/>
                        </w:rPr>
                        <w:t>Judicial Decisions</w:t>
                      </w:r>
                      <w:r w:rsidRPr="00C1203E">
                        <w:rPr>
                          <w:rFonts w:ascii="Arial Nova Light" w:hAnsi="Arial Nova Light" w:cstheme="majorHAnsi"/>
                          <w:sz w:val="18"/>
                          <w:szCs w:val="18"/>
                        </w:rPr>
                        <w:t xml:space="preserve"> – Interpretations of federal, state, and local laws and </w:t>
                      </w:r>
                      <w:r w:rsidRPr="00C20895">
                        <w:rPr>
                          <w:rFonts w:ascii="Arial Nova Light" w:hAnsi="Arial Nova Light" w:cstheme="majorHAnsi"/>
                          <w:sz w:val="18"/>
                          <w:szCs w:val="18"/>
                        </w:rPr>
                        <w:t xml:space="preserve">rules </w:t>
                      </w:r>
                      <w:r w:rsidR="00AB31A4">
                        <w:rPr>
                          <w:rFonts w:ascii="Arial Nova Light" w:hAnsi="Arial Nova Light" w:cstheme="majorHAnsi"/>
                          <w:sz w:val="18"/>
                          <w:szCs w:val="18"/>
                        </w:rPr>
                        <w:t>by the courts.</w:t>
                      </w:r>
                    </w:p>
                    <w:p w14:paraId="7D478B40" w14:textId="77777777" w:rsidR="00055DF4" w:rsidRPr="00C1203E" w:rsidRDefault="00055DF4" w:rsidP="00055DF4">
                      <w:pPr>
                        <w:pStyle w:val="ListParagraph"/>
                        <w:ind w:left="360"/>
                        <w:rPr>
                          <w:rFonts w:ascii="Arial Nova Light" w:hAnsi="Arial Nova Light" w:cstheme="majorHAnsi"/>
                          <w:sz w:val="18"/>
                          <w:szCs w:val="18"/>
                        </w:rPr>
                      </w:pPr>
                    </w:p>
                    <w:p w14:paraId="3CB617F4" w14:textId="67B97E32" w:rsidR="00055DF4" w:rsidRPr="00C1203E" w:rsidRDefault="00055DF4" w:rsidP="00055DF4">
                      <w:pPr>
                        <w:pStyle w:val="ListParagraph"/>
                        <w:numPr>
                          <w:ilvl w:val="0"/>
                          <w:numId w:val="1"/>
                        </w:numPr>
                        <w:ind w:left="360"/>
                        <w:rPr>
                          <w:rFonts w:ascii="Arial Nova Light" w:hAnsi="Arial Nova Light" w:cstheme="majorHAnsi"/>
                          <w:sz w:val="18"/>
                          <w:szCs w:val="18"/>
                        </w:rPr>
                      </w:pPr>
                      <w:r w:rsidRPr="00C1203E">
                        <w:rPr>
                          <w:rFonts w:ascii="Arial Nova Light" w:hAnsi="Arial Nova Light" w:cstheme="majorHAnsi"/>
                          <w:b/>
                          <w:bCs/>
                          <w:sz w:val="18"/>
                          <w:szCs w:val="18"/>
                        </w:rPr>
                        <w:t>Executive Order</w:t>
                      </w:r>
                      <w:r w:rsidRPr="00AB31A4">
                        <w:rPr>
                          <w:rFonts w:ascii="Arial Nova Light" w:hAnsi="Arial Nova Light" w:cstheme="majorHAnsi"/>
                          <w:b/>
                          <w:bCs/>
                          <w:sz w:val="18"/>
                          <w:szCs w:val="18"/>
                        </w:rPr>
                        <w:t>s—</w:t>
                      </w:r>
                      <w:r w:rsidR="00780337">
                        <w:rPr>
                          <w:rFonts w:ascii="Arial Nova Light" w:hAnsi="Arial Nova Light" w:cstheme="majorHAnsi"/>
                          <w:b/>
                          <w:bCs/>
                          <w:sz w:val="18"/>
                          <w:szCs w:val="18"/>
                        </w:rPr>
                        <w:t>Orders</w:t>
                      </w:r>
                      <w:r w:rsidR="00A254C7" w:rsidRPr="00A254C7">
                        <w:rPr>
                          <w:rFonts w:ascii="Arial Nova Light" w:hAnsi="Arial Nova Light" w:cstheme="majorHAnsi"/>
                          <w:b/>
                          <w:bCs/>
                          <w:sz w:val="18"/>
                          <w:szCs w:val="18"/>
                        </w:rPr>
                        <w:t xml:space="preserve"> issued by </w:t>
                      </w:r>
                      <w:r w:rsidR="00780337">
                        <w:rPr>
                          <w:rFonts w:ascii="Arial Nova Light" w:hAnsi="Arial Nova Light" w:cstheme="majorHAnsi"/>
                          <w:b/>
                          <w:bCs/>
                          <w:sz w:val="18"/>
                          <w:szCs w:val="18"/>
                        </w:rPr>
                        <w:t>chief executive of a government (e.g., P</w:t>
                      </w:r>
                      <w:r w:rsidR="00A254C7" w:rsidRPr="00A254C7">
                        <w:rPr>
                          <w:rFonts w:ascii="Arial Nova Light" w:hAnsi="Arial Nova Light" w:cstheme="majorHAnsi"/>
                          <w:b/>
                          <w:bCs/>
                          <w:sz w:val="18"/>
                          <w:szCs w:val="18"/>
                        </w:rPr>
                        <w:t>resident</w:t>
                      </w:r>
                      <w:r w:rsidR="00780337">
                        <w:rPr>
                          <w:rFonts w:ascii="Arial Nova Light" w:hAnsi="Arial Nova Light" w:cstheme="majorHAnsi"/>
                          <w:b/>
                          <w:bCs/>
                          <w:sz w:val="18"/>
                          <w:szCs w:val="18"/>
                        </w:rPr>
                        <w:t xml:space="preserve">, governor) </w:t>
                      </w:r>
                      <w:r w:rsidR="00CE5261">
                        <w:rPr>
                          <w:rFonts w:ascii="Arial Nova Light" w:hAnsi="Arial Nova Light" w:cstheme="majorHAnsi"/>
                          <w:b/>
                          <w:bCs/>
                          <w:sz w:val="18"/>
                          <w:szCs w:val="18"/>
                        </w:rPr>
                        <w:t xml:space="preserve">that </w:t>
                      </w:r>
                      <w:r w:rsidR="00A254C7" w:rsidRPr="00A254C7">
                        <w:rPr>
                          <w:rFonts w:ascii="Arial Nova Light" w:hAnsi="Arial Nova Light" w:cstheme="majorHAnsi"/>
                          <w:b/>
                          <w:bCs/>
                          <w:sz w:val="18"/>
                          <w:szCs w:val="18"/>
                        </w:rPr>
                        <w:t>hav</w:t>
                      </w:r>
                      <w:r w:rsidR="00CE5261">
                        <w:rPr>
                          <w:rFonts w:ascii="Arial Nova Light" w:hAnsi="Arial Nova Light" w:cstheme="majorHAnsi"/>
                          <w:b/>
                          <w:bCs/>
                          <w:sz w:val="18"/>
                          <w:szCs w:val="18"/>
                        </w:rPr>
                        <w:t xml:space="preserve">e </w:t>
                      </w:r>
                      <w:r w:rsidR="00A254C7" w:rsidRPr="00A254C7">
                        <w:rPr>
                          <w:rFonts w:ascii="Arial Nova Light" w:hAnsi="Arial Nova Light" w:cstheme="majorHAnsi"/>
                          <w:b/>
                          <w:bCs/>
                          <w:sz w:val="18"/>
                          <w:szCs w:val="18"/>
                        </w:rPr>
                        <w:t>the force of law.</w:t>
                      </w:r>
                    </w:p>
                    <w:p w14:paraId="30C1AF4D" w14:textId="77777777" w:rsidR="00055DF4" w:rsidRPr="00C1203E" w:rsidRDefault="00055DF4" w:rsidP="00055DF4">
                      <w:pPr>
                        <w:rPr>
                          <w:rFonts w:ascii="Arial Nova Light" w:hAnsi="Arial Nova Light"/>
                          <w:sz w:val="18"/>
                          <w:szCs w:val="18"/>
                        </w:rPr>
                      </w:pPr>
                    </w:p>
                  </w:txbxContent>
                </v:textbox>
                <w10:wrap type="square" anchorx="margin"/>
              </v:shape>
            </w:pict>
          </mc:Fallback>
        </mc:AlternateContent>
      </w:r>
      <w:r>
        <w:rPr>
          <w:rFonts w:asciiTheme="majorHAnsi" w:hAnsiTheme="majorHAnsi" w:cstheme="majorHAnsi"/>
        </w:rPr>
        <w:t>of public health departments, which is to protect and promote the public’s health. The legal authorities of STLT governments are further contained in state, tribal, and territorial constitutions.</w:t>
      </w:r>
    </w:p>
    <w:p w14:paraId="0D9BA4BC" w14:textId="5A5691C0" w:rsidR="00055DF4" w:rsidRDefault="00055DF4" w:rsidP="007066C5">
      <w:pPr>
        <w:spacing w:line="360" w:lineRule="auto"/>
        <w:rPr>
          <w:rFonts w:asciiTheme="majorHAnsi" w:hAnsiTheme="majorHAnsi" w:cstheme="majorHAnsi"/>
        </w:rPr>
      </w:pPr>
    </w:p>
    <w:p w14:paraId="270B8BC0" w14:textId="60976F5B" w:rsidR="00055DF4" w:rsidRDefault="00055DF4" w:rsidP="00055DF4">
      <w:pPr>
        <w:spacing w:after="120" w:line="360" w:lineRule="auto"/>
        <w:rPr>
          <w:rFonts w:asciiTheme="majorHAnsi" w:hAnsiTheme="majorHAnsi" w:cstheme="majorHAnsi"/>
        </w:rPr>
      </w:pPr>
      <w:r>
        <w:rPr>
          <w:rFonts w:asciiTheme="majorHAnsi" w:hAnsiTheme="majorHAnsi" w:cstheme="majorHAnsi"/>
        </w:rPr>
        <w:t xml:space="preserve">Although public health legal authorities are significant, they are not without limitations. The U.S. Supreme Court has established that courts will defer to the authorities granted to public health agencies through legislation but that the powers must be exercised based on persuasive public health and medical evidence, and </w:t>
      </w:r>
      <w:r w:rsidRPr="00541A31">
        <w:rPr>
          <w:rFonts w:asciiTheme="majorHAnsi" w:hAnsiTheme="majorHAnsi" w:cstheme="majorHAnsi"/>
        </w:rPr>
        <w:t xml:space="preserve">agencies cannot act in an arbitrary manner </w:t>
      </w:r>
      <w:r>
        <w:rPr>
          <w:rFonts w:asciiTheme="majorHAnsi" w:hAnsiTheme="majorHAnsi" w:cstheme="majorHAnsi"/>
        </w:rPr>
        <w:t>o</w:t>
      </w:r>
      <w:r w:rsidRPr="00541A31">
        <w:rPr>
          <w:rFonts w:asciiTheme="majorHAnsi" w:hAnsiTheme="majorHAnsi" w:cstheme="majorHAnsi"/>
        </w:rPr>
        <w:t xml:space="preserve">r </w:t>
      </w:r>
      <w:r>
        <w:rPr>
          <w:rFonts w:asciiTheme="majorHAnsi" w:hAnsiTheme="majorHAnsi" w:cstheme="majorHAnsi"/>
        </w:rPr>
        <w:t xml:space="preserve">in a way that </w:t>
      </w:r>
      <w:r w:rsidRPr="00541A31">
        <w:rPr>
          <w:rFonts w:asciiTheme="majorHAnsi" w:hAnsiTheme="majorHAnsi" w:cstheme="majorHAnsi"/>
        </w:rPr>
        <w:t>pose</w:t>
      </w:r>
      <w:r>
        <w:rPr>
          <w:rFonts w:asciiTheme="majorHAnsi" w:hAnsiTheme="majorHAnsi" w:cstheme="majorHAnsi"/>
        </w:rPr>
        <w:t>s</w:t>
      </w:r>
      <w:r w:rsidRPr="00541A31">
        <w:rPr>
          <w:rFonts w:asciiTheme="majorHAnsi" w:hAnsiTheme="majorHAnsi" w:cstheme="majorHAnsi"/>
        </w:rPr>
        <w:t xml:space="preserve"> unreasonable risks for harm</w:t>
      </w:r>
      <w:r>
        <w:rPr>
          <w:rFonts w:asciiTheme="majorHAnsi" w:hAnsiTheme="majorHAnsi" w:cstheme="majorHAnsi"/>
        </w:rPr>
        <w:t>.</w:t>
      </w:r>
      <w:r>
        <w:rPr>
          <w:rStyle w:val="FootnoteReference"/>
          <w:rFonts w:asciiTheme="majorHAnsi" w:hAnsiTheme="majorHAnsi" w:cstheme="majorHAnsi"/>
        </w:rPr>
        <w:footnoteReference w:id="4"/>
      </w:r>
    </w:p>
    <w:p w14:paraId="00FD1B39" w14:textId="77777777" w:rsidR="00055DF4" w:rsidRDefault="00055DF4" w:rsidP="00055DF4">
      <w:pPr>
        <w:spacing w:line="360" w:lineRule="auto"/>
        <w:rPr>
          <w:rFonts w:asciiTheme="majorHAnsi" w:hAnsiTheme="majorHAnsi" w:cstheme="majorHAnsi"/>
          <w:b/>
          <w:bCs/>
        </w:rPr>
      </w:pPr>
    </w:p>
    <w:p w14:paraId="0909FE5A" w14:textId="77777777" w:rsidR="00055DF4" w:rsidRPr="008E2026" w:rsidRDefault="00055DF4" w:rsidP="008E2026">
      <w:pPr>
        <w:spacing w:after="120" w:line="360" w:lineRule="auto"/>
        <w:rPr>
          <w:rFonts w:ascii="Arial" w:hAnsi="Arial" w:cs="Arial"/>
          <w:b/>
          <w:bCs/>
        </w:rPr>
      </w:pPr>
      <w:r w:rsidRPr="008E2026">
        <w:rPr>
          <w:rFonts w:ascii="Arial" w:hAnsi="Arial" w:cs="Arial"/>
          <w:b/>
          <w:bCs/>
        </w:rPr>
        <w:t xml:space="preserve">Types of Legal Authorities Available to Public Health </w:t>
      </w:r>
    </w:p>
    <w:p w14:paraId="5F6F6F5A" w14:textId="5DD4BB13" w:rsidR="00055DF4" w:rsidRPr="00044328" w:rsidRDefault="00A97D5B" w:rsidP="00D41D64">
      <w:pPr>
        <w:spacing w:line="360" w:lineRule="auto"/>
        <w:rPr>
          <w:rFonts w:asciiTheme="majorHAnsi" w:hAnsiTheme="majorHAnsi" w:cs="Arial"/>
        </w:rPr>
      </w:pPr>
      <w:r>
        <w:rPr>
          <w:rFonts w:asciiTheme="majorHAnsi" w:hAnsiTheme="majorHAnsi" w:cstheme="majorHAnsi"/>
        </w:rPr>
        <w:t xml:space="preserve">The authority of public health agencies to </w:t>
      </w:r>
      <w:r w:rsidR="00550846">
        <w:rPr>
          <w:rFonts w:asciiTheme="majorHAnsi" w:hAnsiTheme="majorHAnsi" w:cstheme="majorHAnsi"/>
        </w:rPr>
        <w:t>identify, investigat</w:t>
      </w:r>
      <w:r w:rsidR="009C5F1E">
        <w:rPr>
          <w:rFonts w:asciiTheme="majorHAnsi" w:hAnsiTheme="majorHAnsi" w:cstheme="majorHAnsi"/>
        </w:rPr>
        <w:t>e</w:t>
      </w:r>
      <w:r w:rsidR="00550846">
        <w:rPr>
          <w:rFonts w:asciiTheme="majorHAnsi" w:hAnsiTheme="majorHAnsi" w:cstheme="majorHAnsi"/>
        </w:rPr>
        <w:t xml:space="preserve">, and order mitigation of </w:t>
      </w:r>
      <w:r w:rsidR="00550846" w:rsidRPr="003B3AC8">
        <w:rPr>
          <w:rFonts w:asciiTheme="majorHAnsi" w:hAnsiTheme="majorHAnsi" w:cstheme="majorHAnsi"/>
          <w:i/>
          <w:iCs/>
        </w:rPr>
        <w:t>Legionella</w:t>
      </w:r>
      <w:r w:rsidR="003B3AC8" w:rsidRPr="003B3AC8">
        <w:rPr>
          <w:rFonts w:asciiTheme="majorHAnsi" w:hAnsiTheme="majorHAnsi" w:cstheme="majorHAnsi"/>
        </w:rPr>
        <w:t>-</w:t>
      </w:r>
      <w:r w:rsidR="00550846">
        <w:rPr>
          <w:rFonts w:asciiTheme="majorHAnsi" w:hAnsiTheme="majorHAnsi" w:cstheme="majorHAnsi"/>
        </w:rPr>
        <w:t xml:space="preserve">contaminated facilities </w:t>
      </w:r>
      <w:r w:rsidR="009C5F1E">
        <w:rPr>
          <w:rFonts w:asciiTheme="majorHAnsi" w:hAnsiTheme="majorHAnsi" w:cstheme="majorHAnsi"/>
        </w:rPr>
        <w:t xml:space="preserve">is supported by several types of </w:t>
      </w:r>
      <w:r w:rsidR="002516F8">
        <w:rPr>
          <w:rFonts w:asciiTheme="majorHAnsi" w:hAnsiTheme="majorHAnsi" w:cstheme="majorHAnsi"/>
        </w:rPr>
        <w:t>laws.</w:t>
      </w:r>
      <w:r w:rsidR="00EC2FD3">
        <w:rPr>
          <w:rFonts w:asciiTheme="majorHAnsi" w:hAnsiTheme="majorHAnsi" w:cstheme="majorHAnsi"/>
        </w:rPr>
        <w:t xml:space="preserve"> Collectively, the</w:t>
      </w:r>
      <w:r w:rsidR="00265258">
        <w:rPr>
          <w:rFonts w:asciiTheme="majorHAnsi" w:hAnsiTheme="majorHAnsi" w:cstheme="majorHAnsi"/>
        </w:rPr>
        <w:t>se</w:t>
      </w:r>
      <w:r w:rsidR="00247085">
        <w:rPr>
          <w:rFonts w:asciiTheme="majorHAnsi" w:hAnsiTheme="majorHAnsi" w:cstheme="majorHAnsi"/>
        </w:rPr>
        <w:t xml:space="preserve"> laws simultaneously </w:t>
      </w:r>
      <w:r w:rsidR="00EC1F3C">
        <w:rPr>
          <w:rFonts w:asciiTheme="majorHAnsi" w:hAnsiTheme="majorHAnsi" w:cstheme="majorHAnsi"/>
        </w:rPr>
        <w:t>empower</w:t>
      </w:r>
      <w:r w:rsidR="0006030F">
        <w:rPr>
          <w:rFonts w:asciiTheme="majorHAnsi" w:hAnsiTheme="majorHAnsi" w:cstheme="majorHAnsi"/>
        </w:rPr>
        <w:t xml:space="preserve"> and constrain public health activities.</w:t>
      </w:r>
      <w:r w:rsidR="002516F8">
        <w:rPr>
          <w:rFonts w:asciiTheme="majorHAnsi" w:hAnsiTheme="majorHAnsi" w:cstheme="majorHAnsi"/>
        </w:rPr>
        <w:t xml:space="preserve"> </w:t>
      </w:r>
      <w:r w:rsidR="00070759">
        <w:rPr>
          <w:rFonts w:asciiTheme="majorHAnsi" w:hAnsiTheme="majorHAnsi" w:cstheme="majorHAnsi"/>
        </w:rPr>
        <w:t xml:space="preserve">These laws fall into </w:t>
      </w:r>
      <w:r w:rsidR="00247085">
        <w:rPr>
          <w:rFonts w:asciiTheme="majorHAnsi" w:hAnsiTheme="majorHAnsi" w:cstheme="majorHAnsi"/>
        </w:rPr>
        <w:t xml:space="preserve">several </w:t>
      </w:r>
      <w:r w:rsidR="00070759">
        <w:rPr>
          <w:rFonts w:asciiTheme="majorHAnsi" w:hAnsiTheme="majorHAnsi" w:cstheme="majorHAnsi"/>
        </w:rPr>
        <w:t>categories</w:t>
      </w:r>
      <w:r w:rsidR="00247085">
        <w:rPr>
          <w:rFonts w:asciiTheme="majorHAnsi" w:hAnsiTheme="majorHAnsi" w:cstheme="majorHAnsi"/>
        </w:rPr>
        <w:t xml:space="preserve"> described below.</w:t>
      </w:r>
    </w:p>
    <w:p w14:paraId="011554BA" w14:textId="77777777" w:rsidR="00D41D64" w:rsidRDefault="00D41D64" w:rsidP="00D41D64">
      <w:pPr>
        <w:spacing w:line="360" w:lineRule="auto"/>
        <w:rPr>
          <w:rFonts w:asciiTheme="majorHAnsi" w:hAnsiTheme="majorHAnsi" w:cs="Arial"/>
          <w:b/>
          <w:bCs/>
        </w:rPr>
      </w:pPr>
    </w:p>
    <w:p w14:paraId="534C2922" w14:textId="1799C488" w:rsidR="009D1BD3" w:rsidRDefault="00DF70F9" w:rsidP="009D1BD3">
      <w:pPr>
        <w:spacing w:after="120" w:line="360" w:lineRule="auto"/>
        <w:rPr>
          <w:rFonts w:asciiTheme="majorHAnsi" w:hAnsiTheme="majorHAnsi" w:cs="Arial"/>
          <w:b/>
          <w:bCs/>
        </w:rPr>
      </w:pPr>
      <w:r w:rsidRPr="009D1BD3">
        <w:rPr>
          <w:rFonts w:asciiTheme="majorHAnsi" w:hAnsiTheme="majorHAnsi" w:cs="Arial"/>
          <w:b/>
          <w:bCs/>
        </w:rPr>
        <w:t xml:space="preserve">General </w:t>
      </w:r>
      <w:r w:rsidR="00B451E3" w:rsidRPr="009D1BD3">
        <w:rPr>
          <w:rFonts w:asciiTheme="majorHAnsi" w:hAnsiTheme="majorHAnsi" w:cs="Arial"/>
          <w:b/>
          <w:bCs/>
        </w:rPr>
        <w:t>G</w:t>
      </w:r>
      <w:r w:rsidRPr="009D1BD3">
        <w:rPr>
          <w:rFonts w:asciiTheme="majorHAnsi" w:hAnsiTheme="majorHAnsi" w:cs="Arial"/>
          <w:b/>
          <w:bCs/>
        </w:rPr>
        <w:t xml:space="preserve">overnmental </w:t>
      </w:r>
      <w:r w:rsidR="00B451E3" w:rsidRPr="009D1BD3">
        <w:rPr>
          <w:rFonts w:asciiTheme="majorHAnsi" w:hAnsiTheme="majorHAnsi" w:cs="Arial"/>
          <w:b/>
          <w:bCs/>
        </w:rPr>
        <w:t>L</w:t>
      </w:r>
      <w:r w:rsidRPr="009D1BD3">
        <w:rPr>
          <w:rFonts w:asciiTheme="majorHAnsi" w:hAnsiTheme="majorHAnsi" w:cs="Arial"/>
          <w:b/>
          <w:bCs/>
        </w:rPr>
        <w:t>aws</w:t>
      </w:r>
    </w:p>
    <w:p w14:paraId="6313996D" w14:textId="31065E12" w:rsidR="00D020E4" w:rsidRDefault="00B451E3" w:rsidP="008D444B">
      <w:pPr>
        <w:spacing w:line="360" w:lineRule="auto"/>
        <w:rPr>
          <w:rFonts w:asciiTheme="majorHAnsi" w:hAnsiTheme="majorHAnsi" w:cs="Arial"/>
        </w:rPr>
      </w:pPr>
      <w:r w:rsidRPr="009D1BD3">
        <w:rPr>
          <w:rFonts w:asciiTheme="majorHAnsi" w:hAnsiTheme="majorHAnsi" w:cs="Arial"/>
        </w:rPr>
        <w:t xml:space="preserve">These laws </w:t>
      </w:r>
      <w:r w:rsidR="0027672F" w:rsidRPr="009D1BD3">
        <w:rPr>
          <w:rFonts w:asciiTheme="majorHAnsi" w:hAnsiTheme="majorHAnsi" w:cs="Arial"/>
        </w:rPr>
        <w:t xml:space="preserve">apply </w:t>
      </w:r>
      <w:r w:rsidR="00A34839" w:rsidRPr="009D1BD3">
        <w:rPr>
          <w:rFonts w:asciiTheme="majorHAnsi" w:hAnsiTheme="majorHAnsi" w:cs="Arial"/>
        </w:rPr>
        <w:t xml:space="preserve">generally </w:t>
      </w:r>
      <w:r w:rsidR="0027672F" w:rsidRPr="009D1BD3">
        <w:rPr>
          <w:rFonts w:asciiTheme="majorHAnsi" w:hAnsiTheme="majorHAnsi" w:cs="Arial"/>
        </w:rPr>
        <w:t>to any governmental agency</w:t>
      </w:r>
      <w:r w:rsidR="00DF70F9" w:rsidRPr="009D1BD3">
        <w:rPr>
          <w:rFonts w:asciiTheme="majorHAnsi" w:hAnsiTheme="majorHAnsi" w:cs="Arial"/>
        </w:rPr>
        <w:t xml:space="preserve">. </w:t>
      </w:r>
      <w:r w:rsidR="00A34839" w:rsidRPr="009D1BD3">
        <w:rPr>
          <w:rFonts w:asciiTheme="majorHAnsi" w:hAnsiTheme="majorHAnsi" w:cs="Arial"/>
        </w:rPr>
        <w:t>Laws such as administrative procedure</w:t>
      </w:r>
      <w:r w:rsidR="00D020E4" w:rsidRPr="009D1BD3">
        <w:rPr>
          <w:rFonts w:asciiTheme="majorHAnsi" w:hAnsiTheme="majorHAnsi" w:cs="Arial"/>
        </w:rPr>
        <w:t>s</w:t>
      </w:r>
      <w:r w:rsidR="00A34839" w:rsidRPr="009D1BD3">
        <w:rPr>
          <w:rFonts w:asciiTheme="majorHAnsi" w:hAnsiTheme="majorHAnsi" w:cs="Arial"/>
        </w:rPr>
        <w:t xml:space="preserve"> </w:t>
      </w:r>
      <w:r w:rsidR="002C09C7" w:rsidRPr="009D1BD3">
        <w:rPr>
          <w:rFonts w:asciiTheme="majorHAnsi" w:hAnsiTheme="majorHAnsi" w:cs="Arial"/>
        </w:rPr>
        <w:t xml:space="preserve">or </w:t>
      </w:r>
      <w:r w:rsidR="00FD73C2" w:rsidRPr="009D1BD3">
        <w:rPr>
          <w:rFonts w:asciiTheme="majorHAnsi" w:hAnsiTheme="majorHAnsi" w:cs="Arial"/>
        </w:rPr>
        <w:t xml:space="preserve">government records </w:t>
      </w:r>
      <w:r w:rsidR="00D020E4" w:rsidRPr="009D1BD3">
        <w:rPr>
          <w:rFonts w:asciiTheme="majorHAnsi" w:hAnsiTheme="majorHAnsi" w:cs="Arial"/>
        </w:rPr>
        <w:t xml:space="preserve">retention </w:t>
      </w:r>
      <w:r w:rsidR="00FD73C2" w:rsidRPr="009D1BD3">
        <w:rPr>
          <w:rFonts w:asciiTheme="majorHAnsi" w:hAnsiTheme="majorHAnsi" w:cs="Arial"/>
        </w:rPr>
        <w:t>laws</w:t>
      </w:r>
      <w:r w:rsidR="001D7AA6" w:rsidRPr="009D1BD3">
        <w:rPr>
          <w:rFonts w:asciiTheme="majorHAnsi" w:hAnsiTheme="majorHAnsi" w:cs="Arial"/>
        </w:rPr>
        <w:t xml:space="preserve"> are examples </w:t>
      </w:r>
      <w:r w:rsidR="006E7C25" w:rsidRPr="009D1BD3">
        <w:rPr>
          <w:rFonts w:asciiTheme="majorHAnsi" w:hAnsiTheme="majorHAnsi" w:cs="Arial"/>
        </w:rPr>
        <w:t>of</w:t>
      </w:r>
      <w:r w:rsidR="00FD595B" w:rsidRPr="009D1BD3">
        <w:rPr>
          <w:rFonts w:asciiTheme="majorHAnsi" w:hAnsiTheme="majorHAnsi" w:cs="Arial"/>
        </w:rPr>
        <w:t xml:space="preserve"> </w:t>
      </w:r>
      <w:r w:rsidR="001D7AA6" w:rsidRPr="009D1BD3">
        <w:rPr>
          <w:rFonts w:asciiTheme="majorHAnsi" w:hAnsiTheme="majorHAnsi" w:cs="Arial"/>
        </w:rPr>
        <w:t xml:space="preserve">general governmental laws. </w:t>
      </w:r>
      <w:r w:rsidR="00D67A64" w:rsidRPr="009D1BD3">
        <w:rPr>
          <w:rFonts w:asciiTheme="majorHAnsi" w:hAnsiTheme="majorHAnsi" w:cs="Arial"/>
        </w:rPr>
        <w:t>As will be discussed in Chapter 3, freedom of information/open records</w:t>
      </w:r>
      <w:r w:rsidR="00BD77C7" w:rsidRPr="009D1BD3">
        <w:rPr>
          <w:rFonts w:asciiTheme="majorHAnsi" w:hAnsiTheme="majorHAnsi" w:cs="Arial"/>
        </w:rPr>
        <w:t xml:space="preserve"> and </w:t>
      </w:r>
      <w:r w:rsidR="00DF70F9" w:rsidRPr="009D1BD3">
        <w:rPr>
          <w:rFonts w:asciiTheme="majorHAnsi" w:hAnsiTheme="majorHAnsi" w:cs="Arial"/>
        </w:rPr>
        <w:t>confidentiality laws</w:t>
      </w:r>
      <w:r w:rsidR="00BD77C7" w:rsidRPr="009D1BD3">
        <w:rPr>
          <w:rFonts w:asciiTheme="majorHAnsi" w:hAnsiTheme="majorHAnsi" w:cs="Arial"/>
        </w:rPr>
        <w:t xml:space="preserve"> are other examples</w:t>
      </w:r>
      <w:r w:rsidR="006E7C25" w:rsidRPr="009D1BD3">
        <w:rPr>
          <w:rFonts w:asciiTheme="majorHAnsi" w:hAnsiTheme="majorHAnsi" w:cs="Arial"/>
        </w:rPr>
        <w:t xml:space="preserve"> of these types of laws</w:t>
      </w:r>
      <w:r w:rsidR="004D642E" w:rsidRPr="009D1BD3">
        <w:rPr>
          <w:rFonts w:asciiTheme="majorHAnsi" w:hAnsiTheme="majorHAnsi" w:cs="Arial"/>
        </w:rPr>
        <w:t>.</w:t>
      </w:r>
      <w:r w:rsidR="0021271C">
        <w:rPr>
          <w:rFonts w:asciiTheme="majorHAnsi" w:hAnsiTheme="majorHAnsi" w:cs="Arial"/>
        </w:rPr>
        <w:t xml:space="preserve"> </w:t>
      </w:r>
      <w:r w:rsidR="006305A1">
        <w:rPr>
          <w:rFonts w:asciiTheme="majorHAnsi" w:hAnsiTheme="majorHAnsi" w:cs="Arial"/>
        </w:rPr>
        <w:t xml:space="preserve">These laws also establish the relationship of localities to the state </w:t>
      </w:r>
      <w:r w:rsidR="00583D90">
        <w:rPr>
          <w:rFonts w:asciiTheme="majorHAnsi" w:hAnsiTheme="majorHAnsi" w:cs="Arial"/>
        </w:rPr>
        <w:t xml:space="preserve">and the powers granted to local governments. </w:t>
      </w:r>
    </w:p>
    <w:p w14:paraId="50BA59A9" w14:textId="77777777" w:rsidR="009D1BD3" w:rsidRDefault="009D1BD3" w:rsidP="009D1BD3">
      <w:pPr>
        <w:spacing w:line="360" w:lineRule="auto"/>
        <w:rPr>
          <w:rFonts w:asciiTheme="majorHAnsi" w:hAnsiTheme="majorHAnsi" w:cs="Arial"/>
          <w:b/>
          <w:bCs/>
        </w:rPr>
      </w:pPr>
    </w:p>
    <w:p w14:paraId="4B59DEB9" w14:textId="24AE608A" w:rsidR="009D1BD3" w:rsidRDefault="000D28F0" w:rsidP="00BF5112">
      <w:pPr>
        <w:keepNext/>
        <w:spacing w:after="120" w:line="360" w:lineRule="auto"/>
        <w:rPr>
          <w:rFonts w:asciiTheme="majorHAnsi" w:hAnsiTheme="majorHAnsi" w:cs="Arial"/>
          <w:b/>
          <w:bCs/>
        </w:rPr>
      </w:pPr>
      <w:r w:rsidRPr="009D1BD3">
        <w:rPr>
          <w:rFonts w:asciiTheme="majorHAnsi" w:hAnsiTheme="majorHAnsi" w:cs="Arial"/>
          <w:b/>
          <w:bCs/>
        </w:rPr>
        <w:lastRenderedPageBreak/>
        <w:t>Broad</w:t>
      </w:r>
      <w:r w:rsidR="00DF70F9" w:rsidRPr="009D1BD3">
        <w:rPr>
          <w:rFonts w:asciiTheme="majorHAnsi" w:hAnsiTheme="majorHAnsi" w:cs="Arial"/>
          <w:b/>
          <w:bCs/>
        </w:rPr>
        <w:t xml:space="preserve"> Public Health Laws</w:t>
      </w:r>
    </w:p>
    <w:p w14:paraId="0BD71ACA" w14:textId="7E86436E" w:rsidR="00A10D23" w:rsidRDefault="00DF70F9" w:rsidP="002268BE">
      <w:pPr>
        <w:spacing w:line="360" w:lineRule="auto"/>
        <w:rPr>
          <w:rFonts w:asciiTheme="majorHAnsi" w:hAnsiTheme="majorHAnsi" w:cs="Arial"/>
        </w:rPr>
      </w:pPr>
      <w:r w:rsidRPr="009D1BD3">
        <w:rPr>
          <w:rFonts w:asciiTheme="majorHAnsi" w:hAnsiTheme="majorHAnsi" w:cs="Arial"/>
        </w:rPr>
        <w:t xml:space="preserve">These laws </w:t>
      </w:r>
      <w:r w:rsidR="004D642E" w:rsidRPr="009D1BD3">
        <w:rPr>
          <w:rFonts w:asciiTheme="majorHAnsi" w:hAnsiTheme="majorHAnsi" w:cs="Arial"/>
        </w:rPr>
        <w:t xml:space="preserve">authorize </w:t>
      </w:r>
      <w:r w:rsidR="008B7E7B" w:rsidRPr="009D1BD3">
        <w:rPr>
          <w:rFonts w:asciiTheme="majorHAnsi" w:hAnsiTheme="majorHAnsi" w:cs="Arial"/>
        </w:rPr>
        <w:t xml:space="preserve">a public health agency </w:t>
      </w:r>
      <w:r w:rsidRPr="009D1BD3">
        <w:rPr>
          <w:rFonts w:asciiTheme="majorHAnsi" w:hAnsiTheme="majorHAnsi" w:cs="Arial"/>
        </w:rPr>
        <w:t>and other agencies, as well as specific officials (e.g., state health agency director</w:t>
      </w:r>
      <w:r w:rsidR="006352FB" w:rsidRPr="009D1BD3">
        <w:rPr>
          <w:rFonts w:asciiTheme="majorHAnsi" w:hAnsiTheme="majorHAnsi" w:cs="Arial"/>
        </w:rPr>
        <w:t>, local health officer</w:t>
      </w:r>
      <w:r w:rsidRPr="009D1BD3">
        <w:rPr>
          <w:rFonts w:asciiTheme="majorHAnsi" w:hAnsiTheme="majorHAnsi" w:cs="Arial"/>
        </w:rPr>
        <w:t>), to take action</w:t>
      </w:r>
      <w:r w:rsidR="006352FB" w:rsidRPr="009D1BD3">
        <w:rPr>
          <w:rFonts w:asciiTheme="majorHAnsi" w:hAnsiTheme="majorHAnsi" w:cs="Arial"/>
        </w:rPr>
        <w:t>s necessary</w:t>
      </w:r>
      <w:r w:rsidRPr="009D1BD3">
        <w:rPr>
          <w:rFonts w:asciiTheme="majorHAnsi" w:hAnsiTheme="majorHAnsi" w:cs="Arial"/>
        </w:rPr>
        <w:t xml:space="preserve"> to prevent and respond to public health threats.</w:t>
      </w:r>
      <w:r w:rsidR="00583D90">
        <w:rPr>
          <w:rFonts w:asciiTheme="majorHAnsi" w:hAnsiTheme="majorHAnsi" w:cs="Arial"/>
        </w:rPr>
        <w:t xml:space="preserve"> </w:t>
      </w:r>
      <w:r w:rsidR="00583D90" w:rsidRPr="006305A1">
        <w:rPr>
          <w:rFonts w:asciiTheme="majorHAnsi" w:hAnsiTheme="majorHAnsi" w:cs="Arial"/>
        </w:rPr>
        <w:t xml:space="preserve">Local agencies and </w:t>
      </w:r>
      <w:r w:rsidR="0075553E">
        <w:rPr>
          <w:rFonts w:asciiTheme="majorHAnsi" w:hAnsiTheme="majorHAnsi" w:cs="Arial"/>
        </w:rPr>
        <w:t>officials</w:t>
      </w:r>
      <w:r w:rsidR="00583D90" w:rsidRPr="006305A1">
        <w:rPr>
          <w:rFonts w:asciiTheme="majorHAnsi" w:hAnsiTheme="majorHAnsi" w:cs="Arial"/>
        </w:rPr>
        <w:t xml:space="preserve"> can be granted specific powers to protect public health in state law.</w:t>
      </w:r>
      <w:r w:rsidR="008D444B">
        <w:rPr>
          <w:rFonts w:asciiTheme="majorHAnsi" w:hAnsiTheme="majorHAnsi" w:cs="Arial"/>
        </w:rPr>
        <w:t xml:space="preserve"> </w:t>
      </w:r>
      <w:r w:rsidR="0075553E">
        <w:rPr>
          <w:rFonts w:asciiTheme="majorHAnsi" w:hAnsiTheme="majorHAnsi" w:cs="Arial"/>
        </w:rPr>
        <w:t>T</w:t>
      </w:r>
      <w:r w:rsidR="002268BE" w:rsidRPr="002268BE">
        <w:rPr>
          <w:rFonts w:asciiTheme="majorHAnsi" w:hAnsiTheme="majorHAnsi" w:cs="Arial"/>
        </w:rPr>
        <w:t>he</w:t>
      </w:r>
      <w:r w:rsidR="0075553E">
        <w:rPr>
          <w:rFonts w:asciiTheme="majorHAnsi" w:hAnsiTheme="majorHAnsi" w:cs="Arial"/>
        </w:rPr>
        <w:t xml:space="preserve"> kinds and extent of local public </w:t>
      </w:r>
      <w:r w:rsidR="002268BE" w:rsidRPr="002268BE">
        <w:rPr>
          <w:rFonts w:asciiTheme="majorHAnsi" w:hAnsiTheme="majorHAnsi" w:cs="Arial"/>
        </w:rPr>
        <w:t xml:space="preserve">health authorities </w:t>
      </w:r>
      <w:r w:rsidR="0075553E">
        <w:rPr>
          <w:rFonts w:asciiTheme="majorHAnsi" w:hAnsiTheme="majorHAnsi" w:cs="Arial"/>
        </w:rPr>
        <w:t xml:space="preserve">are also a function of </w:t>
      </w:r>
      <w:r w:rsidR="00D37CE0">
        <w:rPr>
          <w:rFonts w:asciiTheme="majorHAnsi" w:hAnsiTheme="majorHAnsi" w:cs="Arial"/>
        </w:rPr>
        <w:t xml:space="preserve">the </w:t>
      </w:r>
      <w:r w:rsidR="002268BE" w:rsidRPr="002268BE">
        <w:rPr>
          <w:rFonts w:asciiTheme="majorHAnsi" w:hAnsiTheme="majorHAnsi" w:cs="Arial"/>
        </w:rPr>
        <w:t>structural relationship between the state health agency and local health agencies (i.e.,</w:t>
      </w:r>
      <w:r w:rsidR="00D37CE0">
        <w:rPr>
          <w:rFonts w:asciiTheme="majorHAnsi" w:hAnsiTheme="majorHAnsi" w:cs="Arial"/>
        </w:rPr>
        <w:t xml:space="preserve"> </w:t>
      </w:r>
      <w:r w:rsidR="002268BE" w:rsidRPr="002268BE">
        <w:rPr>
          <w:rFonts w:asciiTheme="majorHAnsi" w:hAnsiTheme="majorHAnsi" w:cs="Arial"/>
        </w:rPr>
        <w:t>centralized, decentralized, shared/mixed), which relationship may be defined in state law.</w:t>
      </w:r>
    </w:p>
    <w:p w14:paraId="2532D6CE" w14:textId="77777777" w:rsidR="009E1766" w:rsidRPr="009D1BD3" w:rsidRDefault="009E1766" w:rsidP="009E1766">
      <w:pPr>
        <w:spacing w:line="360" w:lineRule="auto"/>
        <w:rPr>
          <w:rFonts w:asciiTheme="majorHAnsi" w:hAnsiTheme="majorHAnsi" w:cs="Arial"/>
        </w:rPr>
      </w:pPr>
    </w:p>
    <w:p w14:paraId="46D70579" w14:textId="77777777" w:rsidR="009E1766" w:rsidRDefault="00DF70F9" w:rsidP="009E1766">
      <w:pPr>
        <w:spacing w:after="120" w:line="360" w:lineRule="auto"/>
        <w:rPr>
          <w:rFonts w:asciiTheme="majorHAnsi" w:hAnsiTheme="majorHAnsi" w:cs="Arial"/>
          <w:b/>
          <w:bCs/>
        </w:rPr>
      </w:pPr>
      <w:r w:rsidRPr="009E1766">
        <w:rPr>
          <w:rFonts w:asciiTheme="majorHAnsi" w:hAnsiTheme="majorHAnsi" w:cs="Arial"/>
          <w:b/>
          <w:bCs/>
        </w:rPr>
        <w:t>Communicable Disease Laws</w:t>
      </w:r>
    </w:p>
    <w:p w14:paraId="0AED650E" w14:textId="4C1735B5" w:rsidR="00CD5E26" w:rsidRPr="00625ADB" w:rsidRDefault="00DF70F9" w:rsidP="00CD5E26">
      <w:pPr>
        <w:spacing w:line="360" w:lineRule="auto"/>
        <w:rPr>
          <w:rFonts w:asciiTheme="majorHAnsi" w:hAnsiTheme="majorHAnsi" w:cs="Arial"/>
        </w:rPr>
      </w:pPr>
      <w:r w:rsidRPr="009E1766">
        <w:rPr>
          <w:rFonts w:asciiTheme="majorHAnsi" w:hAnsiTheme="majorHAnsi" w:cs="Arial"/>
        </w:rPr>
        <w:t xml:space="preserve">These laws define the </w:t>
      </w:r>
      <w:r w:rsidR="00DE4499" w:rsidRPr="009E1766">
        <w:rPr>
          <w:rFonts w:asciiTheme="majorHAnsi" w:hAnsiTheme="majorHAnsi" w:cs="Arial"/>
        </w:rPr>
        <w:t xml:space="preserve">authority of public health officials to undertake </w:t>
      </w:r>
      <w:r w:rsidRPr="009E1766">
        <w:rPr>
          <w:rFonts w:asciiTheme="majorHAnsi" w:hAnsiTheme="majorHAnsi" w:cs="Arial"/>
        </w:rPr>
        <w:t>surveillance</w:t>
      </w:r>
      <w:r w:rsidR="00DE4499" w:rsidRPr="009E1766">
        <w:rPr>
          <w:rFonts w:asciiTheme="majorHAnsi" w:hAnsiTheme="majorHAnsi" w:cs="Arial"/>
        </w:rPr>
        <w:t>, investigation,</w:t>
      </w:r>
      <w:r w:rsidRPr="009E1766">
        <w:rPr>
          <w:rFonts w:asciiTheme="majorHAnsi" w:hAnsiTheme="majorHAnsi" w:cs="Arial"/>
        </w:rPr>
        <w:t xml:space="preserve"> and control measures </w:t>
      </w:r>
      <w:r w:rsidR="00DE4499" w:rsidRPr="009E1766">
        <w:rPr>
          <w:rFonts w:asciiTheme="majorHAnsi" w:hAnsiTheme="majorHAnsi" w:cs="Arial"/>
        </w:rPr>
        <w:t xml:space="preserve">to address </w:t>
      </w:r>
      <w:r w:rsidRPr="009E1766">
        <w:rPr>
          <w:rFonts w:asciiTheme="majorHAnsi" w:hAnsiTheme="majorHAnsi" w:cs="Arial"/>
        </w:rPr>
        <w:t>communicable diseases and conditions</w:t>
      </w:r>
      <w:r w:rsidR="00DE4499" w:rsidRPr="009E1766">
        <w:rPr>
          <w:rFonts w:asciiTheme="majorHAnsi" w:hAnsiTheme="majorHAnsi" w:cs="Arial"/>
        </w:rPr>
        <w:t>.</w:t>
      </w:r>
      <w:r w:rsidR="005C44FA" w:rsidRPr="009E1766">
        <w:rPr>
          <w:rFonts w:asciiTheme="majorHAnsi" w:hAnsiTheme="majorHAnsi" w:cs="Arial"/>
        </w:rPr>
        <w:t xml:space="preserve"> </w:t>
      </w:r>
      <w:r w:rsidR="00CD5E26">
        <w:rPr>
          <w:rFonts w:asciiTheme="majorHAnsi" w:hAnsiTheme="majorHAnsi" w:cs="Arial"/>
        </w:rPr>
        <w:t xml:space="preserve">Public health agencies are generally given </w:t>
      </w:r>
      <w:r w:rsidR="00CD5E26" w:rsidRPr="00625ADB">
        <w:rPr>
          <w:rFonts w:asciiTheme="majorHAnsi" w:hAnsiTheme="majorHAnsi" w:cs="Arial"/>
        </w:rPr>
        <w:t>broad statutory authorit</w:t>
      </w:r>
      <w:r w:rsidR="00CD5E26">
        <w:rPr>
          <w:rFonts w:asciiTheme="majorHAnsi" w:hAnsiTheme="majorHAnsi" w:cs="Arial"/>
        </w:rPr>
        <w:t xml:space="preserve">ies by the legislature </w:t>
      </w:r>
      <w:r w:rsidR="00CD5E26" w:rsidRPr="00625ADB">
        <w:rPr>
          <w:rFonts w:asciiTheme="majorHAnsi" w:hAnsiTheme="majorHAnsi" w:cs="Arial"/>
        </w:rPr>
        <w:t>to collect information and require reports of diseases, conditions</w:t>
      </w:r>
      <w:r w:rsidR="00F3349A">
        <w:rPr>
          <w:rFonts w:asciiTheme="majorHAnsi" w:hAnsiTheme="majorHAnsi" w:cs="Arial"/>
        </w:rPr>
        <w:t>,</w:t>
      </w:r>
      <w:r w:rsidR="00CD5E26" w:rsidRPr="00625ADB">
        <w:rPr>
          <w:rFonts w:asciiTheme="majorHAnsi" w:hAnsiTheme="majorHAnsi" w:cs="Arial"/>
        </w:rPr>
        <w:t xml:space="preserve"> and outbreaks</w:t>
      </w:r>
      <w:r w:rsidR="00CD5E26">
        <w:rPr>
          <w:rFonts w:asciiTheme="majorHAnsi" w:hAnsiTheme="majorHAnsi" w:cs="Arial"/>
        </w:rPr>
        <w:t xml:space="preserve">. Legislatures also typically grant public health agencies with </w:t>
      </w:r>
      <w:r w:rsidR="00CD5E26" w:rsidRPr="00625ADB">
        <w:rPr>
          <w:rFonts w:asciiTheme="majorHAnsi" w:hAnsiTheme="majorHAnsi" w:cs="Arial"/>
        </w:rPr>
        <w:t xml:space="preserve">the authority to adopt regulations </w:t>
      </w:r>
      <w:r w:rsidR="00F47790">
        <w:rPr>
          <w:rFonts w:asciiTheme="majorHAnsi" w:hAnsiTheme="majorHAnsi" w:cs="Arial"/>
        </w:rPr>
        <w:t xml:space="preserve">identifying the specific </w:t>
      </w:r>
      <w:r w:rsidR="00CD5E26" w:rsidRPr="00625ADB">
        <w:rPr>
          <w:rFonts w:asciiTheme="majorHAnsi" w:hAnsiTheme="majorHAnsi" w:cs="Arial"/>
        </w:rPr>
        <w:t xml:space="preserve">diseases or conditions must be reported, who must report them, and how to report. </w:t>
      </w:r>
      <w:r w:rsidR="00461A71">
        <w:rPr>
          <w:rFonts w:asciiTheme="majorHAnsi" w:hAnsiTheme="majorHAnsi" w:cs="Arial"/>
        </w:rPr>
        <w:t xml:space="preserve">As discussed in Chapter 1, </w:t>
      </w:r>
      <w:r w:rsidR="00E61ABC" w:rsidRPr="00E61ABC">
        <w:rPr>
          <w:rFonts w:asciiTheme="majorHAnsi" w:hAnsiTheme="majorHAnsi" w:cs="Arial"/>
        </w:rPr>
        <w:t>Legionellosis is a nationally notifiable disease as determined by CSTE</w:t>
      </w:r>
      <w:r w:rsidR="00E61ABC" w:rsidRPr="00E61ABC">
        <w:rPr>
          <w:rFonts w:asciiTheme="majorHAnsi" w:hAnsiTheme="majorHAnsi" w:cs="Arial"/>
          <w:vertAlign w:val="superscript"/>
        </w:rPr>
        <w:footnoteReference w:id="5"/>
      </w:r>
      <w:r w:rsidR="00E61ABC" w:rsidRPr="00E61ABC">
        <w:rPr>
          <w:rFonts w:asciiTheme="majorHAnsi" w:hAnsiTheme="majorHAnsi" w:cs="Arial"/>
        </w:rPr>
        <w:t xml:space="preserve"> and designated in the National Notifiable Diseases Surveillance System (NNDSS) at CDC.</w:t>
      </w:r>
      <w:r w:rsidR="00E61ABC" w:rsidRPr="00E61ABC">
        <w:rPr>
          <w:rFonts w:asciiTheme="majorHAnsi" w:hAnsiTheme="majorHAnsi" w:cs="Arial"/>
          <w:vertAlign w:val="superscript"/>
        </w:rPr>
        <w:footnoteReference w:id="6"/>
      </w:r>
    </w:p>
    <w:p w14:paraId="504A86B4" w14:textId="77777777" w:rsidR="00CD5E26" w:rsidRDefault="00CD5E26" w:rsidP="00CD5E26">
      <w:pPr>
        <w:spacing w:line="360" w:lineRule="auto"/>
        <w:rPr>
          <w:rFonts w:asciiTheme="majorHAnsi" w:hAnsiTheme="majorHAnsi" w:cs="Arial"/>
        </w:rPr>
      </w:pPr>
    </w:p>
    <w:p w14:paraId="0254D591" w14:textId="77777777" w:rsidR="009E1766" w:rsidRDefault="00560DC0" w:rsidP="009E1766">
      <w:pPr>
        <w:spacing w:after="120" w:line="360" w:lineRule="auto"/>
        <w:rPr>
          <w:rFonts w:asciiTheme="majorHAnsi" w:hAnsiTheme="majorHAnsi" w:cs="Arial"/>
          <w:b/>
          <w:bCs/>
        </w:rPr>
      </w:pPr>
      <w:r w:rsidRPr="009E1766">
        <w:rPr>
          <w:rFonts w:asciiTheme="majorHAnsi" w:hAnsiTheme="majorHAnsi" w:cs="Arial"/>
          <w:b/>
          <w:bCs/>
        </w:rPr>
        <w:t xml:space="preserve">Laws Governing Specific </w:t>
      </w:r>
      <w:r w:rsidR="00445362" w:rsidRPr="009E1766">
        <w:rPr>
          <w:rFonts w:asciiTheme="majorHAnsi" w:hAnsiTheme="majorHAnsi" w:cs="Arial"/>
          <w:b/>
          <w:bCs/>
        </w:rPr>
        <w:t>Facility and System Types</w:t>
      </w:r>
    </w:p>
    <w:p w14:paraId="15CE5D9F" w14:textId="7F77AD69" w:rsidR="00DF70F9" w:rsidRPr="009E1766" w:rsidRDefault="00E773D8" w:rsidP="009E1766">
      <w:pPr>
        <w:spacing w:line="360" w:lineRule="auto"/>
        <w:rPr>
          <w:rFonts w:asciiTheme="majorHAnsi" w:hAnsiTheme="majorHAnsi" w:cs="Arial"/>
        </w:rPr>
      </w:pPr>
      <w:r w:rsidRPr="009E1766">
        <w:rPr>
          <w:rFonts w:asciiTheme="majorHAnsi" w:hAnsiTheme="majorHAnsi" w:cs="Arial"/>
        </w:rPr>
        <w:t xml:space="preserve">These laws govern </w:t>
      </w:r>
      <w:r w:rsidR="004C0CEC" w:rsidRPr="009E1766">
        <w:rPr>
          <w:rFonts w:asciiTheme="majorHAnsi" w:hAnsiTheme="majorHAnsi" w:cs="Arial"/>
        </w:rPr>
        <w:t xml:space="preserve">the range of facility types and systems that can be implicated in </w:t>
      </w:r>
      <w:r w:rsidR="00FA31CF" w:rsidRPr="009E1766">
        <w:rPr>
          <w:rFonts w:asciiTheme="majorHAnsi" w:hAnsiTheme="majorHAnsi" w:cs="Arial"/>
        </w:rPr>
        <w:t>LD outbreaks. The</w:t>
      </w:r>
      <w:r w:rsidR="005444A0" w:rsidRPr="009E1766">
        <w:rPr>
          <w:rFonts w:asciiTheme="majorHAnsi" w:hAnsiTheme="majorHAnsi" w:cs="Arial"/>
        </w:rPr>
        <w:t xml:space="preserve"> topics </w:t>
      </w:r>
      <w:r w:rsidR="00FA31CF" w:rsidRPr="009E1766">
        <w:rPr>
          <w:rFonts w:asciiTheme="majorHAnsi" w:hAnsiTheme="majorHAnsi" w:cs="Arial"/>
        </w:rPr>
        <w:t xml:space="preserve">include, but are not limited </w:t>
      </w:r>
      <w:r w:rsidR="006628A3" w:rsidRPr="009E1766">
        <w:rPr>
          <w:rFonts w:asciiTheme="majorHAnsi" w:hAnsiTheme="majorHAnsi" w:cs="Arial"/>
        </w:rPr>
        <w:t>to</w:t>
      </w:r>
      <w:r w:rsidR="00FA31CF" w:rsidRPr="009E1766">
        <w:rPr>
          <w:rFonts w:asciiTheme="majorHAnsi" w:hAnsiTheme="majorHAnsi" w:cs="Arial"/>
        </w:rPr>
        <w:t xml:space="preserve"> buil</w:t>
      </w:r>
      <w:r w:rsidR="008A2312" w:rsidRPr="009E1766">
        <w:rPr>
          <w:rFonts w:asciiTheme="majorHAnsi" w:hAnsiTheme="majorHAnsi" w:cs="Arial"/>
        </w:rPr>
        <w:t>ding, plumbing, and HVAC</w:t>
      </w:r>
      <w:r w:rsidR="000529FE" w:rsidRPr="009E1766">
        <w:rPr>
          <w:rFonts w:asciiTheme="majorHAnsi" w:hAnsiTheme="majorHAnsi" w:cs="Arial"/>
        </w:rPr>
        <w:t xml:space="preserve">; </w:t>
      </w:r>
      <w:r w:rsidR="009A50D2" w:rsidRPr="009E1766">
        <w:rPr>
          <w:rFonts w:asciiTheme="majorHAnsi" w:hAnsiTheme="majorHAnsi" w:cs="Arial"/>
        </w:rPr>
        <w:t xml:space="preserve">commercial and multi-unit </w:t>
      </w:r>
      <w:r w:rsidR="005444A0" w:rsidRPr="009E1766">
        <w:rPr>
          <w:rFonts w:asciiTheme="majorHAnsi" w:hAnsiTheme="majorHAnsi" w:cs="Arial"/>
        </w:rPr>
        <w:t>dwelling</w:t>
      </w:r>
      <w:r w:rsidR="000529FE" w:rsidRPr="009E1766">
        <w:rPr>
          <w:rFonts w:asciiTheme="majorHAnsi" w:hAnsiTheme="majorHAnsi" w:cs="Arial"/>
        </w:rPr>
        <w:t>s</w:t>
      </w:r>
      <w:r w:rsidR="005444A0" w:rsidRPr="009E1766">
        <w:rPr>
          <w:rFonts w:asciiTheme="majorHAnsi" w:hAnsiTheme="majorHAnsi" w:cs="Arial"/>
        </w:rPr>
        <w:t xml:space="preserve">; </w:t>
      </w:r>
      <w:r w:rsidR="000529FE" w:rsidRPr="009E1766">
        <w:rPr>
          <w:rFonts w:asciiTheme="majorHAnsi" w:hAnsiTheme="majorHAnsi" w:cs="Arial"/>
        </w:rPr>
        <w:t>pools and recreational water features; hospitals and health care facilities</w:t>
      </w:r>
      <w:r w:rsidR="006409D1">
        <w:rPr>
          <w:rFonts w:asciiTheme="majorHAnsi" w:hAnsiTheme="majorHAnsi" w:cs="Arial"/>
        </w:rPr>
        <w:t>; and occupational and labor</w:t>
      </w:r>
      <w:r w:rsidR="00975EA2" w:rsidRPr="009E1766">
        <w:rPr>
          <w:rFonts w:asciiTheme="majorHAnsi" w:hAnsiTheme="majorHAnsi" w:cs="Arial"/>
        </w:rPr>
        <w:t>.</w:t>
      </w:r>
      <w:r w:rsidR="002A6C55">
        <w:rPr>
          <w:rFonts w:asciiTheme="majorHAnsi" w:hAnsiTheme="majorHAnsi" w:cs="Arial"/>
        </w:rPr>
        <w:t xml:space="preserve"> </w:t>
      </w:r>
      <w:r w:rsidR="00A57197">
        <w:rPr>
          <w:rFonts w:asciiTheme="majorHAnsi" w:hAnsiTheme="majorHAnsi" w:cs="Arial"/>
        </w:rPr>
        <w:t xml:space="preserve">Responsibility for enforcing these various laws </w:t>
      </w:r>
      <w:r w:rsidR="00CF7903">
        <w:rPr>
          <w:rFonts w:asciiTheme="majorHAnsi" w:hAnsiTheme="majorHAnsi" w:cs="Arial"/>
        </w:rPr>
        <w:t>can reside in other agencies</w:t>
      </w:r>
      <w:r w:rsidR="00F10E8D">
        <w:rPr>
          <w:rFonts w:asciiTheme="majorHAnsi" w:hAnsiTheme="majorHAnsi" w:cs="Arial"/>
        </w:rPr>
        <w:t>/divisions</w:t>
      </w:r>
      <w:r w:rsidR="00706F0B">
        <w:rPr>
          <w:rFonts w:asciiTheme="majorHAnsi" w:hAnsiTheme="majorHAnsi" w:cs="Arial"/>
        </w:rPr>
        <w:t xml:space="preserve"> in addition to </w:t>
      </w:r>
      <w:r w:rsidR="00654439">
        <w:rPr>
          <w:rFonts w:asciiTheme="majorHAnsi" w:hAnsiTheme="majorHAnsi" w:cs="Arial"/>
        </w:rPr>
        <w:t xml:space="preserve">public </w:t>
      </w:r>
      <w:r w:rsidR="00706F0B">
        <w:rPr>
          <w:rFonts w:asciiTheme="majorHAnsi" w:hAnsiTheme="majorHAnsi" w:cs="Arial"/>
        </w:rPr>
        <w:t xml:space="preserve">health </w:t>
      </w:r>
      <w:r w:rsidR="00654439">
        <w:rPr>
          <w:rFonts w:asciiTheme="majorHAnsi" w:hAnsiTheme="majorHAnsi" w:cs="Arial"/>
        </w:rPr>
        <w:t>agencies/d</w:t>
      </w:r>
      <w:r w:rsidR="007A7D42">
        <w:rPr>
          <w:rFonts w:asciiTheme="majorHAnsi" w:hAnsiTheme="majorHAnsi" w:cs="Arial"/>
        </w:rPr>
        <w:t>ivisions</w:t>
      </w:r>
      <w:r w:rsidR="00CF7903">
        <w:rPr>
          <w:rFonts w:asciiTheme="majorHAnsi" w:hAnsiTheme="majorHAnsi" w:cs="Arial"/>
        </w:rPr>
        <w:t>, such as health</w:t>
      </w:r>
      <w:r w:rsidR="00BE5C67">
        <w:rPr>
          <w:rFonts w:asciiTheme="majorHAnsi" w:hAnsiTheme="majorHAnsi" w:cs="Arial"/>
        </w:rPr>
        <w:t>care licensing</w:t>
      </w:r>
      <w:r w:rsidR="00F10E8D">
        <w:rPr>
          <w:rFonts w:asciiTheme="majorHAnsi" w:hAnsiTheme="majorHAnsi" w:cs="Arial"/>
        </w:rPr>
        <w:t xml:space="preserve">, </w:t>
      </w:r>
      <w:r w:rsidR="00BE5C67">
        <w:rPr>
          <w:rFonts w:asciiTheme="majorHAnsi" w:hAnsiTheme="majorHAnsi" w:cs="Arial"/>
        </w:rPr>
        <w:t xml:space="preserve">housing, </w:t>
      </w:r>
      <w:r w:rsidR="00706F0B">
        <w:rPr>
          <w:rFonts w:asciiTheme="majorHAnsi" w:hAnsiTheme="majorHAnsi" w:cs="Arial"/>
        </w:rPr>
        <w:t xml:space="preserve">and </w:t>
      </w:r>
      <w:r w:rsidR="00BE5C67">
        <w:rPr>
          <w:rFonts w:asciiTheme="majorHAnsi" w:hAnsiTheme="majorHAnsi" w:cs="Arial"/>
        </w:rPr>
        <w:t>building</w:t>
      </w:r>
      <w:r w:rsidR="00654439">
        <w:rPr>
          <w:rFonts w:asciiTheme="majorHAnsi" w:hAnsiTheme="majorHAnsi" w:cs="Arial"/>
        </w:rPr>
        <w:t xml:space="preserve"> code enforcement.</w:t>
      </w:r>
      <w:r w:rsidR="006858B4">
        <w:rPr>
          <w:rFonts w:asciiTheme="majorHAnsi" w:hAnsiTheme="majorHAnsi" w:cs="Arial"/>
        </w:rPr>
        <w:t xml:space="preserve"> </w:t>
      </w:r>
      <w:r w:rsidR="00C407D9">
        <w:rPr>
          <w:rFonts w:asciiTheme="majorHAnsi" w:hAnsiTheme="majorHAnsi" w:cs="Arial"/>
        </w:rPr>
        <w:t xml:space="preserve">These specific types of laws </w:t>
      </w:r>
      <w:r w:rsidR="001E10DA">
        <w:rPr>
          <w:rFonts w:asciiTheme="majorHAnsi" w:hAnsiTheme="majorHAnsi" w:cs="Arial"/>
        </w:rPr>
        <w:t xml:space="preserve">are also addressed in the </w:t>
      </w:r>
      <w:r w:rsidR="00384E76">
        <w:rPr>
          <w:rFonts w:asciiTheme="majorHAnsi" w:hAnsiTheme="majorHAnsi" w:cs="Arial"/>
        </w:rPr>
        <w:t>setting-specific modules in the toolkit.</w:t>
      </w:r>
    </w:p>
    <w:p w14:paraId="7ABDD307" w14:textId="77777777" w:rsidR="00B75B7F" w:rsidRDefault="00B75B7F"/>
    <w:sectPr w:rsidR="00B75B7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784889" w14:textId="77777777" w:rsidR="00055DF4" w:rsidRDefault="00055DF4" w:rsidP="00055DF4">
      <w:r>
        <w:separator/>
      </w:r>
    </w:p>
  </w:endnote>
  <w:endnote w:type="continuationSeparator" w:id="0">
    <w:p w14:paraId="4E674265" w14:textId="77777777" w:rsidR="00055DF4" w:rsidRDefault="00055DF4" w:rsidP="00055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168257"/>
      <w:docPartObj>
        <w:docPartGallery w:val="Page Numbers (Bottom of Page)"/>
        <w:docPartUnique/>
      </w:docPartObj>
    </w:sdtPr>
    <w:sdtEndPr>
      <w:rPr>
        <w:rFonts w:asciiTheme="majorHAnsi" w:hAnsiTheme="majorHAnsi"/>
        <w:noProof/>
      </w:rPr>
    </w:sdtEndPr>
    <w:sdtContent>
      <w:p w14:paraId="4F2FA0FC" w14:textId="6D0AE579" w:rsidR="00FA1F7C" w:rsidRPr="00FA1F7C" w:rsidRDefault="00FA1F7C" w:rsidP="00FA1F7C">
        <w:pPr>
          <w:pStyle w:val="Footer"/>
          <w:jc w:val="center"/>
          <w:rPr>
            <w:rFonts w:asciiTheme="majorHAnsi" w:hAnsiTheme="majorHAnsi"/>
          </w:rPr>
        </w:pPr>
        <w:r w:rsidRPr="00FA1F7C">
          <w:rPr>
            <w:rFonts w:asciiTheme="majorHAnsi" w:hAnsiTheme="majorHAnsi"/>
          </w:rPr>
          <w:fldChar w:fldCharType="begin"/>
        </w:r>
        <w:r w:rsidRPr="00FA1F7C">
          <w:rPr>
            <w:rFonts w:asciiTheme="majorHAnsi" w:hAnsiTheme="majorHAnsi"/>
          </w:rPr>
          <w:instrText xml:space="preserve"> PAGE   \* MERGEFORMAT </w:instrText>
        </w:r>
        <w:r w:rsidRPr="00FA1F7C">
          <w:rPr>
            <w:rFonts w:asciiTheme="majorHAnsi" w:hAnsiTheme="majorHAnsi"/>
          </w:rPr>
          <w:fldChar w:fldCharType="separate"/>
        </w:r>
        <w:r w:rsidRPr="00FA1F7C">
          <w:rPr>
            <w:rFonts w:asciiTheme="majorHAnsi" w:hAnsiTheme="majorHAnsi"/>
            <w:noProof/>
          </w:rPr>
          <w:t>2</w:t>
        </w:r>
        <w:r w:rsidRPr="00FA1F7C">
          <w:rPr>
            <w:rFonts w:asciiTheme="majorHAnsi" w:hAnsi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44431D" w14:textId="77777777" w:rsidR="00055DF4" w:rsidRDefault="00055DF4" w:rsidP="00055DF4">
      <w:r>
        <w:separator/>
      </w:r>
    </w:p>
  </w:footnote>
  <w:footnote w:type="continuationSeparator" w:id="0">
    <w:p w14:paraId="769CB8DC" w14:textId="77777777" w:rsidR="00055DF4" w:rsidRDefault="00055DF4" w:rsidP="00055DF4">
      <w:r>
        <w:continuationSeparator/>
      </w:r>
    </w:p>
  </w:footnote>
  <w:footnote w:id="1">
    <w:p w14:paraId="3D2909C4" w14:textId="06F8F00E" w:rsidR="00D21DCF" w:rsidRPr="00B0311C" w:rsidRDefault="00B0311C" w:rsidP="00B0311C">
      <w:pPr>
        <w:tabs>
          <w:tab w:val="left" w:pos="686"/>
        </w:tabs>
        <w:rPr>
          <w:rFonts w:ascii="Calibri Light" w:hAnsi="Calibri Light" w:cs="Calibri Light"/>
          <w:b/>
          <w:bCs/>
          <w:sz w:val="20"/>
          <w:szCs w:val="20"/>
        </w:rPr>
      </w:pPr>
      <w:r>
        <w:rPr>
          <w:rFonts w:ascii="Calibri Light" w:hAnsi="Calibri Light" w:cs="Calibri Light"/>
          <w:b/>
          <w:bCs/>
          <w:sz w:val="20"/>
          <w:szCs w:val="20"/>
          <w:highlight w:val="yellow"/>
        </w:rPr>
        <w:t>Footnotes will be streamlined and edited to style guide once text is finalized</w:t>
      </w:r>
    </w:p>
    <w:p w14:paraId="72CAAE36" w14:textId="7218D179" w:rsidR="00055DF4" w:rsidRPr="00414A5E" w:rsidRDefault="00055DF4" w:rsidP="00055DF4">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Holt, JD, et al. (2018) Legal Considerations. In Rasmussen SA and Goodman RA. The CDC Field Epidemiology Manual. New York: Oxford University Press, 2019. CDC. Retrieved from </w:t>
      </w:r>
      <w:hyperlink r:id="rId1" w:history="1">
        <w:r w:rsidRPr="00414A5E">
          <w:rPr>
            <w:rStyle w:val="Hyperlink"/>
            <w:rFonts w:asciiTheme="majorHAnsi" w:hAnsiTheme="majorHAnsi" w:cstheme="majorHAnsi"/>
          </w:rPr>
          <w:t>https://www.cdc.gov/eis/field-epi-manual/chapters/Legal.html</w:t>
        </w:r>
      </w:hyperlink>
      <w:r w:rsidRPr="00414A5E">
        <w:rPr>
          <w:rFonts w:asciiTheme="majorHAnsi" w:hAnsiTheme="majorHAnsi" w:cstheme="majorHAnsi"/>
        </w:rPr>
        <w:t xml:space="preserve">. Accessed August </w:t>
      </w:r>
      <w:r w:rsidR="00D21DCF">
        <w:rPr>
          <w:rFonts w:asciiTheme="majorHAnsi" w:hAnsiTheme="majorHAnsi" w:cstheme="majorHAnsi"/>
        </w:rPr>
        <w:t>27</w:t>
      </w:r>
      <w:r w:rsidRPr="00414A5E">
        <w:rPr>
          <w:rFonts w:asciiTheme="majorHAnsi" w:hAnsiTheme="majorHAnsi" w:cstheme="majorHAnsi"/>
        </w:rPr>
        <w:t>, 2020.</w:t>
      </w:r>
    </w:p>
  </w:footnote>
  <w:footnote w:id="2">
    <w:p w14:paraId="648A450D" w14:textId="713AA6AB" w:rsidR="00055DF4" w:rsidRPr="00414A5E" w:rsidRDefault="00055DF4" w:rsidP="00055DF4">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Tribal Public Health. Tribal Public Health Law Resources. Webpage last reviewed by CDC March 2, 2017. Retrieved from </w:t>
      </w:r>
      <w:hyperlink r:id="rId2" w:history="1">
        <w:r w:rsidRPr="00414A5E">
          <w:rPr>
            <w:rStyle w:val="Hyperlink"/>
            <w:rFonts w:asciiTheme="majorHAnsi" w:hAnsiTheme="majorHAnsi" w:cstheme="majorHAnsi"/>
          </w:rPr>
          <w:t>https://www.cdc.gov/phlp/publications/topic/tribal.html</w:t>
        </w:r>
      </w:hyperlink>
      <w:r w:rsidRPr="00414A5E">
        <w:rPr>
          <w:rFonts w:asciiTheme="majorHAnsi" w:hAnsiTheme="majorHAnsi" w:cstheme="majorHAnsi"/>
        </w:rPr>
        <w:t xml:space="preserve">. Accessed August </w:t>
      </w:r>
      <w:r w:rsidR="00D21DCF">
        <w:rPr>
          <w:rFonts w:asciiTheme="majorHAnsi" w:hAnsiTheme="majorHAnsi" w:cstheme="majorHAnsi"/>
        </w:rPr>
        <w:t>27</w:t>
      </w:r>
      <w:r w:rsidRPr="00414A5E">
        <w:rPr>
          <w:rFonts w:asciiTheme="majorHAnsi" w:hAnsiTheme="majorHAnsi" w:cstheme="majorHAnsi"/>
        </w:rPr>
        <w:t xml:space="preserve">, 2020. </w:t>
      </w:r>
    </w:p>
  </w:footnote>
  <w:footnote w:id="3">
    <w:p w14:paraId="2787F23E" w14:textId="77777777" w:rsidR="00055DF4" w:rsidRPr="00414A5E" w:rsidRDefault="00055DF4" w:rsidP="00055DF4">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U.S. Const. art. IV, § 3, cl. 2.</w:t>
      </w:r>
    </w:p>
  </w:footnote>
  <w:footnote w:id="4">
    <w:p w14:paraId="25650B4B" w14:textId="77777777" w:rsidR="00055DF4" w:rsidRPr="00414A5E" w:rsidRDefault="00055DF4" w:rsidP="00055DF4">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Jacobson v. Massachusetts, 197 US 11; 25 S. Ct. 358 (1905).</w:t>
      </w:r>
    </w:p>
  </w:footnote>
  <w:footnote w:id="5">
    <w:p w14:paraId="31744A54" w14:textId="3297220B" w:rsidR="00E61ABC" w:rsidRPr="00414A5E" w:rsidRDefault="00E61ABC" w:rsidP="00E61ABC">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CSTE. Position Statement 19-ID-04. June 6, 2019. Revision to the Case Definition for National Legionellosis Surveillance. Retrieved from </w:t>
      </w:r>
      <w:hyperlink r:id="rId3" w:history="1">
        <w:r w:rsidRPr="00414A5E">
          <w:rPr>
            <w:rStyle w:val="Hyperlink"/>
            <w:rFonts w:asciiTheme="majorHAnsi" w:hAnsiTheme="majorHAnsi" w:cstheme="majorHAnsi"/>
          </w:rPr>
          <w:t>https://cdn.ymaws.com/www.cste.org/resource/resmgr/2019ps/final/19-ID-04_Legionellosis_final.pdf</w:t>
        </w:r>
      </w:hyperlink>
      <w:r w:rsidRPr="00414A5E">
        <w:rPr>
          <w:rFonts w:asciiTheme="majorHAnsi" w:hAnsiTheme="majorHAnsi" w:cstheme="majorHAnsi"/>
        </w:rPr>
        <w:t xml:space="preserve">. Accessed </w:t>
      </w:r>
      <w:r>
        <w:rPr>
          <w:rFonts w:asciiTheme="majorHAnsi" w:hAnsiTheme="majorHAnsi" w:cstheme="majorHAnsi"/>
        </w:rPr>
        <w:t xml:space="preserve">August </w:t>
      </w:r>
      <w:r w:rsidR="00114B75">
        <w:rPr>
          <w:rFonts w:asciiTheme="majorHAnsi" w:hAnsiTheme="majorHAnsi" w:cstheme="majorHAnsi"/>
        </w:rPr>
        <w:t>2</w:t>
      </w:r>
      <w:r>
        <w:rPr>
          <w:rFonts w:asciiTheme="majorHAnsi" w:hAnsiTheme="majorHAnsi" w:cstheme="majorHAnsi"/>
        </w:rPr>
        <w:t>7</w:t>
      </w:r>
      <w:r w:rsidRPr="00414A5E">
        <w:rPr>
          <w:rFonts w:asciiTheme="majorHAnsi" w:hAnsiTheme="majorHAnsi" w:cstheme="majorHAnsi"/>
        </w:rPr>
        <w:t>, 2020.</w:t>
      </w:r>
      <w:r>
        <w:rPr>
          <w:rFonts w:asciiTheme="majorHAnsi" w:hAnsiTheme="majorHAnsi" w:cstheme="majorHAnsi"/>
        </w:rPr>
        <w:t xml:space="preserve"> </w:t>
      </w:r>
      <w:r w:rsidRPr="00414A5E">
        <w:rPr>
          <w:rFonts w:asciiTheme="majorHAnsi" w:hAnsiTheme="majorHAnsi" w:cstheme="majorHAnsi"/>
          <w:i/>
          <w:iCs/>
        </w:rPr>
        <w:t>For prior position statement,</w:t>
      </w:r>
      <w:r w:rsidRPr="00414A5E">
        <w:rPr>
          <w:rFonts w:asciiTheme="majorHAnsi" w:hAnsiTheme="majorHAnsi" w:cstheme="majorHAnsi"/>
        </w:rPr>
        <w:t xml:space="preserve"> s</w:t>
      </w:r>
      <w:r w:rsidRPr="00414A5E">
        <w:rPr>
          <w:rFonts w:asciiTheme="majorHAnsi" w:hAnsiTheme="majorHAnsi" w:cstheme="majorHAnsi"/>
          <w:i/>
          <w:iCs/>
        </w:rPr>
        <w:t xml:space="preserve">ee </w:t>
      </w:r>
      <w:r w:rsidRPr="00414A5E">
        <w:rPr>
          <w:rFonts w:asciiTheme="majorHAnsi" w:hAnsiTheme="majorHAnsi" w:cstheme="majorHAnsi"/>
        </w:rPr>
        <w:t xml:space="preserve">CSTE. Position Statement 09-ID-45. Public Health Reporting and National Notification for Legionellosis. June 22, 2010. Retrieved from </w:t>
      </w:r>
      <w:hyperlink r:id="rId4" w:history="1">
        <w:r w:rsidRPr="00414A5E">
          <w:rPr>
            <w:rStyle w:val="Hyperlink"/>
            <w:rFonts w:asciiTheme="majorHAnsi" w:hAnsiTheme="majorHAnsi" w:cstheme="majorHAnsi"/>
          </w:rPr>
          <w:t>https://cdn.ymaws.com/www.cste.org/resource/resmgr/PS/09-ID-45.pdf</w:t>
        </w:r>
      </w:hyperlink>
      <w:r w:rsidRPr="00414A5E">
        <w:rPr>
          <w:rFonts w:asciiTheme="majorHAnsi" w:hAnsiTheme="majorHAnsi" w:cstheme="majorHAnsi"/>
        </w:rPr>
        <w:t xml:space="preserve">. Accessed </w:t>
      </w:r>
      <w:r>
        <w:rPr>
          <w:rFonts w:asciiTheme="majorHAnsi" w:hAnsiTheme="majorHAnsi" w:cstheme="majorHAnsi"/>
        </w:rPr>
        <w:t xml:space="preserve">August </w:t>
      </w:r>
      <w:r w:rsidR="00114B75">
        <w:rPr>
          <w:rFonts w:asciiTheme="majorHAnsi" w:hAnsiTheme="majorHAnsi" w:cstheme="majorHAnsi"/>
        </w:rPr>
        <w:t>2</w:t>
      </w:r>
      <w:r>
        <w:rPr>
          <w:rFonts w:asciiTheme="majorHAnsi" w:hAnsiTheme="majorHAnsi" w:cstheme="majorHAnsi"/>
        </w:rPr>
        <w:t>7</w:t>
      </w:r>
      <w:r w:rsidRPr="00414A5E">
        <w:rPr>
          <w:rFonts w:asciiTheme="majorHAnsi" w:hAnsiTheme="majorHAnsi" w:cstheme="majorHAnsi"/>
        </w:rPr>
        <w:t>, 2020.</w:t>
      </w:r>
    </w:p>
  </w:footnote>
  <w:footnote w:id="6">
    <w:p w14:paraId="55544FBB" w14:textId="3DAD7F57" w:rsidR="00E61ABC" w:rsidRPr="00414A5E" w:rsidRDefault="00E61ABC" w:rsidP="00E61ABC">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How to Report Cases. Webpage last updated by CDC April 30, 2018. Retrieved from </w:t>
      </w:r>
      <w:hyperlink r:id="rId5" w:history="1">
        <w:r w:rsidRPr="00414A5E">
          <w:rPr>
            <w:rStyle w:val="Hyperlink"/>
            <w:rFonts w:asciiTheme="majorHAnsi" w:hAnsiTheme="majorHAnsi" w:cstheme="majorHAnsi"/>
          </w:rPr>
          <w:t>https://www.cdc.gov/legionella/health-depts/surv-reporting/report-cases.html</w:t>
        </w:r>
      </w:hyperlink>
      <w:r w:rsidRPr="00414A5E">
        <w:rPr>
          <w:rFonts w:asciiTheme="majorHAnsi" w:hAnsiTheme="majorHAnsi" w:cstheme="majorHAnsi"/>
        </w:rPr>
        <w:t xml:space="preserve">. Accessed </w:t>
      </w:r>
      <w:r>
        <w:rPr>
          <w:rFonts w:asciiTheme="majorHAnsi" w:hAnsiTheme="majorHAnsi" w:cstheme="majorHAnsi"/>
        </w:rPr>
        <w:t xml:space="preserve">August </w:t>
      </w:r>
      <w:r w:rsidR="00114B75">
        <w:rPr>
          <w:rFonts w:asciiTheme="majorHAnsi" w:hAnsiTheme="majorHAnsi" w:cstheme="majorHAnsi"/>
        </w:rPr>
        <w:t>2</w:t>
      </w:r>
      <w:r>
        <w:rPr>
          <w:rFonts w:asciiTheme="majorHAnsi" w:hAnsiTheme="majorHAnsi" w:cstheme="majorHAnsi"/>
        </w:rPr>
        <w:t>7</w:t>
      </w:r>
      <w:r w:rsidRPr="00414A5E">
        <w:rPr>
          <w:rFonts w:asciiTheme="majorHAnsi" w:hAnsiTheme="majorHAnsi" w:cstheme="majorHAnsi"/>
        </w:rPr>
        <w:t>,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958E4" w14:textId="131AA21B" w:rsidR="00FA1F7C" w:rsidRDefault="00FA1F7C" w:rsidP="00FA1F7C">
    <w:pPr>
      <w:pStyle w:val="Header"/>
      <w:jc w:val="center"/>
    </w:pPr>
    <w:r>
      <w:rPr>
        <w:highlight w:val="yellow"/>
      </w:rPr>
      <w:t xml:space="preserve">DRAFT 1 – </w:t>
    </w:r>
    <w:r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E21D00"/>
    <w:multiLevelType w:val="hybridMultilevel"/>
    <w:tmpl w:val="5AE0B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0052E9"/>
    <w:multiLevelType w:val="hybridMultilevel"/>
    <w:tmpl w:val="17EE5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56A7CA7"/>
    <w:multiLevelType w:val="hybridMultilevel"/>
    <w:tmpl w:val="9336E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DF4"/>
    <w:rsid w:val="00022170"/>
    <w:rsid w:val="00044328"/>
    <w:rsid w:val="000529FE"/>
    <w:rsid w:val="00055DF4"/>
    <w:rsid w:val="0006030F"/>
    <w:rsid w:val="00070759"/>
    <w:rsid w:val="00083A5F"/>
    <w:rsid w:val="000D28F0"/>
    <w:rsid w:val="00103F52"/>
    <w:rsid w:val="00114B75"/>
    <w:rsid w:val="00151278"/>
    <w:rsid w:val="00162882"/>
    <w:rsid w:val="00176DFD"/>
    <w:rsid w:val="00193D3B"/>
    <w:rsid w:val="001A3AB0"/>
    <w:rsid w:val="001D7AA6"/>
    <w:rsid w:val="001E10DA"/>
    <w:rsid w:val="0021271C"/>
    <w:rsid w:val="002268BE"/>
    <w:rsid w:val="002424DF"/>
    <w:rsid w:val="00247085"/>
    <w:rsid w:val="002516F8"/>
    <w:rsid w:val="00265258"/>
    <w:rsid w:val="0027499A"/>
    <w:rsid w:val="0027672F"/>
    <w:rsid w:val="002A6C55"/>
    <w:rsid w:val="002B665E"/>
    <w:rsid w:val="002C09C7"/>
    <w:rsid w:val="002D1E75"/>
    <w:rsid w:val="002D3AD3"/>
    <w:rsid w:val="002D5224"/>
    <w:rsid w:val="00321FCC"/>
    <w:rsid w:val="0032300A"/>
    <w:rsid w:val="00325F8F"/>
    <w:rsid w:val="00342391"/>
    <w:rsid w:val="00376711"/>
    <w:rsid w:val="00384E76"/>
    <w:rsid w:val="003B18B6"/>
    <w:rsid w:val="003B3AC8"/>
    <w:rsid w:val="003B5E00"/>
    <w:rsid w:val="00406464"/>
    <w:rsid w:val="004164A0"/>
    <w:rsid w:val="00445362"/>
    <w:rsid w:val="00461A71"/>
    <w:rsid w:val="00476446"/>
    <w:rsid w:val="004A7E3D"/>
    <w:rsid w:val="004B027B"/>
    <w:rsid w:val="004C0CEC"/>
    <w:rsid w:val="004D642E"/>
    <w:rsid w:val="005444A0"/>
    <w:rsid w:val="00550846"/>
    <w:rsid w:val="00552891"/>
    <w:rsid w:val="00560DC0"/>
    <w:rsid w:val="005761B7"/>
    <w:rsid w:val="00583D90"/>
    <w:rsid w:val="005C44FA"/>
    <w:rsid w:val="006217C7"/>
    <w:rsid w:val="00625ADB"/>
    <w:rsid w:val="006305A1"/>
    <w:rsid w:val="006352FB"/>
    <w:rsid w:val="006409D1"/>
    <w:rsid w:val="00654439"/>
    <w:rsid w:val="00654B85"/>
    <w:rsid w:val="006628A3"/>
    <w:rsid w:val="006733AF"/>
    <w:rsid w:val="006858B4"/>
    <w:rsid w:val="006E7C25"/>
    <w:rsid w:val="007066C5"/>
    <w:rsid w:val="00706F0B"/>
    <w:rsid w:val="00724A3D"/>
    <w:rsid w:val="0075553E"/>
    <w:rsid w:val="007644CD"/>
    <w:rsid w:val="00780337"/>
    <w:rsid w:val="007A7D42"/>
    <w:rsid w:val="00845EA3"/>
    <w:rsid w:val="00890EC6"/>
    <w:rsid w:val="008A2312"/>
    <w:rsid w:val="008B7E7B"/>
    <w:rsid w:val="008D444B"/>
    <w:rsid w:val="008E2026"/>
    <w:rsid w:val="008F24C2"/>
    <w:rsid w:val="008F5155"/>
    <w:rsid w:val="009252AC"/>
    <w:rsid w:val="00975EA2"/>
    <w:rsid w:val="00981328"/>
    <w:rsid w:val="009A50D2"/>
    <w:rsid w:val="009A6507"/>
    <w:rsid w:val="009C5F1E"/>
    <w:rsid w:val="009D1BD3"/>
    <w:rsid w:val="009E1766"/>
    <w:rsid w:val="00A10D23"/>
    <w:rsid w:val="00A254C7"/>
    <w:rsid w:val="00A34839"/>
    <w:rsid w:val="00A57197"/>
    <w:rsid w:val="00A97D5B"/>
    <w:rsid w:val="00AB31A4"/>
    <w:rsid w:val="00AB74A6"/>
    <w:rsid w:val="00B0311C"/>
    <w:rsid w:val="00B04324"/>
    <w:rsid w:val="00B134FA"/>
    <w:rsid w:val="00B17E63"/>
    <w:rsid w:val="00B4311C"/>
    <w:rsid w:val="00B451E3"/>
    <w:rsid w:val="00B75B7F"/>
    <w:rsid w:val="00BA3CB6"/>
    <w:rsid w:val="00BD6BF8"/>
    <w:rsid w:val="00BD77C7"/>
    <w:rsid w:val="00BE5C67"/>
    <w:rsid w:val="00BF5112"/>
    <w:rsid w:val="00C007B4"/>
    <w:rsid w:val="00C20895"/>
    <w:rsid w:val="00C35B5D"/>
    <w:rsid w:val="00C407D9"/>
    <w:rsid w:val="00C47DD7"/>
    <w:rsid w:val="00C8422C"/>
    <w:rsid w:val="00CB301D"/>
    <w:rsid w:val="00CD5E26"/>
    <w:rsid w:val="00CE5261"/>
    <w:rsid w:val="00CF7903"/>
    <w:rsid w:val="00D020E4"/>
    <w:rsid w:val="00D07BC9"/>
    <w:rsid w:val="00D1049F"/>
    <w:rsid w:val="00D21DCF"/>
    <w:rsid w:val="00D37CE0"/>
    <w:rsid w:val="00D41D64"/>
    <w:rsid w:val="00D67A64"/>
    <w:rsid w:val="00D766FB"/>
    <w:rsid w:val="00DD3CF7"/>
    <w:rsid w:val="00DE4499"/>
    <w:rsid w:val="00DF2451"/>
    <w:rsid w:val="00DF70F9"/>
    <w:rsid w:val="00E07D19"/>
    <w:rsid w:val="00E210CA"/>
    <w:rsid w:val="00E21C13"/>
    <w:rsid w:val="00E61ABC"/>
    <w:rsid w:val="00E773D8"/>
    <w:rsid w:val="00E92AD9"/>
    <w:rsid w:val="00EC1F3C"/>
    <w:rsid w:val="00EC2FD3"/>
    <w:rsid w:val="00F10E8D"/>
    <w:rsid w:val="00F25A46"/>
    <w:rsid w:val="00F3349A"/>
    <w:rsid w:val="00F47790"/>
    <w:rsid w:val="00FA1F7C"/>
    <w:rsid w:val="00FA31CF"/>
    <w:rsid w:val="00FC6F00"/>
    <w:rsid w:val="00FD595B"/>
    <w:rsid w:val="00FD73C2"/>
    <w:rsid w:val="00FE447C"/>
    <w:rsid w:val="00FE6966"/>
    <w:rsid w:val="00FF3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761F953B"/>
  <w15:chartTrackingRefBased/>
  <w15:docId w15:val="{C6D4FB8D-AA09-4E36-B500-FC0A7D793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DF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055DF4"/>
    <w:pPr>
      <w:ind w:left="720"/>
      <w:contextualSpacing/>
    </w:pPr>
  </w:style>
  <w:style w:type="paragraph" w:styleId="FootnoteText">
    <w:name w:val="footnote text"/>
    <w:basedOn w:val="Normal"/>
    <w:link w:val="FootnoteTextChar"/>
    <w:uiPriority w:val="99"/>
    <w:unhideWhenUsed/>
    <w:rsid w:val="00055DF4"/>
    <w:rPr>
      <w:sz w:val="20"/>
      <w:szCs w:val="20"/>
    </w:rPr>
  </w:style>
  <w:style w:type="character" w:customStyle="1" w:styleId="FootnoteTextChar">
    <w:name w:val="Footnote Text Char"/>
    <w:basedOn w:val="DefaultParagraphFont"/>
    <w:link w:val="FootnoteText"/>
    <w:uiPriority w:val="99"/>
    <w:rsid w:val="00055DF4"/>
    <w:rPr>
      <w:sz w:val="20"/>
      <w:szCs w:val="20"/>
    </w:rPr>
  </w:style>
  <w:style w:type="character" w:styleId="FootnoteReference">
    <w:name w:val="footnote reference"/>
    <w:basedOn w:val="DefaultParagraphFont"/>
    <w:uiPriority w:val="99"/>
    <w:semiHidden/>
    <w:unhideWhenUsed/>
    <w:rsid w:val="00055DF4"/>
    <w:rPr>
      <w:vertAlign w:val="superscript"/>
    </w:rPr>
  </w:style>
  <w:style w:type="character" w:styleId="Hyperlink">
    <w:name w:val="Hyperlink"/>
    <w:basedOn w:val="DefaultParagraphFont"/>
    <w:uiPriority w:val="99"/>
    <w:unhideWhenUsed/>
    <w:rsid w:val="00055DF4"/>
    <w:rPr>
      <w:color w:val="0000FF"/>
      <w:u w:val="single"/>
    </w:rPr>
  </w:style>
  <w:style w:type="paragraph" w:styleId="Header">
    <w:name w:val="header"/>
    <w:basedOn w:val="Normal"/>
    <w:link w:val="HeaderChar"/>
    <w:uiPriority w:val="99"/>
    <w:unhideWhenUsed/>
    <w:rsid w:val="00FA1F7C"/>
    <w:pPr>
      <w:tabs>
        <w:tab w:val="center" w:pos="4680"/>
        <w:tab w:val="right" w:pos="9360"/>
      </w:tabs>
    </w:pPr>
  </w:style>
  <w:style w:type="character" w:customStyle="1" w:styleId="HeaderChar">
    <w:name w:val="Header Char"/>
    <w:basedOn w:val="DefaultParagraphFont"/>
    <w:link w:val="Header"/>
    <w:uiPriority w:val="99"/>
    <w:rsid w:val="00FA1F7C"/>
  </w:style>
  <w:style w:type="paragraph" w:styleId="Footer">
    <w:name w:val="footer"/>
    <w:basedOn w:val="Normal"/>
    <w:link w:val="FooterChar"/>
    <w:uiPriority w:val="99"/>
    <w:unhideWhenUsed/>
    <w:rsid w:val="00FA1F7C"/>
    <w:pPr>
      <w:tabs>
        <w:tab w:val="center" w:pos="4680"/>
        <w:tab w:val="right" w:pos="9360"/>
      </w:tabs>
    </w:pPr>
  </w:style>
  <w:style w:type="character" w:customStyle="1" w:styleId="FooterChar">
    <w:name w:val="Footer Char"/>
    <w:basedOn w:val="DefaultParagraphFont"/>
    <w:link w:val="Footer"/>
    <w:uiPriority w:val="99"/>
    <w:rsid w:val="00FA1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cdn.ymaws.com/www.cste.org/resource/resmgr/2019ps/final/19-ID-04_Legionellosis_final.pdf" TargetMode="External"/><Relationship Id="rId2" Type="http://schemas.openxmlformats.org/officeDocument/2006/relationships/hyperlink" Target="https://www.cdc.gov/phlp/publications/topic/tribal.html" TargetMode="External"/><Relationship Id="rId1" Type="http://schemas.openxmlformats.org/officeDocument/2006/relationships/hyperlink" Target="https://www.cdc.gov/eis/field-epi-manual/chapters/Legal.html" TargetMode="External"/><Relationship Id="rId5" Type="http://schemas.openxmlformats.org/officeDocument/2006/relationships/hyperlink" Target="https://www.cdc.gov/legionella/health-depts/surv-reporting/report-cases.html" TargetMode="External"/><Relationship Id="rId4" Type="http://schemas.openxmlformats.org/officeDocument/2006/relationships/hyperlink" Target="https://cdn.ymaws.com/www.cste.org/resource/resmgr/PS/09-ID-4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3</Pages>
  <Words>761</Words>
  <Characters>4339</Characters>
  <Application>Microsoft Office Word</Application>
  <DocSecurity>0</DocSecurity>
  <Lines>36</Lines>
  <Paragraphs>10</Paragraphs>
  <ScaleCrop>false</ScaleCrop>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149</cp:revision>
  <dcterms:created xsi:type="dcterms:W3CDTF">2020-08-27T01:22:00Z</dcterms:created>
  <dcterms:modified xsi:type="dcterms:W3CDTF">2020-08-27T21:29:00Z</dcterms:modified>
</cp:coreProperties>
</file>