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589F3A" w14:textId="2932069A" w:rsidR="00B75B7F" w:rsidRDefault="00B75B7F"/>
    <w:p w14:paraId="4D363BA2" w14:textId="77777777" w:rsidR="00D757F9" w:rsidRPr="00D757F9" w:rsidRDefault="00D757F9" w:rsidP="00D757F9">
      <w:pPr>
        <w:jc w:val="center"/>
        <w:rPr>
          <w:rFonts w:ascii="Arial" w:eastAsia="Calibri" w:hAnsi="Arial" w:cs="Arial"/>
          <w:b/>
          <w:bCs/>
          <w:sz w:val="32"/>
          <w:szCs w:val="32"/>
        </w:rPr>
      </w:pPr>
    </w:p>
    <w:p w14:paraId="349A86B3" w14:textId="77777777" w:rsidR="00D757F9" w:rsidRPr="00D757F9" w:rsidRDefault="00D757F9" w:rsidP="00D757F9">
      <w:pPr>
        <w:jc w:val="center"/>
        <w:rPr>
          <w:rFonts w:ascii="Arial" w:eastAsia="Calibri" w:hAnsi="Arial" w:cs="Arial"/>
          <w:b/>
          <w:bCs/>
          <w:sz w:val="32"/>
          <w:szCs w:val="32"/>
        </w:rPr>
      </w:pPr>
    </w:p>
    <w:p w14:paraId="272E5A7E" w14:textId="77777777" w:rsidR="00D757F9" w:rsidRPr="00D757F9" w:rsidRDefault="00D757F9" w:rsidP="00D757F9">
      <w:pPr>
        <w:jc w:val="center"/>
        <w:rPr>
          <w:rFonts w:ascii="Arial" w:eastAsia="Calibri" w:hAnsi="Arial" w:cs="Arial"/>
          <w:b/>
          <w:bCs/>
          <w:sz w:val="32"/>
          <w:szCs w:val="32"/>
        </w:rPr>
      </w:pPr>
    </w:p>
    <w:p w14:paraId="385268F8" w14:textId="77777777" w:rsidR="00D757F9" w:rsidRPr="00D757F9" w:rsidRDefault="00D757F9" w:rsidP="00D757F9">
      <w:pPr>
        <w:jc w:val="center"/>
        <w:rPr>
          <w:rFonts w:ascii="Arial" w:eastAsia="Calibri" w:hAnsi="Arial" w:cs="Arial"/>
          <w:b/>
          <w:bCs/>
          <w:sz w:val="32"/>
          <w:szCs w:val="32"/>
        </w:rPr>
      </w:pPr>
    </w:p>
    <w:p w14:paraId="4C91B9BA" w14:textId="77777777" w:rsidR="00D757F9" w:rsidRPr="00D757F9" w:rsidRDefault="00D757F9" w:rsidP="00D757F9">
      <w:pPr>
        <w:jc w:val="center"/>
        <w:rPr>
          <w:rFonts w:ascii="Arial" w:eastAsia="Calibri" w:hAnsi="Arial" w:cs="Arial"/>
          <w:b/>
          <w:bCs/>
          <w:sz w:val="32"/>
          <w:szCs w:val="32"/>
        </w:rPr>
      </w:pPr>
      <w:r w:rsidRPr="00D757F9">
        <w:rPr>
          <w:rFonts w:ascii="Arial" w:eastAsia="Calibri" w:hAnsi="Arial" w:cs="Arial"/>
          <w:b/>
          <w:bCs/>
          <w:sz w:val="32"/>
          <w:szCs w:val="32"/>
        </w:rPr>
        <w:t>Legionnaires’ Disease Risk Communication</w:t>
      </w:r>
    </w:p>
    <w:p w14:paraId="0D8EE0ED" w14:textId="77777777" w:rsidR="00D757F9" w:rsidRPr="00D757F9" w:rsidRDefault="00D757F9" w:rsidP="00D757F9">
      <w:pPr>
        <w:jc w:val="center"/>
        <w:rPr>
          <w:rFonts w:ascii="Arial" w:eastAsia="Calibri" w:hAnsi="Arial" w:cs="Arial"/>
          <w:b/>
          <w:bCs/>
          <w:sz w:val="32"/>
          <w:szCs w:val="32"/>
        </w:rPr>
      </w:pPr>
      <w:r w:rsidRPr="00D757F9">
        <w:rPr>
          <w:rFonts w:ascii="Arial" w:eastAsia="Calibri" w:hAnsi="Arial" w:cs="Arial"/>
          <w:b/>
          <w:bCs/>
          <w:sz w:val="32"/>
          <w:szCs w:val="32"/>
        </w:rPr>
        <w:t>Toolkit</w:t>
      </w:r>
    </w:p>
    <w:p w14:paraId="3D579B18" w14:textId="77777777" w:rsidR="00D757F9" w:rsidRPr="00D757F9" w:rsidRDefault="00D757F9" w:rsidP="00D757F9">
      <w:pPr>
        <w:jc w:val="center"/>
        <w:rPr>
          <w:rFonts w:ascii="Arial" w:eastAsia="Calibri" w:hAnsi="Arial" w:cs="Arial"/>
          <w:sz w:val="28"/>
          <w:szCs w:val="28"/>
        </w:rPr>
      </w:pPr>
    </w:p>
    <w:p w14:paraId="64E5CDFE" w14:textId="77777777" w:rsidR="00D757F9" w:rsidRPr="00D757F9" w:rsidRDefault="00D757F9" w:rsidP="00D757F9">
      <w:pPr>
        <w:jc w:val="center"/>
        <w:rPr>
          <w:rFonts w:ascii="Arial" w:eastAsia="Calibri" w:hAnsi="Arial" w:cs="Arial"/>
          <w:sz w:val="28"/>
          <w:szCs w:val="28"/>
        </w:rPr>
      </w:pPr>
    </w:p>
    <w:p w14:paraId="5F1C8727" w14:textId="77777777" w:rsidR="00D757F9" w:rsidRPr="00D757F9" w:rsidRDefault="00D757F9" w:rsidP="00D757F9">
      <w:pPr>
        <w:jc w:val="center"/>
        <w:rPr>
          <w:rFonts w:ascii="Arial" w:eastAsia="Calibri" w:hAnsi="Arial" w:cs="Arial"/>
          <w:sz w:val="28"/>
          <w:szCs w:val="28"/>
        </w:rPr>
      </w:pPr>
    </w:p>
    <w:p w14:paraId="6479C300" w14:textId="77777777" w:rsidR="00D757F9" w:rsidRPr="00D757F9" w:rsidRDefault="00D757F9" w:rsidP="00D757F9">
      <w:pPr>
        <w:jc w:val="center"/>
        <w:rPr>
          <w:rFonts w:ascii="Arial" w:eastAsia="Calibri" w:hAnsi="Arial" w:cs="Arial"/>
          <w:sz w:val="28"/>
          <w:szCs w:val="28"/>
        </w:rPr>
      </w:pPr>
    </w:p>
    <w:p w14:paraId="2E3ABD0E" w14:textId="77777777" w:rsidR="00D757F9" w:rsidRPr="00D757F9" w:rsidRDefault="00D757F9" w:rsidP="00D757F9">
      <w:pPr>
        <w:jc w:val="center"/>
        <w:rPr>
          <w:rFonts w:ascii="Arial" w:eastAsia="Calibri" w:hAnsi="Arial" w:cs="Arial"/>
          <w:sz w:val="28"/>
          <w:szCs w:val="28"/>
        </w:rPr>
      </w:pPr>
    </w:p>
    <w:p w14:paraId="1E7384B3" w14:textId="77777777" w:rsidR="00D757F9" w:rsidRPr="00D757F9" w:rsidRDefault="00D757F9" w:rsidP="00D757F9">
      <w:pPr>
        <w:jc w:val="center"/>
        <w:rPr>
          <w:rFonts w:ascii="Arial" w:eastAsia="Calibri" w:hAnsi="Arial" w:cs="Arial"/>
          <w:sz w:val="28"/>
          <w:szCs w:val="28"/>
        </w:rPr>
      </w:pPr>
    </w:p>
    <w:p w14:paraId="50B68CDC" w14:textId="77777777" w:rsidR="00D757F9" w:rsidRPr="00D757F9" w:rsidRDefault="00D757F9" w:rsidP="00D757F9">
      <w:pPr>
        <w:jc w:val="center"/>
        <w:rPr>
          <w:rFonts w:ascii="Arial" w:eastAsia="Calibri" w:hAnsi="Arial" w:cs="Arial"/>
          <w:sz w:val="28"/>
          <w:szCs w:val="28"/>
        </w:rPr>
      </w:pPr>
    </w:p>
    <w:p w14:paraId="0646B8DB" w14:textId="77777777" w:rsidR="00D757F9" w:rsidRPr="00D757F9" w:rsidRDefault="00D757F9" w:rsidP="00D757F9">
      <w:pPr>
        <w:jc w:val="center"/>
        <w:rPr>
          <w:rFonts w:ascii="Arial" w:eastAsia="Calibri" w:hAnsi="Arial" w:cs="Arial"/>
          <w:sz w:val="28"/>
          <w:szCs w:val="28"/>
        </w:rPr>
      </w:pPr>
    </w:p>
    <w:p w14:paraId="622E505F" w14:textId="77777777" w:rsidR="00D757F9" w:rsidRPr="00D757F9" w:rsidRDefault="00D757F9" w:rsidP="00D757F9">
      <w:pPr>
        <w:jc w:val="center"/>
        <w:rPr>
          <w:rFonts w:ascii="Arial" w:eastAsia="Calibri" w:hAnsi="Arial" w:cs="Arial"/>
          <w:sz w:val="28"/>
          <w:szCs w:val="28"/>
        </w:rPr>
      </w:pPr>
    </w:p>
    <w:p w14:paraId="25CE29CD" w14:textId="77777777" w:rsidR="00D757F9" w:rsidRPr="00D757F9" w:rsidRDefault="00D757F9" w:rsidP="00D757F9">
      <w:pPr>
        <w:jc w:val="center"/>
        <w:rPr>
          <w:rFonts w:ascii="Arial" w:eastAsia="Calibri" w:hAnsi="Arial" w:cs="Arial"/>
          <w:sz w:val="28"/>
          <w:szCs w:val="28"/>
        </w:rPr>
      </w:pPr>
      <w:r w:rsidRPr="00D757F9">
        <w:rPr>
          <w:rFonts w:ascii="Arial" w:eastAsia="Calibri" w:hAnsi="Arial" w:cs="Arial"/>
          <w:sz w:val="28"/>
          <w:szCs w:val="28"/>
        </w:rPr>
        <w:t>Council of State and Territorial Epidemiologists</w:t>
      </w:r>
    </w:p>
    <w:p w14:paraId="7126566A" w14:textId="77777777" w:rsidR="00D757F9" w:rsidRPr="00D757F9" w:rsidRDefault="00D757F9" w:rsidP="00D757F9">
      <w:pPr>
        <w:jc w:val="center"/>
        <w:rPr>
          <w:rFonts w:ascii="Arial" w:eastAsia="Calibri" w:hAnsi="Arial" w:cs="Arial"/>
          <w:sz w:val="28"/>
          <w:szCs w:val="28"/>
        </w:rPr>
      </w:pPr>
    </w:p>
    <w:p w14:paraId="66CE2282" w14:textId="77777777" w:rsidR="00D757F9" w:rsidRPr="00D757F9" w:rsidRDefault="00D757F9" w:rsidP="00D757F9">
      <w:pPr>
        <w:jc w:val="center"/>
        <w:rPr>
          <w:rFonts w:ascii="Arial" w:eastAsia="Calibri" w:hAnsi="Arial" w:cs="Arial"/>
          <w:sz w:val="28"/>
          <w:szCs w:val="28"/>
        </w:rPr>
      </w:pPr>
    </w:p>
    <w:p w14:paraId="0D0EB4C3" w14:textId="77777777" w:rsidR="00D757F9" w:rsidRPr="00D757F9" w:rsidRDefault="00D757F9" w:rsidP="00D757F9">
      <w:pPr>
        <w:jc w:val="center"/>
        <w:rPr>
          <w:rFonts w:ascii="Arial" w:eastAsia="Calibri" w:hAnsi="Arial" w:cs="Arial"/>
          <w:sz w:val="28"/>
          <w:szCs w:val="28"/>
        </w:rPr>
      </w:pPr>
    </w:p>
    <w:p w14:paraId="08396706" w14:textId="77777777" w:rsidR="00D757F9" w:rsidRPr="00D757F9" w:rsidRDefault="00D757F9" w:rsidP="00D757F9">
      <w:pPr>
        <w:jc w:val="center"/>
        <w:rPr>
          <w:rFonts w:ascii="Arial" w:eastAsia="Calibri" w:hAnsi="Arial" w:cs="Arial"/>
          <w:sz w:val="28"/>
          <w:szCs w:val="28"/>
        </w:rPr>
      </w:pPr>
    </w:p>
    <w:p w14:paraId="1D31FDEA" w14:textId="77777777" w:rsidR="00D757F9" w:rsidRPr="00D757F9" w:rsidRDefault="00D757F9" w:rsidP="00D757F9">
      <w:pPr>
        <w:jc w:val="center"/>
        <w:rPr>
          <w:rFonts w:ascii="Arial" w:eastAsia="Calibri" w:hAnsi="Arial" w:cs="Arial"/>
          <w:sz w:val="28"/>
          <w:szCs w:val="28"/>
        </w:rPr>
      </w:pPr>
    </w:p>
    <w:p w14:paraId="21E6BE58" w14:textId="77777777" w:rsidR="00D757F9" w:rsidRPr="00D757F9" w:rsidRDefault="00D757F9" w:rsidP="00D757F9">
      <w:pPr>
        <w:jc w:val="center"/>
        <w:rPr>
          <w:rFonts w:ascii="Arial" w:eastAsia="Calibri" w:hAnsi="Arial" w:cs="Arial"/>
          <w:sz w:val="28"/>
          <w:szCs w:val="28"/>
        </w:rPr>
      </w:pPr>
    </w:p>
    <w:p w14:paraId="2C21029F" w14:textId="77777777" w:rsidR="00D757F9" w:rsidRPr="00D757F9" w:rsidRDefault="00D757F9" w:rsidP="00D757F9">
      <w:pPr>
        <w:jc w:val="center"/>
        <w:rPr>
          <w:rFonts w:ascii="Arial" w:eastAsia="Calibri" w:hAnsi="Arial" w:cs="Arial"/>
          <w:sz w:val="28"/>
          <w:szCs w:val="28"/>
        </w:rPr>
      </w:pPr>
    </w:p>
    <w:p w14:paraId="096E60A3" w14:textId="77777777" w:rsidR="00D757F9" w:rsidRPr="00D757F9" w:rsidRDefault="00D757F9" w:rsidP="00D757F9">
      <w:pPr>
        <w:jc w:val="center"/>
        <w:rPr>
          <w:rFonts w:ascii="Arial" w:eastAsia="Calibri" w:hAnsi="Arial" w:cs="Arial"/>
          <w:sz w:val="28"/>
          <w:szCs w:val="28"/>
        </w:rPr>
      </w:pPr>
    </w:p>
    <w:p w14:paraId="6A7DFCA4" w14:textId="77777777" w:rsidR="00D757F9" w:rsidRPr="00D757F9" w:rsidRDefault="00D757F9" w:rsidP="00D757F9">
      <w:pPr>
        <w:jc w:val="center"/>
        <w:rPr>
          <w:rFonts w:ascii="Arial" w:eastAsia="Calibri" w:hAnsi="Arial" w:cs="Arial"/>
          <w:sz w:val="28"/>
          <w:szCs w:val="28"/>
        </w:rPr>
      </w:pPr>
    </w:p>
    <w:p w14:paraId="7E521EF4" w14:textId="77777777" w:rsidR="00D757F9" w:rsidRPr="00D757F9" w:rsidRDefault="00D757F9" w:rsidP="00D757F9">
      <w:pPr>
        <w:jc w:val="center"/>
        <w:rPr>
          <w:rFonts w:ascii="Arial" w:eastAsia="Calibri" w:hAnsi="Arial" w:cs="Arial"/>
          <w:sz w:val="28"/>
          <w:szCs w:val="28"/>
        </w:rPr>
      </w:pPr>
    </w:p>
    <w:p w14:paraId="2F7A6EC1" w14:textId="7E54EB1F" w:rsidR="00D757F9" w:rsidRDefault="00D757F9" w:rsidP="00D757F9">
      <w:pPr>
        <w:jc w:val="center"/>
        <w:rPr>
          <w:rFonts w:ascii="Arial" w:eastAsia="Calibri" w:hAnsi="Arial" w:cs="Arial"/>
          <w:sz w:val="28"/>
          <w:szCs w:val="28"/>
          <w:highlight w:val="yellow"/>
        </w:rPr>
      </w:pPr>
      <w:r w:rsidRPr="00D757F9">
        <w:rPr>
          <w:rFonts w:ascii="Arial" w:eastAsia="Calibri" w:hAnsi="Arial" w:cs="Arial"/>
          <w:sz w:val="28"/>
          <w:szCs w:val="28"/>
          <w:highlight w:val="yellow"/>
        </w:rPr>
        <w:t xml:space="preserve">Draft </w:t>
      </w:r>
      <w:r>
        <w:rPr>
          <w:rFonts w:ascii="Arial" w:eastAsia="Calibri" w:hAnsi="Arial" w:cs="Arial"/>
          <w:sz w:val="28"/>
          <w:szCs w:val="28"/>
          <w:highlight w:val="yellow"/>
        </w:rPr>
        <w:t>2</w:t>
      </w:r>
    </w:p>
    <w:p w14:paraId="1ACCF6E8" w14:textId="085ADEB7" w:rsidR="00F23341" w:rsidRPr="00D757F9" w:rsidRDefault="00F23341" w:rsidP="00D757F9">
      <w:pPr>
        <w:jc w:val="center"/>
        <w:rPr>
          <w:rFonts w:ascii="Arial" w:eastAsia="Calibri" w:hAnsi="Arial" w:cs="Arial"/>
          <w:sz w:val="28"/>
          <w:szCs w:val="28"/>
          <w:highlight w:val="yellow"/>
        </w:rPr>
      </w:pPr>
      <w:r>
        <w:rPr>
          <w:rFonts w:ascii="Arial" w:eastAsia="Calibri" w:hAnsi="Arial" w:cs="Arial"/>
          <w:sz w:val="28"/>
          <w:szCs w:val="28"/>
          <w:highlight w:val="yellow"/>
        </w:rPr>
        <w:t>Foundation Chapters</w:t>
      </w:r>
    </w:p>
    <w:p w14:paraId="349D19AD" w14:textId="77777777" w:rsidR="00F23341" w:rsidRDefault="00F23341" w:rsidP="00D757F9">
      <w:pPr>
        <w:jc w:val="center"/>
        <w:rPr>
          <w:rFonts w:ascii="Arial" w:eastAsia="Calibri" w:hAnsi="Arial" w:cs="Arial"/>
          <w:sz w:val="28"/>
          <w:szCs w:val="28"/>
          <w:highlight w:val="yellow"/>
        </w:rPr>
      </w:pPr>
    </w:p>
    <w:p w14:paraId="06F79C30" w14:textId="211EC5F5" w:rsidR="00D757F9" w:rsidRPr="00D757F9" w:rsidRDefault="00D757F9" w:rsidP="00D757F9">
      <w:pPr>
        <w:jc w:val="center"/>
        <w:rPr>
          <w:rFonts w:ascii="Arial" w:eastAsia="Calibri" w:hAnsi="Arial" w:cs="Arial"/>
          <w:sz w:val="28"/>
          <w:szCs w:val="28"/>
        </w:rPr>
      </w:pPr>
      <w:r>
        <w:rPr>
          <w:rFonts w:ascii="Arial" w:eastAsia="Calibri" w:hAnsi="Arial" w:cs="Arial"/>
          <w:sz w:val="28"/>
          <w:szCs w:val="28"/>
          <w:highlight w:val="yellow"/>
        </w:rPr>
        <w:t>December</w:t>
      </w:r>
      <w:r w:rsidRPr="00D757F9">
        <w:rPr>
          <w:rFonts w:ascii="Arial" w:eastAsia="Calibri" w:hAnsi="Arial" w:cs="Arial"/>
          <w:sz w:val="28"/>
          <w:szCs w:val="28"/>
          <w:highlight w:val="yellow"/>
        </w:rPr>
        <w:t xml:space="preserve"> 2020</w:t>
      </w:r>
    </w:p>
    <w:p w14:paraId="642F8825" w14:textId="77777777" w:rsidR="00D757F9" w:rsidRPr="00D757F9" w:rsidRDefault="00D757F9" w:rsidP="00D757F9">
      <w:pPr>
        <w:rPr>
          <w:rFonts w:ascii="Calibri" w:eastAsia="Calibri" w:hAnsi="Calibri" w:cs="Times New Roman"/>
        </w:rPr>
      </w:pPr>
    </w:p>
    <w:p w14:paraId="0E86E1D0" w14:textId="77777777" w:rsidR="00D757F9" w:rsidRPr="00D757F9" w:rsidRDefault="00D757F9" w:rsidP="00D757F9">
      <w:pPr>
        <w:rPr>
          <w:rFonts w:ascii="Calibri" w:eastAsia="Calibri" w:hAnsi="Calibri" w:cs="Times New Roman"/>
        </w:rPr>
      </w:pPr>
    </w:p>
    <w:p w14:paraId="6791B164" w14:textId="77777777" w:rsidR="00D757F9" w:rsidRPr="00D757F9" w:rsidRDefault="00D757F9" w:rsidP="00D757F9">
      <w:pPr>
        <w:rPr>
          <w:rFonts w:ascii="Calibri" w:eastAsia="Calibri" w:hAnsi="Calibri" w:cs="Times New Roman"/>
        </w:rPr>
      </w:pPr>
      <w:r w:rsidRPr="00D757F9">
        <w:rPr>
          <w:rFonts w:ascii="Calibri" w:eastAsia="Calibri" w:hAnsi="Calibri" w:cs="Times New Roman"/>
        </w:rPr>
        <w:br w:type="page"/>
      </w:r>
    </w:p>
    <w:p w14:paraId="5B4F3872" w14:textId="77777777" w:rsidR="00D757F9" w:rsidRPr="00D757F9" w:rsidRDefault="00D757F9" w:rsidP="00D757F9">
      <w:pPr>
        <w:jc w:val="center"/>
        <w:rPr>
          <w:rFonts w:ascii="Arial" w:eastAsia="Calibri" w:hAnsi="Arial" w:cs="Arial"/>
          <w:b/>
          <w:bCs/>
          <w:sz w:val="24"/>
          <w:szCs w:val="24"/>
        </w:rPr>
      </w:pPr>
    </w:p>
    <w:p w14:paraId="09355591" w14:textId="77777777" w:rsidR="00D757F9" w:rsidRPr="00D757F9" w:rsidRDefault="00D757F9" w:rsidP="00D757F9">
      <w:pPr>
        <w:jc w:val="center"/>
        <w:rPr>
          <w:rFonts w:ascii="Arial" w:eastAsia="Calibri" w:hAnsi="Arial" w:cs="Arial"/>
          <w:b/>
          <w:bCs/>
        </w:rPr>
      </w:pPr>
      <w:r w:rsidRPr="00D757F9">
        <w:rPr>
          <w:rFonts w:ascii="Arial" w:eastAsia="Calibri" w:hAnsi="Arial" w:cs="Arial"/>
          <w:b/>
          <w:bCs/>
          <w:sz w:val="24"/>
          <w:szCs w:val="24"/>
        </w:rPr>
        <w:t>Table of Contents</w:t>
      </w:r>
    </w:p>
    <w:p w14:paraId="5E206195" w14:textId="77777777" w:rsidR="00D757F9" w:rsidRPr="00D757F9" w:rsidRDefault="00D757F9" w:rsidP="00D757F9">
      <w:pPr>
        <w:rPr>
          <w:rFonts w:ascii="Calibri" w:eastAsia="Calibri" w:hAnsi="Calibri" w:cs="Times New Roman"/>
        </w:rPr>
      </w:pPr>
    </w:p>
    <w:p w14:paraId="1B4C7D07" w14:textId="77777777" w:rsidR="00D757F9" w:rsidRPr="00D757F9" w:rsidRDefault="00D757F9" w:rsidP="00D757F9">
      <w:pPr>
        <w:rPr>
          <w:rFonts w:ascii="Calibri" w:eastAsia="Calibri" w:hAnsi="Calibri" w:cs="Times New Roman"/>
        </w:rPr>
      </w:pPr>
    </w:p>
    <w:p w14:paraId="60653E99" w14:textId="77777777" w:rsidR="00D757F9" w:rsidRPr="00D757F9" w:rsidRDefault="00D757F9" w:rsidP="00D757F9">
      <w:pPr>
        <w:rPr>
          <w:rFonts w:ascii="Calibri" w:eastAsia="Calibri" w:hAnsi="Calibri" w:cs="Times New Roman"/>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5"/>
        <w:gridCol w:w="905"/>
      </w:tblGrid>
      <w:tr w:rsidR="00D757F9" w:rsidRPr="00D757F9" w14:paraId="012C2B19" w14:textId="77777777" w:rsidTr="00D757F9">
        <w:trPr>
          <w:trHeight w:val="576"/>
          <w:jc w:val="center"/>
        </w:trPr>
        <w:tc>
          <w:tcPr>
            <w:tcW w:w="7825" w:type="dxa"/>
            <w:vAlign w:val="center"/>
            <w:hideMark/>
          </w:tcPr>
          <w:p w14:paraId="271F513F" w14:textId="77777777" w:rsidR="00D757F9" w:rsidRPr="00D757F9" w:rsidRDefault="00D757F9" w:rsidP="00D757F9">
            <w:pPr>
              <w:rPr>
                <w:rFonts w:ascii="Calibri Light" w:hAnsi="Calibri Light"/>
              </w:rPr>
            </w:pPr>
            <w:r w:rsidRPr="00D757F9">
              <w:rPr>
                <w:rFonts w:ascii="Calibri Light" w:hAnsi="Calibri Light"/>
              </w:rPr>
              <w:t>Contributors and Acknowledgements</w:t>
            </w:r>
          </w:p>
        </w:tc>
        <w:tc>
          <w:tcPr>
            <w:tcW w:w="905" w:type="dxa"/>
            <w:vAlign w:val="center"/>
          </w:tcPr>
          <w:p w14:paraId="777C934F" w14:textId="5DC56516" w:rsidR="00D757F9" w:rsidRPr="00D757F9" w:rsidRDefault="00A318FA" w:rsidP="00D757F9">
            <w:pPr>
              <w:jc w:val="center"/>
              <w:rPr>
                <w:rFonts w:ascii="Calibri Light" w:hAnsi="Calibri Light"/>
              </w:rPr>
            </w:pPr>
            <w:r>
              <w:rPr>
                <w:rFonts w:ascii="Calibri Light" w:hAnsi="Calibri Light"/>
              </w:rPr>
              <w:t>3</w:t>
            </w:r>
          </w:p>
        </w:tc>
      </w:tr>
      <w:tr w:rsidR="00D757F9" w:rsidRPr="00D757F9" w14:paraId="09F951B9" w14:textId="77777777" w:rsidTr="00D757F9">
        <w:trPr>
          <w:trHeight w:val="576"/>
          <w:jc w:val="center"/>
        </w:trPr>
        <w:tc>
          <w:tcPr>
            <w:tcW w:w="7825" w:type="dxa"/>
            <w:vAlign w:val="center"/>
            <w:hideMark/>
          </w:tcPr>
          <w:p w14:paraId="167E190E" w14:textId="77777777" w:rsidR="00D757F9" w:rsidRPr="00D757F9" w:rsidRDefault="00D757F9" w:rsidP="00D757F9">
            <w:pPr>
              <w:rPr>
                <w:rFonts w:ascii="Calibri Light" w:hAnsi="Calibri Light"/>
              </w:rPr>
            </w:pPr>
            <w:r w:rsidRPr="00D757F9">
              <w:rPr>
                <w:rFonts w:ascii="Calibri Light" w:hAnsi="Calibri Light"/>
              </w:rPr>
              <w:t>Introduction</w:t>
            </w:r>
          </w:p>
        </w:tc>
        <w:tc>
          <w:tcPr>
            <w:tcW w:w="905" w:type="dxa"/>
            <w:vAlign w:val="center"/>
          </w:tcPr>
          <w:p w14:paraId="7E93DFB0" w14:textId="78C3EEA8" w:rsidR="00D757F9" w:rsidRPr="00D757F9" w:rsidRDefault="00A318FA" w:rsidP="00D757F9">
            <w:pPr>
              <w:jc w:val="center"/>
              <w:rPr>
                <w:rFonts w:ascii="Calibri Light" w:hAnsi="Calibri Light"/>
              </w:rPr>
            </w:pPr>
            <w:r>
              <w:rPr>
                <w:rFonts w:ascii="Calibri Light" w:hAnsi="Calibri Light"/>
              </w:rPr>
              <w:t>4</w:t>
            </w:r>
          </w:p>
        </w:tc>
      </w:tr>
      <w:tr w:rsidR="00D757F9" w:rsidRPr="00D757F9" w14:paraId="2AC712FF" w14:textId="77777777" w:rsidTr="00D757F9">
        <w:trPr>
          <w:trHeight w:val="576"/>
          <w:jc w:val="center"/>
        </w:trPr>
        <w:tc>
          <w:tcPr>
            <w:tcW w:w="7825" w:type="dxa"/>
            <w:vAlign w:val="center"/>
            <w:hideMark/>
          </w:tcPr>
          <w:p w14:paraId="3CC0DBEE" w14:textId="77777777" w:rsidR="00D757F9" w:rsidRPr="00D757F9" w:rsidRDefault="00D757F9" w:rsidP="00D757F9">
            <w:pPr>
              <w:rPr>
                <w:rFonts w:ascii="Calibri Light" w:hAnsi="Calibri Light"/>
              </w:rPr>
            </w:pPr>
            <w:r w:rsidRPr="00D757F9">
              <w:rPr>
                <w:rFonts w:ascii="Calibri Light" w:hAnsi="Calibri Light"/>
              </w:rPr>
              <w:t>Chapter 1:  Legionnaires’ Disease Basics</w:t>
            </w:r>
          </w:p>
        </w:tc>
        <w:tc>
          <w:tcPr>
            <w:tcW w:w="905" w:type="dxa"/>
            <w:vAlign w:val="center"/>
          </w:tcPr>
          <w:p w14:paraId="4DC21C5E" w14:textId="68FA6172" w:rsidR="00D757F9" w:rsidRPr="00D757F9" w:rsidRDefault="005544DF" w:rsidP="00D757F9">
            <w:pPr>
              <w:jc w:val="center"/>
              <w:rPr>
                <w:rFonts w:ascii="Calibri Light" w:hAnsi="Calibri Light"/>
              </w:rPr>
            </w:pPr>
            <w:r>
              <w:rPr>
                <w:rFonts w:ascii="Calibri Light" w:hAnsi="Calibri Light"/>
              </w:rPr>
              <w:t>6</w:t>
            </w:r>
          </w:p>
        </w:tc>
      </w:tr>
      <w:tr w:rsidR="00D757F9" w:rsidRPr="00D757F9" w14:paraId="1BAFD736" w14:textId="77777777" w:rsidTr="00D757F9">
        <w:trPr>
          <w:trHeight w:val="576"/>
          <w:jc w:val="center"/>
        </w:trPr>
        <w:tc>
          <w:tcPr>
            <w:tcW w:w="7825" w:type="dxa"/>
            <w:vAlign w:val="center"/>
            <w:hideMark/>
          </w:tcPr>
          <w:p w14:paraId="32309A1A" w14:textId="77777777" w:rsidR="00D757F9" w:rsidRPr="00D757F9" w:rsidRDefault="00D757F9" w:rsidP="00D757F9">
            <w:pPr>
              <w:rPr>
                <w:rFonts w:ascii="Calibri Light" w:hAnsi="Calibri Light"/>
              </w:rPr>
            </w:pPr>
            <w:r w:rsidRPr="00D757F9">
              <w:rPr>
                <w:rFonts w:ascii="Calibri Light" w:hAnsi="Calibri Light"/>
              </w:rPr>
              <w:t>Chapter 2:  Legal Authorities for Legionnaires’ Disease Activities</w:t>
            </w:r>
          </w:p>
        </w:tc>
        <w:tc>
          <w:tcPr>
            <w:tcW w:w="905" w:type="dxa"/>
            <w:vAlign w:val="center"/>
          </w:tcPr>
          <w:p w14:paraId="0D94ACA4" w14:textId="0EAE883E" w:rsidR="00D757F9" w:rsidRPr="00D757F9" w:rsidRDefault="005544DF" w:rsidP="00D757F9">
            <w:pPr>
              <w:jc w:val="center"/>
              <w:rPr>
                <w:rFonts w:ascii="Calibri Light" w:hAnsi="Calibri Light"/>
              </w:rPr>
            </w:pPr>
            <w:r>
              <w:rPr>
                <w:rFonts w:ascii="Calibri Light" w:hAnsi="Calibri Light"/>
              </w:rPr>
              <w:t>16</w:t>
            </w:r>
          </w:p>
        </w:tc>
      </w:tr>
      <w:tr w:rsidR="00D757F9" w:rsidRPr="00D757F9" w14:paraId="14B9416C" w14:textId="77777777" w:rsidTr="00D757F9">
        <w:trPr>
          <w:trHeight w:val="576"/>
          <w:jc w:val="center"/>
        </w:trPr>
        <w:tc>
          <w:tcPr>
            <w:tcW w:w="7825" w:type="dxa"/>
            <w:vAlign w:val="center"/>
            <w:hideMark/>
          </w:tcPr>
          <w:p w14:paraId="43DFFEF8" w14:textId="77777777" w:rsidR="00D757F9" w:rsidRPr="00D757F9" w:rsidRDefault="00D757F9" w:rsidP="00D757F9">
            <w:pPr>
              <w:rPr>
                <w:rFonts w:ascii="Calibri Light" w:hAnsi="Calibri Light"/>
              </w:rPr>
            </w:pPr>
            <w:r w:rsidRPr="00D757F9">
              <w:rPr>
                <w:rFonts w:ascii="Calibri Light" w:hAnsi="Calibri Light"/>
              </w:rPr>
              <w:t>Chapter 3:  Access to Information and Confidentiality</w:t>
            </w:r>
          </w:p>
        </w:tc>
        <w:tc>
          <w:tcPr>
            <w:tcW w:w="905" w:type="dxa"/>
            <w:vAlign w:val="center"/>
          </w:tcPr>
          <w:p w14:paraId="03454D75" w14:textId="0E79C7D3" w:rsidR="00D757F9" w:rsidRPr="00D757F9" w:rsidRDefault="005544DF" w:rsidP="00D757F9">
            <w:pPr>
              <w:jc w:val="center"/>
              <w:rPr>
                <w:rFonts w:ascii="Calibri Light" w:hAnsi="Calibri Light"/>
              </w:rPr>
            </w:pPr>
            <w:r>
              <w:rPr>
                <w:rFonts w:ascii="Calibri Light" w:hAnsi="Calibri Light"/>
              </w:rPr>
              <w:t>20</w:t>
            </w:r>
          </w:p>
        </w:tc>
      </w:tr>
      <w:tr w:rsidR="00D757F9" w:rsidRPr="00D757F9" w14:paraId="04FED676" w14:textId="77777777" w:rsidTr="00D757F9">
        <w:trPr>
          <w:trHeight w:val="576"/>
          <w:jc w:val="center"/>
        </w:trPr>
        <w:tc>
          <w:tcPr>
            <w:tcW w:w="7825" w:type="dxa"/>
            <w:vAlign w:val="center"/>
            <w:hideMark/>
          </w:tcPr>
          <w:p w14:paraId="220F7D64" w14:textId="77777777" w:rsidR="00D757F9" w:rsidRPr="00D757F9" w:rsidRDefault="00D757F9" w:rsidP="00D757F9">
            <w:pPr>
              <w:rPr>
                <w:rFonts w:ascii="Calibri Light" w:hAnsi="Calibri Light"/>
              </w:rPr>
            </w:pPr>
            <w:r w:rsidRPr="00D757F9">
              <w:rPr>
                <w:rFonts w:ascii="Calibri Light" w:hAnsi="Calibri Light"/>
              </w:rPr>
              <w:t xml:space="preserve">Chapter 4:  Potential Liability Issues </w:t>
            </w:r>
          </w:p>
        </w:tc>
        <w:tc>
          <w:tcPr>
            <w:tcW w:w="905" w:type="dxa"/>
            <w:vAlign w:val="center"/>
          </w:tcPr>
          <w:p w14:paraId="474A35CD" w14:textId="4B787CD3" w:rsidR="00D757F9" w:rsidRPr="00D757F9" w:rsidRDefault="005544DF" w:rsidP="00D757F9">
            <w:pPr>
              <w:jc w:val="center"/>
              <w:rPr>
                <w:rFonts w:ascii="Calibri Light" w:hAnsi="Calibri Light"/>
              </w:rPr>
            </w:pPr>
            <w:r>
              <w:rPr>
                <w:rFonts w:ascii="Calibri Light" w:hAnsi="Calibri Light"/>
              </w:rPr>
              <w:t>33</w:t>
            </w:r>
          </w:p>
        </w:tc>
      </w:tr>
      <w:tr w:rsidR="00D757F9" w:rsidRPr="00D757F9" w14:paraId="79B304AD" w14:textId="77777777" w:rsidTr="00D757F9">
        <w:trPr>
          <w:trHeight w:val="576"/>
          <w:jc w:val="center"/>
        </w:trPr>
        <w:tc>
          <w:tcPr>
            <w:tcW w:w="7825" w:type="dxa"/>
            <w:vAlign w:val="center"/>
            <w:hideMark/>
          </w:tcPr>
          <w:p w14:paraId="3F76304E" w14:textId="77777777" w:rsidR="00D757F9" w:rsidRPr="00D757F9" w:rsidRDefault="00D757F9" w:rsidP="00D757F9">
            <w:pPr>
              <w:rPr>
                <w:rFonts w:ascii="Calibri Light" w:hAnsi="Calibri Light"/>
              </w:rPr>
            </w:pPr>
            <w:r w:rsidRPr="00D757F9">
              <w:rPr>
                <w:rFonts w:ascii="Calibri Light" w:hAnsi="Calibri Light"/>
              </w:rPr>
              <w:t>Chapter 5:  Communication Considerations</w:t>
            </w:r>
          </w:p>
        </w:tc>
        <w:tc>
          <w:tcPr>
            <w:tcW w:w="905" w:type="dxa"/>
            <w:vAlign w:val="center"/>
          </w:tcPr>
          <w:p w14:paraId="3427E618" w14:textId="2D144D74" w:rsidR="00D757F9" w:rsidRPr="00D757F9" w:rsidRDefault="005544DF" w:rsidP="00D757F9">
            <w:pPr>
              <w:jc w:val="center"/>
              <w:rPr>
                <w:rFonts w:ascii="Calibri Light" w:hAnsi="Calibri Light"/>
              </w:rPr>
            </w:pPr>
            <w:r>
              <w:rPr>
                <w:rFonts w:ascii="Calibri Light" w:hAnsi="Calibri Light"/>
              </w:rPr>
              <w:t>38</w:t>
            </w:r>
          </w:p>
        </w:tc>
      </w:tr>
      <w:tr w:rsidR="000E77D6" w:rsidRPr="00D757F9" w14:paraId="6A91AE45" w14:textId="77777777" w:rsidTr="00D757F9">
        <w:trPr>
          <w:trHeight w:val="576"/>
          <w:jc w:val="center"/>
        </w:trPr>
        <w:tc>
          <w:tcPr>
            <w:tcW w:w="7825" w:type="dxa"/>
            <w:vAlign w:val="center"/>
          </w:tcPr>
          <w:p w14:paraId="55214E6D" w14:textId="2D4B0354" w:rsidR="000E77D6" w:rsidRPr="00D757F9" w:rsidRDefault="000E77D6" w:rsidP="00D757F9">
            <w:pPr>
              <w:rPr>
                <w:rFonts w:ascii="Calibri Light" w:hAnsi="Calibri Light"/>
              </w:rPr>
            </w:pPr>
            <w:r>
              <w:rPr>
                <w:rFonts w:ascii="Calibri Light" w:hAnsi="Calibri Light"/>
              </w:rPr>
              <w:t>Chapter 6:  Water Management Programs</w:t>
            </w:r>
          </w:p>
        </w:tc>
        <w:tc>
          <w:tcPr>
            <w:tcW w:w="905" w:type="dxa"/>
            <w:vAlign w:val="center"/>
          </w:tcPr>
          <w:p w14:paraId="79CA8D0A" w14:textId="46A813A2" w:rsidR="000E77D6" w:rsidRPr="00D757F9" w:rsidRDefault="005544DF" w:rsidP="00D757F9">
            <w:pPr>
              <w:jc w:val="center"/>
              <w:rPr>
                <w:rFonts w:ascii="Calibri Light" w:hAnsi="Calibri Light"/>
              </w:rPr>
            </w:pPr>
            <w:r>
              <w:rPr>
                <w:rFonts w:ascii="Calibri Light" w:hAnsi="Calibri Light"/>
              </w:rPr>
              <w:t>44</w:t>
            </w:r>
          </w:p>
        </w:tc>
      </w:tr>
      <w:tr w:rsidR="00D757F9" w:rsidRPr="00D757F9" w14:paraId="6E61116A" w14:textId="77777777" w:rsidTr="00D757F9">
        <w:trPr>
          <w:trHeight w:val="576"/>
          <w:jc w:val="center"/>
        </w:trPr>
        <w:tc>
          <w:tcPr>
            <w:tcW w:w="7825" w:type="dxa"/>
            <w:vAlign w:val="center"/>
            <w:hideMark/>
          </w:tcPr>
          <w:p w14:paraId="63C75882" w14:textId="77777777" w:rsidR="00D757F9" w:rsidRPr="00D757F9" w:rsidRDefault="00D757F9" w:rsidP="00D757F9">
            <w:r w:rsidRPr="00D757F9">
              <w:rPr>
                <w:rFonts w:ascii="Calibri Light" w:hAnsi="Calibri Light"/>
              </w:rPr>
              <w:t>Overview of Legionnaires’ Disease Risk Communication Modules</w:t>
            </w:r>
          </w:p>
        </w:tc>
        <w:tc>
          <w:tcPr>
            <w:tcW w:w="905" w:type="dxa"/>
            <w:vAlign w:val="center"/>
          </w:tcPr>
          <w:p w14:paraId="719B5036" w14:textId="77777777" w:rsidR="00D757F9" w:rsidRPr="00D757F9" w:rsidRDefault="00D757F9" w:rsidP="00D757F9">
            <w:pPr>
              <w:jc w:val="center"/>
              <w:rPr>
                <w:rFonts w:ascii="Calibri Light" w:hAnsi="Calibri Light"/>
              </w:rPr>
            </w:pPr>
          </w:p>
        </w:tc>
      </w:tr>
      <w:tr w:rsidR="00D757F9" w:rsidRPr="00D757F9" w14:paraId="352645F2" w14:textId="77777777" w:rsidTr="00D757F9">
        <w:trPr>
          <w:trHeight w:val="576"/>
          <w:jc w:val="center"/>
        </w:trPr>
        <w:tc>
          <w:tcPr>
            <w:tcW w:w="7825" w:type="dxa"/>
            <w:vAlign w:val="center"/>
            <w:hideMark/>
          </w:tcPr>
          <w:p w14:paraId="1CE5FBA2" w14:textId="77777777" w:rsidR="00D757F9" w:rsidRPr="00D757F9" w:rsidRDefault="00D757F9" w:rsidP="00D757F9">
            <w:pPr>
              <w:rPr>
                <w:rFonts w:ascii="Calibri Light" w:hAnsi="Calibri Light"/>
              </w:rPr>
            </w:pPr>
            <w:r w:rsidRPr="00D757F9">
              <w:rPr>
                <w:rFonts w:ascii="Calibri Light" w:hAnsi="Calibri Light"/>
              </w:rPr>
              <w:t>Module:  Healthcare Facilities</w:t>
            </w:r>
          </w:p>
        </w:tc>
        <w:tc>
          <w:tcPr>
            <w:tcW w:w="905" w:type="dxa"/>
            <w:vAlign w:val="center"/>
          </w:tcPr>
          <w:p w14:paraId="3DF32D86" w14:textId="77777777" w:rsidR="00D757F9" w:rsidRPr="00D757F9" w:rsidRDefault="00D757F9" w:rsidP="00D757F9">
            <w:pPr>
              <w:jc w:val="center"/>
              <w:rPr>
                <w:rFonts w:ascii="Calibri Light" w:hAnsi="Calibri Light"/>
              </w:rPr>
            </w:pPr>
          </w:p>
        </w:tc>
      </w:tr>
      <w:tr w:rsidR="00D757F9" w:rsidRPr="00D757F9" w14:paraId="3128F4F1" w14:textId="77777777" w:rsidTr="00D757F9">
        <w:trPr>
          <w:trHeight w:val="576"/>
          <w:jc w:val="center"/>
        </w:trPr>
        <w:tc>
          <w:tcPr>
            <w:tcW w:w="7825" w:type="dxa"/>
            <w:vAlign w:val="center"/>
            <w:hideMark/>
          </w:tcPr>
          <w:p w14:paraId="18562DB5" w14:textId="77777777" w:rsidR="00D757F9" w:rsidRPr="00D757F9" w:rsidRDefault="00D757F9" w:rsidP="00D757F9">
            <w:pPr>
              <w:rPr>
                <w:rFonts w:ascii="Calibri Light" w:hAnsi="Calibri Light"/>
              </w:rPr>
            </w:pPr>
            <w:r w:rsidRPr="00D757F9">
              <w:rPr>
                <w:rFonts w:ascii="Calibri Light" w:hAnsi="Calibri Light"/>
              </w:rPr>
              <w:t>Module:  Congregate Residential Facilities</w:t>
            </w:r>
          </w:p>
        </w:tc>
        <w:tc>
          <w:tcPr>
            <w:tcW w:w="905" w:type="dxa"/>
            <w:vAlign w:val="center"/>
          </w:tcPr>
          <w:p w14:paraId="3D243599" w14:textId="77777777" w:rsidR="00D757F9" w:rsidRPr="00D757F9" w:rsidRDefault="00D757F9" w:rsidP="00D757F9">
            <w:pPr>
              <w:jc w:val="center"/>
              <w:rPr>
                <w:rFonts w:ascii="Calibri Light" w:hAnsi="Calibri Light"/>
              </w:rPr>
            </w:pPr>
          </w:p>
        </w:tc>
      </w:tr>
      <w:tr w:rsidR="00D757F9" w:rsidRPr="00D757F9" w14:paraId="021150FF" w14:textId="77777777" w:rsidTr="00D757F9">
        <w:trPr>
          <w:trHeight w:val="576"/>
          <w:jc w:val="center"/>
        </w:trPr>
        <w:tc>
          <w:tcPr>
            <w:tcW w:w="7825" w:type="dxa"/>
            <w:vAlign w:val="center"/>
            <w:hideMark/>
          </w:tcPr>
          <w:p w14:paraId="0B498A89" w14:textId="77777777" w:rsidR="00D757F9" w:rsidRPr="00D757F9" w:rsidRDefault="00D757F9" w:rsidP="00D757F9">
            <w:pPr>
              <w:rPr>
                <w:rFonts w:ascii="Calibri Light" w:hAnsi="Calibri Light"/>
              </w:rPr>
            </w:pPr>
            <w:r w:rsidRPr="00D757F9">
              <w:rPr>
                <w:rFonts w:ascii="Calibri Light" w:hAnsi="Calibri Light"/>
              </w:rPr>
              <w:t>Module:  Hotels and Hospitality Facilities</w:t>
            </w:r>
          </w:p>
        </w:tc>
        <w:tc>
          <w:tcPr>
            <w:tcW w:w="905" w:type="dxa"/>
            <w:vAlign w:val="center"/>
          </w:tcPr>
          <w:p w14:paraId="1F545A1A" w14:textId="77777777" w:rsidR="00D757F9" w:rsidRPr="00D757F9" w:rsidRDefault="00D757F9" w:rsidP="00D757F9">
            <w:pPr>
              <w:jc w:val="center"/>
              <w:rPr>
                <w:rFonts w:ascii="Calibri Light" w:hAnsi="Calibri Light"/>
              </w:rPr>
            </w:pPr>
          </w:p>
        </w:tc>
      </w:tr>
      <w:tr w:rsidR="00D757F9" w:rsidRPr="00D757F9" w14:paraId="3EB589B6" w14:textId="77777777" w:rsidTr="00D757F9">
        <w:trPr>
          <w:trHeight w:val="576"/>
          <w:jc w:val="center"/>
        </w:trPr>
        <w:tc>
          <w:tcPr>
            <w:tcW w:w="7825" w:type="dxa"/>
            <w:vAlign w:val="center"/>
            <w:hideMark/>
          </w:tcPr>
          <w:p w14:paraId="6D5CE6EE" w14:textId="77777777" w:rsidR="00D757F9" w:rsidRPr="00D757F9" w:rsidRDefault="00D757F9" w:rsidP="00D757F9">
            <w:pPr>
              <w:rPr>
                <w:rFonts w:ascii="Calibri Light" w:hAnsi="Calibri Light"/>
              </w:rPr>
            </w:pPr>
            <w:r w:rsidRPr="00D757F9">
              <w:rPr>
                <w:rFonts w:ascii="Calibri Light" w:hAnsi="Calibri Light"/>
              </w:rPr>
              <w:t>Module:  Community Settings</w:t>
            </w:r>
          </w:p>
        </w:tc>
        <w:tc>
          <w:tcPr>
            <w:tcW w:w="905" w:type="dxa"/>
            <w:vAlign w:val="center"/>
          </w:tcPr>
          <w:p w14:paraId="20141D52" w14:textId="77777777" w:rsidR="00D757F9" w:rsidRPr="00D757F9" w:rsidRDefault="00D757F9" w:rsidP="00D757F9">
            <w:pPr>
              <w:jc w:val="center"/>
              <w:rPr>
                <w:rFonts w:ascii="Calibri Light" w:hAnsi="Calibri Light"/>
              </w:rPr>
            </w:pPr>
          </w:p>
        </w:tc>
      </w:tr>
      <w:tr w:rsidR="00D757F9" w:rsidRPr="00D757F9" w14:paraId="52606441" w14:textId="77777777" w:rsidTr="00D757F9">
        <w:trPr>
          <w:trHeight w:val="576"/>
          <w:jc w:val="center"/>
        </w:trPr>
        <w:tc>
          <w:tcPr>
            <w:tcW w:w="7825" w:type="dxa"/>
            <w:vAlign w:val="center"/>
            <w:hideMark/>
          </w:tcPr>
          <w:p w14:paraId="5570EA6D" w14:textId="77777777" w:rsidR="00D757F9" w:rsidRPr="00D757F9" w:rsidRDefault="00D757F9" w:rsidP="00D757F9">
            <w:pPr>
              <w:rPr>
                <w:rFonts w:ascii="Calibri Light" w:hAnsi="Calibri Light"/>
              </w:rPr>
            </w:pPr>
            <w:r w:rsidRPr="00D757F9">
              <w:rPr>
                <w:rFonts w:ascii="Calibri Light" w:hAnsi="Calibri Light"/>
              </w:rPr>
              <w:t>Module:  Recreational Settings</w:t>
            </w:r>
          </w:p>
        </w:tc>
        <w:tc>
          <w:tcPr>
            <w:tcW w:w="905" w:type="dxa"/>
            <w:vAlign w:val="center"/>
          </w:tcPr>
          <w:p w14:paraId="67DE333C" w14:textId="77777777" w:rsidR="00D757F9" w:rsidRPr="00D757F9" w:rsidRDefault="00D757F9" w:rsidP="00D757F9">
            <w:pPr>
              <w:jc w:val="center"/>
              <w:rPr>
                <w:rFonts w:ascii="Calibri Light" w:hAnsi="Calibri Light"/>
              </w:rPr>
            </w:pPr>
          </w:p>
        </w:tc>
      </w:tr>
      <w:tr w:rsidR="00D757F9" w:rsidRPr="00D757F9" w14:paraId="57B2EBFD" w14:textId="77777777" w:rsidTr="00D757F9">
        <w:trPr>
          <w:trHeight w:val="576"/>
          <w:jc w:val="center"/>
        </w:trPr>
        <w:tc>
          <w:tcPr>
            <w:tcW w:w="7825" w:type="dxa"/>
            <w:vAlign w:val="center"/>
            <w:hideMark/>
          </w:tcPr>
          <w:p w14:paraId="56F2FB30" w14:textId="77777777" w:rsidR="00D757F9" w:rsidRPr="00D757F9" w:rsidRDefault="00D757F9" w:rsidP="00D757F9">
            <w:pPr>
              <w:rPr>
                <w:rFonts w:ascii="Calibri Light" w:hAnsi="Calibri Light"/>
              </w:rPr>
            </w:pPr>
            <w:r w:rsidRPr="00D757F9">
              <w:rPr>
                <w:rFonts w:ascii="Calibri Light" w:hAnsi="Calibri Light"/>
              </w:rPr>
              <w:t>Module:  Occupational Settings</w:t>
            </w:r>
          </w:p>
        </w:tc>
        <w:tc>
          <w:tcPr>
            <w:tcW w:w="905" w:type="dxa"/>
            <w:vAlign w:val="center"/>
          </w:tcPr>
          <w:p w14:paraId="429B37A7" w14:textId="77777777" w:rsidR="00D757F9" w:rsidRPr="00D757F9" w:rsidRDefault="00D757F9" w:rsidP="00D757F9">
            <w:pPr>
              <w:jc w:val="center"/>
              <w:rPr>
                <w:rFonts w:ascii="Calibri Light" w:hAnsi="Calibri Light"/>
              </w:rPr>
            </w:pPr>
          </w:p>
        </w:tc>
      </w:tr>
    </w:tbl>
    <w:p w14:paraId="06143F73" w14:textId="77777777" w:rsidR="00D757F9" w:rsidRPr="00D757F9" w:rsidRDefault="00D757F9" w:rsidP="00D757F9">
      <w:pPr>
        <w:rPr>
          <w:rFonts w:ascii="Calibri" w:eastAsia="Calibri" w:hAnsi="Calibri" w:cs="Times New Roman"/>
        </w:rPr>
      </w:pPr>
    </w:p>
    <w:p w14:paraId="51D2DFE4" w14:textId="77777777" w:rsidR="00D757F9" w:rsidRPr="00D757F9" w:rsidRDefault="00D757F9" w:rsidP="00D757F9">
      <w:pPr>
        <w:rPr>
          <w:rFonts w:ascii="Calibri" w:eastAsia="Calibri" w:hAnsi="Calibri" w:cs="Times New Roman"/>
        </w:rPr>
      </w:pPr>
      <w:r w:rsidRPr="00D757F9">
        <w:rPr>
          <w:rFonts w:ascii="Calibri" w:eastAsia="Calibri" w:hAnsi="Calibri" w:cs="Times New Roman"/>
        </w:rPr>
        <w:br w:type="page"/>
      </w:r>
    </w:p>
    <w:p w14:paraId="21E401C0" w14:textId="77777777" w:rsidR="00D757F9" w:rsidRPr="00D757F9" w:rsidRDefault="00D757F9" w:rsidP="00D757F9">
      <w:pPr>
        <w:rPr>
          <w:rFonts w:ascii="Calibri" w:eastAsia="Calibri" w:hAnsi="Calibri" w:cs="Times New Roman"/>
        </w:rPr>
      </w:pPr>
    </w:p>
    <w:p w14:paraId="4323E703" w14:textId="77777777" w:rsidR="00D757F9" w:rsidRPr="00D757F9" w:rsidRDefault="00D757F9" w:rsidP="00D757F9">
      <w:pPr>
        <w:jc w:val="center"/>
        <w:rPr>
          <w:rFonts w:ascii="Arial" w:eastAsia="Calibri" w:hAnsi="Arial" w:cs="Arial"/>
          <w:b/>
          <w:bCs/>
          <w:sz w:val="32"/>
          <w:szCs w:val="32"/>
        </w:rPr>
      </w:pPr>
      <w:r w:rsidRPr="00D757F9">
        <w:rPr>
          <w:rFonts w:ascii="Arial" w:eastAsia="Calibri" w:hAnsi="Arial" w:cs="Arial"/>
          <w:b/>
          <w:bCs/>
          <w:sz w:val="24"/>
          <w:szCs w:val="24"/>
        </w:rPr>
        <w:t>Contributors and Acknowledgements</w:t>
      </w:r>
    </w:p>
    <w:p w14:paraId="536223C6" w14:textId="77777777" w:rsidR="00D757F9" w:rsidRPr="00D757F9" w:rsidRDefault="00D757F9" w:rsidP="00D757F9">
      <w:pPr>
        <w:spacing w:line="360" w:lineRule="auto"/>
        <w:rPr>
          <w:rFonts w:ascii="Calibri Light" w:eastAsia="Calibri" w:hAnsi="Calibri Light" w:cs="Times New Roman"/>
        </w:rPr>
      </w:pPr>
    </w:p>
    <w:p w14:paraId="770339EB" w14:textId="77777777" w:rsidR="00D757F9" w:rsidRPr="00D757F9" w:rsidRDefault="00D757F9" w:rsidP="00D757F9">
      <w:pPr>
        <w:spacing w:line="360" w:lineRule="auto"/>
        <w:rPr>
          <w:rFonts w:ascii="Calibri Light" w:eastAsia="Calibri" w:hAnsi="Calibri Light" w:cs="Times New Roman"/>
        </w:rPr>
      </w:pPr>
    </w:p>
    <w:p w14:paraId="51D1E827" w14:textId="77777777" w:rsidR="00D757F9" w:rsidRPr="00D757F9" w:rsidRDefault="00D757F9" w:rsidP="00D757F9">
      <w:pPr>
        <w:rPr>
          <w:rFonts w:ascii="Calibri Light" w:eastAsia="Calibri" w:hAnsi="Calibri Light" w:cs="Times New Roman"/>
          <w:b/>
          <w:bCs/>
        </w:rPr>
      </w:pPr>
      <w:r w:rsidRPr="00D757F9">
        <w:rPr>
          <w:rFonts w:ascii="Calibri Light" w:eastAsia="Calibri" w:hAnsi="Calibri Light" w:cs="Times New Roman"/>
          <w:b/>
          <w:bCs/>
        </w:rPr>
        <w:t>The Council of State and Territorial Epidemiologists (CSTE) thanks the members of the Legionnaires’ Disease Risk Communication Subgroup and the following individuals for their contributions to this toolkit:</w:t>
      </w:r>
    </w:p>
    <w:p w14:paraId="7CC3FCB3" w14:textId="77777777" w:rsidR="00D757F9" w:rsidRPr="00D757F9" w:rsidRDefault="00D757F9" w:rsidP="00D757F9">
      <w:pPr>
        <w:rPr>
          <w:rFonts w:ascii="Calibri Light" w:eastAsia="Calibri" w:hAnsi="Calibri Light" w:cs="Times New Roman"/>
          <w:b/>
          <w:bCs/>
        </w:rPr>
      </w:pPr>
    </w:p>
    <w:p w14:paraId="05C26BBF" w14:textId="77777777" w:rsidR="00D757F9" w:rsidRPr="00D757F9" w:rsidRDefault="00D757F9" w:rsidP="00D757F9">
      <w:pPr>
        <w:ind w:firstLine="720"/>
        <w:rPr>
          <w:rFonts w:ascii="Calibri Light" w:eastAsia="Calibri" w:hAnsi="Calibri Light" w:cs="Times New Roman"/>
        </w:rPr>
      </w:pPr>
      <w:r w:rsidRPr="00D757F9">
        <w:rPr>
          <w:rFonts w:ascii="Calibri Light" w:eastAsia="Calibri" w:hAnsi="Calibri Light" w:cs="Times New Roman"/>
        </w:rPr>
        <w:t>[insert list of subgroup members]</w:t>
      </w:r>
    </w:p>
    <w:p w14:paraId="0EAC36A9" w14:textId="77777777" w:rsidR="00D757F9" w:rsidRPr="00D757F9" w:rsidRDefault="00D757F9" w:rsidP="00D757F9">
      <w:pPr>
        <w:rPr>
          <w:rFonts w:ascii="Calibri Light" w:eastAsia="Calibri" w:hAnsi="Calibri Light" w:cs="Times New Roman"/>
        </w:rPr>
      </w:pPr>
    </w:p>
    <w:p w14:paraId="7FB9B4AD" w14:textId="77777777" w:rsidR="00D757F9" w:rsidRPr="00D757F9" w:rsidRDefault="00D757F9" w:rsidP="00D757F9">
      <w:pPr>
        <w:rPr>
          <w:rFonts w:ascii="Calibri Light" w:eastAsia="Calibri" w:hAnsi="Calibri Light" w:cs="Times New Roman"/>
        </w:rPr>
      </w:pPr>
    </w:p>
    <w:p w14:paraId="12555566" w14:textId="77777777" w:rsidR="00D757F9" w:rsidRPr="00D757F9" w:rsidRDefault="00D757F9" w:rsidP="00D757F9">
      <w:pPr>
        <w:rPr>
          <w:rFonts w:ascii="Calibri Light" w:eastAsia="Calibri" w:hAnsi="Calibri Light" w:cs="Times New Roman"/>
        </w:rPr>
      </w:pPr>
    </w:p>
    <w:p w14:paraId="6EB9E9F7" w14:textId="77777777" w:rsidR="00D757F9" w:rsidRPr="00D757F9" w:rsidRDefault="00D757F9" w:rsidP="00D757F9">
      <w:pPr>
        <w:rPr>
          <w:rFonts w:ascii="Calibri Light" w:eastAsia="Calibri" w:hAnsi="Calibri Light" w:cs="Times New Roman"/>
          <w:b/>
          <w:bCs/>
        </w:rPr>
      </w:pPr>
      <w:r w:rsidRPr="00D757F9">
        <w:rPr>
          <w:rFonts w:ascii="Calibri Light" w:eastAsia="Calibri" w:hAnsi="Calibri Light" w:cs="Times New Roman"/>
          <w:b/>
          <w:bCs/>
        </w:rPr>
        <w:t>Acknowledgements:</w:t>
      </w:r>
    </w:p>
    <w:p w14:paraId="6D51A69C" w14:textId="77777777" w:rsidR="00D757F9" w:rsidRPr="00D757F9" w:rsidRDefault="00D757F9" w:rsidP="00D757F9">
      <w:pPr>
        <w:rPr>
          <w:rFonts w:ascii="Calibri Light" w:eastAsia="Calibri" w:hAnsi="Calibri Light" w:cs="Times New Roman"/>
        </w:rPr>
      </w:pPr>
    </w:p>
    <w:p w14:paraId="70718E81" w14:textId="77777777" w:rsidR="00D757F9" w:rsidRPr="00D757F9" w:rsidRDefault="00D757F9" w:rsidP="00D757F9">
      <w:pPr>
        <w:ind w:firstLine="720"/>
        <w:rPr>
          <w:rFonts w:ascii="Calibri Light" w:eastAsia="Calibri" w:hAnsi="Calibri Light" w:cs="Times New Roman"/>
        </w:rPr>
      </w:pPr>
      <w:r w:rsidRPr="00D757F9">
        <w:rPr>
          <w:rFonts w:ascii="Calibri Light" w:eastAsia="Calibri" w:hAnsi="Calibri Light" w:cs="Times New Roman"/>
        </w:rPr>
        <w:t>[Insert list of CDC and other federal/stakeholder representatives to acknowledge]</w:t>
      </w:r>
    </w:p>
    <w:p w14:paraId="4F74D0FD" w14:textId="77777777" w:rsidR="00D757F9" w:rsidRPr="00D757F9" w:rsidRDefault="00D757F9" w:rsidP="00D757F9">
      <w:pPr>
        <w:rPr>
          <w:rFonts w:ascii="Calibri Light" w:eastAsia="Calibri" w:hAnsi="Calibri Light" w:cs="Times New Roman"/>
        </w:rPr>
      </w:pPr>
    </w:p>
    <w:p w14:paraId="4F8269ED" w14:textId="77777777" w:rsidR="00D757F9" w:rsidRPr="00D757F9" w:rsidRDefault="00D757F9" w:rsidP="00D757F9">
      <w:pPr>
        <w:rPr>
          <w:rFonts w:ascii="Calibri Light" w:eastAsia="Calibri" w:hAnsi="Calibri Light" w:cs="Times New Roman"/>
        </w:rPr>
      </w:pPr>
    </w:p>
    <w:p w14:paraId="59269824" w14:textId="77777777" w:rsidR="00D757F9" w:rsidRPr="00D757F9" w:rsidRDefault="00D757F9" w:rsidP="00D757F9">
      <w:pPr>
        <w:rPr>
          <w:rFonts w:ascii="Calibri Light" w:eastAsia="Calibri" w:hAnsi="Calibri Light" w:cs="Times New Roman"/>
        </w:rPr>
      </w:pPr>
    </w:p>
    <w:p w14:paraId="38A77E43" w14:textId="77777777" w:rsidR="00D757F9" w:rsidRPr="00D757F9" w:rsidRDefault="00D757F9" w:rsidP="00D757F9">
      <w:pPr>
        <w:rPr>
          <w:rFonts w:ascii="Calibri Light" w:eastAsia="Calibri" w:hAnsi="Calibri Light" w:cs="Times New Roman"/>
        </w:rPr>
      </w:pPr>
    </w:p>
    <w:p w14:paraId="0CA39A5F"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 xml:space="preserve">We also thank the following groups for sharing their materials and expertise: state and local health departments, the Centers for Disease Control and Prevention, and the CSTE Legionnaires’ Disease Surveillance Workgroup: </w:t>
      </w:r>
    </w:p>
    <w:p w14:paraId="7B65F3AB" w14:textId="77777777" w:rsidR="00D757F9" w:rsidRPr="00D757F9" w:rsidRDefault="00D757F9" w:rsidP="00D757F9">
      <w:pPr>
        <w:rPr>
          <w:rFonts w:ascii="Calibri Light" w:eastAsia="Calibri" w:hAnsi="Calibri Light" w:cs="Times New Roman"/>
        </w:rPr>
      </w:pPr>
    </w:p>
    <w:p w14:paraId="1141DA10"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ab/>
        <w:t>[insert other groups/individuals to thank]</w:t>
      </w:r>
    </w:p>
    <w:p w14:paraId="265763DE" w14:textId="77777777" w:rsidR="00D757F9" w:rsidRPr="00D757F9" w:rsidRDefault="00D757F9" w:rsidP="00D757F9">
      <w:pPr>
        <w:rPr>
          <w:rFonts w:ascii="Calibri Light" w:eastAsia="Calibri" w:hAnsi="Calibri Light" w:cs="Times New Roman"/>
        </w:rPr>
      </w:pPr>
    </w:p>
    <w:p w14:paraId="019EFD24" w14:textId="77777777" w:rsidR="00D757F9" w:rsidRPr="00D757F9" w:rsidRDefault="00D757F9" w:rsidP="00D757F9">
      <w:pPr>
        <w:rPr>
          <w:rFonts w:ascii="Calibri Light" w:eastAsia="Calibri" w:hAnsi="Calibri Light" w:cs="Times New Roman"/>
        </w:rPr>
      </w:pPr>
    </w:p>
    <w:p w14:paraId="4B61F81D" w14:textId="77777777" w:rsidR="00D757F9" w:rsidRPr="00D757F9" w:rsidRDefault="00D757F9" w:rsidP="00D757F9">
      <w:pPr>
        <w:rPr>
          <w:rFonts w:ascii="Calibri Light" w:eastAsia="Calibri" w:hAnsi="Calibri Light" w:cs="Times New Roman"/>
        </w:rPr>
      </w:pPr>
    </w:p>
    <w:p w14:paraId="0878468F"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This project was funded under a cooperative agreement with the Centers for Disease Control and Prevention (NU38OT000297-01-00). The toolkit was authored for CSTE by Patricia Elliott JD, MPH under the direction of CSTE staff:</w:t>
      </w:r>
    </w:p>
    <w:p w14:paraId="0937889C" w14:textId="77777777" w:rsidR="00D757F9" w:rsidRPr="00D757F9" w:rsidRDefault="00D757F9" w:rsidP="00D757F9">
      <w:pPr>
        <w:rPr>
          <w:rFonts w:ascii="Calibri Light" w:eastAsia="Calibri" w:hAnsi="Calibri Light" w:cs="Times New Roman"/>
        </w:rPr>
      </w:pPr>
    </w:p>
    <w:p w14:paraId="3280860A"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Ashley Vineyard, MPH</w:t>
      </w:r>
    </w:p>
    <w:p w14:paraId="07A2FE69" w14:textId="77777777" w:rsidR="00D757F9" w:rsidRPr="00D757F9" w:rsidRDefault="00D757F9" w:rsidP="00D757F9">
      <w:pPr>
        <w:rPr>
          <w:rFonts w:ascii="Calibri Light" w:eastAsia="Calibri" w:hAnsi="Calibri Light" w:cs="Times New Roman"/>
        </w:rPr>
      </w:pPr>
    </w:p>
    <w:p w14:paraId="1306AE48" w14:textId="77777777" w:rsidR="00D757F9" w:rsidRPr="00D757F9" w:rsidRDefault="00D757F9" w:rsidP="00D757F9">
      <w:pPr>
        <w:ind w:firstLine="720"/>
        <w:rPr>
          <w:rFonts w:ascii="Calibri Light" w:eastAsia="Calibri" w:hAnsi="Calibri Light" w:cs="Times New Roman"/>
        </w:rPr>
      </w:pPr>
      <w:r w:rsidRPr="00D757F9">
        <w:rPr>
          <w:rFonts w:ascii="Calibri Light" w:eastAsia="Calibri" w:hAnsi="Calibri Light" w:cs="Times New Roman"/>
        </w:rPr>
        <w:t xml:space="preserve">[list other CSTE staff] </w:t>
      </w:r>
    </w:p>
    <w:p w14:paraId="0258B31D" w14:textId="77777777" w:rsidR="00D757F9" w:rsidRPr="00D757F9" w:rsidRDefault="00D757F9" w:rsidP="00D757F9">
      <w:pPr>
        <w:rPr>
          <w:rFonts w:ascii="Calibri Light" w:eastAsia="Calibri" w:hAnsi="Calibri Light" w:cs="Times New Roman"/>
        </w:rPr>
      </w:pPr>
    </w:p>
    <w:p w14:paraId="1FDC006E" w14:textId="77777777" w:rsidR="00D757F9" w:rsidRPr="00D757F9" w:rsidRDefault="00D757F9" w:rsidP="00D757F9">
      <w:pPr>
        <w:rPr>
          <w:rFonts w:ascii="Calibri Light" w:eastAsia="Calibri" w:hAnsi="Calibri Light" w:cs="Times New Roman"/>
        </w:rPr>
      </w:pPr>
    </w:p>
    <w:p w14:paraId="56094BD6" w14:textId="77777777" w:rsidR="00D757F9" w:rsidRPr="00D757F9" w:rsidRDefault="00D757F9" w:rsidP="00D757F9">
      <w:pPr>
        <w:rPr>
          <w:rFonts w:ascii="Calibri Light" w:eastAsia="Calibri" w:hAnsi="Calibri Light" w:cs="Times New Roman"/>
        </w:rPr>
      </w:pPr>
      <w:r w:rsidRPr="00D757F9">
        <w:rPr>
          <w:rFonts w:ascii="Calibri Light" w:eastAsia="Calibri" w:hAnsi="Calibri Light" w:cs="Times New Roman"/>
        </w:rPr>
        <w:t>For questions about these guidelines, please contact: Council of State and Territorial Epidemiologists 2635 Century Pkwy NE, Suite 700 Atlanta, GA 30345 Tel: 770.458.3811 | Fax: 770.458.8516</w:t>
      </w:r>
    </w:p>
    <w:p w14:paraId="3DAF3359" w14:textId="77777777" w:rsidR="00D757F9" w:rsidRPr="00D757F9" w:rsidRDefault="00D757F9" w:rsidP="00D757F9">
      <w:pPr>
        <w:rPr>
          <w:rFonts w:ascii="Calibri Light" w:eastAsia="Calibri" w:hAnsi="Calibri Light" w:cs="Times New Roman"/>
        </w:rPr>
      </w:pPr>
    </w:p>
    <w:p w14:paraId="0551B8AC" w14:textId="77777777" w:rsidR="00D757F9" w:rsidRPr="00D757F9" w:rsidRDefault="00D757F9" w:rsidP="00D757F9">
      <w:pPr>
        <w:rPr>
          <w:rFonts w:ascii="Calibri Light" w:eastAsia="Calibri" w:hAnsi="Calibri Light" w:cs="Times New Roman"/>
        </w:rPr>
      </w:pPr>
    </w:p>
    <w:p w14:paraId="2B266212" w14:textId="77777777" w:rsidR="00D757F9" w:rsidRPr="00D757F9" w:rsidRDefault="00D757F9" w:rsidP="00D757F9">
      <w:pPr>
        <w:rPr>
          <w:rFonts w:ascii="Calibri Light" w:eastAsia="Calibri" w:hAnsi="Calibri Light" w:cs="Times New Roman"/>
        </w:rPr>
      </w:pPr>
    </w:p>
    <w:p w14:paraId="7A8D203B" w14:textId="77777777" w:rsidR="00D757F9" w:rsidRPr="00D757F9" w:rsidRDefault="00D757F9" w:rsidP="00D757F9">
      <w:pPr>
        <w:rPr>
          <w:rFonts w:ascii="Calibri Light" w:eastAsia="Calibri" w:hAnsi="Calibri Light" w:cs="Times New Roman"/>
        </w:rPr>
      </w:pPr>
    </w:p>
    <w:p w14:paraId="131A7385" w14:textId="77777777" w:rsidR="00D757F9" w:rsidRPr="00D757F9" w:rsidRDefault="00D757F9" w:rsidP="00D757F9">
      <w:pPr>
        <w:rPr>
          <w:rFonts w:ascii="Calibri Light" w:eastAsia="Calibri" w:hAnsi="Calibri Light" w:cs="Times New Roman"/>
        </w:rPr>
      </w:pPr>
    </w:p>
    <w:p w14:paraId="78CE60FF" w14:textId="77777777" w:rsidR="00D757F9" w:rsidRPr="00D757F9" w:rsidRDefault="00D757F9" w:rsidP="00D757F9">
      <w:pPr>
        <w:rPr>
          <w:rFonts w:ascii="Calibri Light" w:eastAsia="Calibri" w:hAnsi="Calibri Light" w:cs="Times New Roman"/>
        </w:rPr>
      </w:pPr>
    </w:p>
    <w:p w14:paraId="206C12DF" w14:textId="77777777" w:rsidR="00D757F9" w:rsidRPr="00D757F9" w:rsidRDefault="00D757F9" w:rsidP="00D757F9">
      <w:pPr>
        <w:rPr>
          <w:rFonts w:ascii="Calibri Light" w:eastAsia="Calibri" w:hAnsi="Calibri Light" w:cs="Times New Roman"/>
        </w:rPr>
      </w:pPr>
    </w:p>
    <w:p w14:paraId="6D1CAEC7" w14:textId="77777777" w:rsidR="00D757F9" w:rsidRPr="00D757F9" w:rsidRDefault="00D757F9" w:rsidP="00D757F9">
      <w:pPr>
        <w:rPr>
          <w:rFonts w:ascii="Calibri" w:eastAsia="Calibri" w:hAnsi="Calibri" w:cs="Times New Roman"/>
        </w:rPr>
      </w:pPr>
      <w:r w:rsidRPr="00D757F9">
        <w:rPr>
          <w:rFonts w:ascii="Calibri" w:eastAsia="Calibri" w:hAnsi="Calibri" w:cs="Times New Roman"/>
        </w:rPr>
        <w:br w:type="page"/>
      </w:r>
    </w:p>
    <w:p w14:paraId="006A0A39" w14:textId="77777777" w:rsidR="00D757F9" w:rsidRPr="00D757F9" w:rsidRDefault="00D757F9" w:rsidP="00D757F9">
      <w:pPr>
        <w:jc w:val="center"/>
        <w:rPr>
          <w:rFonts w:ascii="Arial" w:eastAsia="Calibri" w:hAnsi="Arial" w:cs="Arial"/>
          <w:b/>
          <w:bCs/>
          <w:sz w:val="24"/>
          <w:szCs w:val="24"/>
        </w:rPr>
      </w:pPr>
      <w:r w:rsidRPr="00D757F9">
        <w:rPr>
          <w:rFonts w:ascii="Arial" w:eastAsia="Calibri" w:hAnsi="Arial" w:cs="Arial"/>
          <w:b/>
          <w:bCs/>
          <w:sz w:val="24"/>
          <w:szCs w:val="24"/>
        </w:rPr>
        <w:lastRenderedPageBreak/>
        <w:t>Introduction</w:t>
      </w:r>
    </w:p>
    <w:p w14:paraId="7F16DEFB" w14:textId="77777777" w:rsidR="00D757F9" w:rsidRPr="00D757F9" w:rsidRDefault="00D757F9" w:rsidP="00D757F9">
      <w:pPr>
        <w:spacing w:line="360" w:lineRule="auto"/>
        <w:rPr>
          <w:rFonts w:ascii="Calibri Light" w:eastAsia="Calibri" w:hAnsi="Calibri Light" w:cs="Times New Roman"/>
        </w:rPr>
      </w:pPr>
    </w:p>
    <w:p w14:paraId="2B753ED1" w14:textId="77777777" w:rsidR="00D757F9" w:rsidRPr="00D757F9" w:rsidRDefault="00D757F9" w:rsidP="00D757F9">
      <w:pPr>
        <w:spacing w:line="360" w:lineRule="auto"/>
        <w:rPr>
          <w:rFonts w:ascii="Calibri Light" w:eastAsia="Calibri" w:hAnsi="Calibri Light" w:cs="Times New Roman"/>
        </w:rPr>
      </w:pPr>
    </w:p>
    <w:p w14:paraId="4BF7B4E9" w14:textId="77777777" w:rsidR="00D757F9" w:rsidRPr="00D757F9" w:rsidRDefault="00D757F9" w:rsidP="00D757F9">
      <w:pPr>
        <w:spacing w:after="120" w:line="360" w:lineRule="auto"/>
        <w:rPr>
          <w:rFonts w:ascii="Arial" w:eastAsia="Calibri" w:hAnsi="Arial" w:cs="Arial"/>
          <w:b/>
          <w:bCs/>
        </w:rPr>
      </w:pPr>
      <w:r w:rsidRPr="00D757F9">
        <w:rPr>
          <w:rFonts w:ascii="Arial" w:eastAsia="Calibri" w:hAnsi="Arial" w:cs="Arial"/>
          <w:b/>
          <w:bCs/>
        </w:rPr>
        <w:t>The Ongoing Challenge of Legionnaires’ Disease</w:t>
      </w:r>
    </w:p>
    <w:p w14:paraId="78E43871" w14:textId="77777777" w:rsidR="00D757F9" w:rsidRPr="00D757F9" w:rsidRDefault="00D757F9" w:rsidP="00D757F9">
      <w:pPr>
        <w:spacing w:line="360" w:lineRule="auto"/>
        <w:rPr>
          <w:rFonts w:ascii="Calibri Light" w:eastAsia="Calibri" w:hAnsi="Calibri Light" w:cs="Times New Roman"/>
        </w:rPr>
      </w:pPr>
      <w:r w:rsidRPr="00D757F9">
        <w:rPr>
          <w:rFonts w:ascii="Calibri Light" w:eastAsia="Calibri" w:hAnsi="Calibri Light" w:cs="Times New Roman"/>
        </w:rPr>
        <w:t>Although some may see Legionnaires’ disease (LD) as occurring infrequently—and then only in limited settings—it is in fact an ongoing public health threat that occurs in multiple types of settings. CDC notes the rate of reported LD cases in the U.S. has increased steadily since 2000. There were almost 10,000 cases reported by health departments in the U.S in 2018, though CDC considers the true incidence of the disease to be higher as LD is likely underdiagnosed.</w:t>
      </w:r>
      <w:r w:rsidRPr="00D757F9">
        <w:rPr>
          <w:rFonts w:ascii="Calibri Light" w:eastAsia="Calibri" w:hAnsi="Calibri Light" w:cs="Times New Roman"/>
          <w:vertAlign w:val="superscript"/>
        </w:rPr>
        <w:footnoteReference w:id="1"/>
      </w:r>
      <w:r w:rsidRPr="00D757F9">
        <w:rPr>
          <w:rFonts w:ascii="Calibri Light" w:eastAsia="Calibri" w:hAnsi="Calibri Light" w:cs="Times New Roman"/>
        </w:rPr>
        <w:t xml:space="preserve"> While CDC acknowledges uncertainty for the reasons in the increase in LD cases—whether it is from increased awareness and reporting, greater susceptibility in the population, more </w:t>
      </w:r>
      <w:r w:rsidRPr="00D757F9">
        <w:rPr>
          <w:rFonts w:ascii="Calibri Light" w:eastAsia="Calibri" w:hAnsi="Calibri Light" w:cs="Times New Roman"/>
          <w:i/>
          <w:iCs/>
        </w:rPr>
        <w:t>Legionella</w:t>
      </w:r>
      <w:r w:rsidRPr="00D757F9">
        <w:rPr>
          <w:rFonts w:ascii="Calibri Light" w:eastAsia="Calibri" w:hAnsi="Calibri Light" w:cs="Times New Roman"/>
        </w:rPr>
        <w:t xml:space="preserve"> in the environment, or a combination of these</w:t>
      </w:r>
      <w:r w:rsidRPr="00D757F9">
        <w:rPr>
          <w:rFonts w:ascii="Calibri Light" w:eastAsia="Calibri" w:hAnsi="Calibri Light" w:cs="Times New Roman"/>
          <w:vertAlign w:val="superscript"/>
        </w:rPr>
        <w:footnoteReference w:id="2"/>
      </w:r>
      <w:r w:rsidRPr="00D757F9">
        <w:rPr>
          <w:rFonts w:ascii="Calibri Light" w:eastAsia="Calibri" w:hAnsi="Calibri Light" w:cs="Times New Roman"/>
        </w:rPr>
        <w:t>—it is clear that state, tribal, local, and territorial (STLT) health agencies need to emphasize timely and appropriate communications with key audiences and the general public as part of the process of identifying and responding to cases and outbreaks of LD.</w:t>
      </w:r>
    </w:p>
    <w:p w14:paraId="6656332C" w14:textId="77777777" w:rsidR="00D757F9" w:rsidRPr="00D757F9" w:rsidRDefault="00D757F9" w:rsidP="00D757F9">
      <w:pPr>
        <w:spacing w:line="360" w:lineRule="auto"/>
        <w:rPr>
          <w:rFonts w:ascii="Calibri Light" w:eastAsia="Calibri" w:hAnsi="Calibri Light" w:cs="Times New Roman"/>
        </w:rPr>
      </w:pPr>
    </w:p>
    <w:p w14:paraId="13F5FD06" w14:textId="77777777" w:rsidR="00D757F9" w:rsidRPr="00D757F9" w:rsidRDefault="00D757F9" w:rsidP="00D757F9">
      <w:pPr>
        <w:spacing w:after="120" w:line="360" w:lineRule="auto"/>
        <w:rPr>
          <w:rFonts w:ascii="Arial" w:eastAsia="Calibri" w:hAnsi="Arial" w:cs="Arial"/>
          <w:b/>
          <w:bCs/>
        </w:rPr>
      </w:pPr>
      <w:r w:rsidRPr="00D757F9">
        <w:rPr>
          <w:rFonts w:ascii="Arial" w:eastAsia="Calibri" w:hAnsi="Arial" w:cs="Arial"/>
          <w:b/>
          <w:bCs/>
        </w:rPr>
        <w:t>Varying Risk Communication Approaches and Development of this Toolkit</w:t>
      </w:r>
    </w:p>
    <w:p w14:paraId="5EF88115" w14:textId="77777777" w:rsidR="00D757F9" w:rsidRPr="00D757F9" w:rsidRDefault="00D757F9" w:rsidP="00D757F9">
      <w:pPr>
        <w:spacing w:line="360" w:lineRule="auto"/>
        <w:rPr>
          <w:rFonts w:ascii="Calibri Light" w:eastAsia="Calibri" w:hAnsi="Calibri Light" w:cs="Times New Roman"/>
        </w:rPr>
      </w:pPr>
      <w:r w:rsidRPr="00D757F9">
        <w:rPr>
          <w:rFonts w:ascii="Calibri Light" w:eastAsia="Calibri" w:hAnsi="Calibri Light" w:cs="Times New Roman"/>
        </w:rPr>
        <w:t xml:space="preserve">Individual STLT health agencies have employed a variety of approaches to communicate the risks of LD. Agencies may have developed their own guidelines internally as well as used existing resources about surveillance, reporting, investigation, and communication. As a result, </w:t>
      </w:r>
      <w:proofErr w:type="gramStart"/>
      <w:r w:rsidRPr="00D757F9">
        <w:rPr>
          <w:rFonts w:ascii="Calibri Light" w:eastAsia="Calibri" w:hAnsi="Calibri Light" w:cs="Times New Roman"/>
        </w:rPr>
        <w:t>guidelines</w:t>
      </w:r>
      <w:proofErr w:type="gramEnd"/>
      <w:r w:rsidRPr="00D757F9">
        <w:rPr>
          <w:rFonts w:ascii="Calibri Light" w:eastAsia="Calibri" w:hAnsi="Calibri Light" w:cs="Times New Roman"/>
        </w:rPr>
        <w:t xml:space="preserve"> and protocols for communicating LD risks and mitigation information can vary across and within jurisdictions. For this reason, the CSTE Legionnaires’ Disease Surveillance Workgroup (the Workgroup) initiated a project to develop cohesive risk communication guidance available to all STLT health agencies. The Workgroup tasked the CSTE Legionnaires’ Disease Risk Communication Subgroup with collecting and distilling a range </w:t>
      </w:r>
      <w:proofErr w:type="gramStart"/>
      <w:r w:rsidRPr="00D757F9">
        <w:rPr>
          <w:rFonts w:ascii="Calibri Light" w:eastAsia="Calibri" w:hAnsi="Calibri Light" w:cs="Times New Roman"/>
        </w:rPr>
        <w:t>of  LD</w:t>
      </w:r>
      <w:proofErr w:type="gramEnd"/>
      <w:r w:rsidRPr="00D757F9">
        <w:rPr>
          <w:rFonts w:ascii="Calibri Light" w:eastAsia="Calibri" w:hAnsi="Calibri Light" w:cs="Times New Roman"/>
        </w:rPr>
        <w:t xml:space="preserve"> risk communication resources and materials created by STLT and federal agencies and organizations with the goal of producing cohesive risk guidance. </w:t>
      </w:r>
    </w:p>
    <w:p w14:paraId="7E7CDB6A" w14:textId="77777777" w:rsidR="00D757F9" w:rsidRPr="00D757F9" w:rsidRDefault="00D757F9" w:rsidP="00D757F9">
      <w:pPr>
        <w:spacing w:line="360" w:lineRule="auto"/>
        <w:rPr>
          <w:rFonts w:ascii="Calibri Light" w:eastAsia="Calibri" w:hAnsi="Calibri Light" w:cs="Times New Roman"/>
        </w:rPr>
      </w:pPr>
    </w:p>
    <w:p w14:paraId="16FA7B14" w14:textId="77777777" w:rsidR="00D757F9" w:rsidRPr="00D757F9" w:rsidRDefault="00D757F9" w:rsidP="00D757F9">
      <w:pPr>
        <w:keepNext/>
        <w:keepLines/>
        <w:spacing w:after="120" w:line="360" w:lineRule="auto"/>
        <w:rPr>
          <w:rFonts w:ascii="Arial" w:eastAsia="Calibri" w:hAnsi="Arial" w:cs="Arial"/>
          <w:b/>
          <w:bCs/>
        </w:rPr>
      </w:pPr>
      <w:r w:rsidRPr="00D757F9">
        <w:rPr>
          <w:rFonts w:ascii="Arial" w:eastAsia="Calibri" w:hAnsi="Arial" w:cs="Arial"/>
          <w:b/>
          <w:bCs/>
        </w:rPr>
        <w:lastRenderedPageBreak/>
        <w:t>Using the Toolkit</w:t>
      </w:r>
    </w:p>
    <w:p w14:paraId="225074A0" w14:textId="77777777" w:rsidR="00D757F9" w:rsidRPr="00D757F9" w:rsidRDefault="00D757F9" w:rsidP="00D757F9">
      <w:pPr>
        <w:spacing w:after="80" w:line="360" w:lineRule="auto"/>
        <w:rPr>
          <w:rFonts w:ascii="Calibri Light" w:eastAsia="Calibri" w:hAnsi="Calibri Light" w:cs="Times New Roman"/>
        </w:rPr>
      </w:pPr>
      <w:r w:rsidRPr="00D757F9">
        <w:rPr>
          <w:rFonts w:ascii="Calibri Light" w:eastAsia="Calibri" w:hAnsi="Calibri Light" w:cs="Times New Roman"/>
        </w:rPr>
        <w:t>This toolkit opens by providing foundational information about LD, identifying key legal considerations, and discussing important considerations when communicating about LD with stakeholders and the public. The information in these initial chapters applies to all settings in which LD can occur. The toolkit next provides a series of setting-specific modules that address LD-related information and messaging targeted for that setting. The setting-specific modules are:</w:t>
      </w:r>
    </w:p>
    <w:p w14:paraId="0396E71C" w14:textId="77777777" w:rsidR="00D757F9" w:rsidRPr="00D757F9" w:rsidRDefault="00D757F9" w:rsidP="00D757F9">
      <w:pPr>
        <w:numPr>
          <w:ilvl w:val="0"/>
          <w:numId w:val="13"/>
        </w:numPr>
        <w:spacing w:after="80" w:line="360" w:lineRule="auto"/>
        <w:contextualSpacing/>
        <w:rPr>
          <w:rFonts w:ascii="Calibri Light" w:eastAsia="Calibri" w:hAnsi="Calibri Light" w:cs="Times New Roman"/>
        </w:rPr>
      </w:pPr>
      <w:r w:rsidRPr="00D757F9">
        <w:rPr>
          <w:rFonts w:ascii="Calibri Light" w:eastAsia="Calibri" w:hAnsi="Calibri Light" w:cs="Times New Roman"/>
        </w:rPr>
        <w:t>Healthcare Facilities</w:t>
      </w:r>
    </w:p>
    <w:p w14:paraId="4F2CCD80" w14:textId="77777777" w:rsidR="00D757F9" w:rsidRPr="00D757F9" w:rsidRDefault="00D757F9" w:rsidP="00D757F9">
      <w:pPr>
        <w:numPr>
          <w:ilvl w:val="0"/>
          <w:numId w:val="13"/>
        </w:numPr>
        <w:spacing w:after="80" w:line="360" w:lineRule="auto"/>
        <w:contextualSpacing/>
        <w:rPr>
          <w:rFonts w:ascii="Calibri Light" w:eastAsia="Calibri" w:hAnsi="Calibri Light" w:cs="Times New Roman"/>
        </w:rPr>
      </w:pPr>
      <w:r w:rsidRPr="00D757F9">
        <w:rPr>
          <w:rFonts w:ascii="Calibri Light" w:eastAsia="Calibri" w:hAnsi="Calibri Light" w:cs="Times New Roman"/>
        </w:rPr>
        <w:t>Congregate Residential Facilities</w:t>
      </w:r>
    </w:p>
    <w:p w14:paraId="04D4876A" w14:textId="77777777" w:rsidR="00D757F9" w:rsidRPr="00D757F9" w:rsidRDefault="00D757F9" w:rsidP="00D757F9">
      <w:pPr>
        <w:numPr>
          <w:ilvl w:val="0"/>
          <w:numId w:val="13"/>
        </w:numPr>
        <w:spacing w:after="80" w:line="360" w:lineRule="auto"/>
        <w:contextualSpacing/>
        <w:rPr>
          <w:rFonts w:ascii="Calibri Light" w:eastAsia="Calibri" w:hAnsi="Calibri Light" w:cs="Times New Roman"/>
        </w:rPr>
      </w:pPr>
      <w:r w:rsidRPr="00D757F9">
        <w:rPr>
          <w:rFonts w:ascii="Calibri Light" w:eastAsia="Calibri" w:hAnsi="Calibri Light" w:cs="Times New Roman"/>
        </w:rPr>
        <w:t>Hotels and Hospitality Facilities</w:t>
      </w:r>
    </w:p>
    <w:p w14:paraId="685B8DCD" w14:textId="77777777" w:rsidR="00D757F9" w:rsidRPr="00D757F9" w:rsidRDefault="00D757F9" w:rsidP="00D757F9">
      <w:pPr>
        <w:numPr>
          <w:ilvl w:val="0"/>
          <w:numId w:val="13"/>
        </w:numPr>
        <w:spacing w:after="80" w:line="360" w:lineRule="auto"/>
        <w:contextualSpacing/>
        <w:rPr>
          <w:rFonts w:ascii="Calibri Light" w:eastAsia="Calibri" w:hAnsi="Calibri Light" w:cs="Times New Roman"/>
        </w:rPr>
      </w:pPr>
      <w:r w:rsidRPr="00D757F9">
        <w:rPr>
          <w:rFonts w:ascii="Calibri Light" w:eastAsia="Calibri" w:hAnsi="Calibri Light" w:cs="Times New Roman"/>
        </w:rPr>
        <w:t>Community Settings</w:t>
      </w:r>
    </w:p>
    <w:p w14:paraId="1B5BD654" w14:textId="77777777" w:rsidR="00D757F9" w:rsidRPr="00D757F9" w:rsidRDefault="00D757F9" w:rsidP="00D757F9">
      <w:pPr>
        <w:numPr>
          <w:ilvl w:val="0"/>
          <w:numId w:val="13"/>
        </w:numPr>
        <w:spacing w:after="80" w:line="360" w:lineRule="auto"/>
        <w:contextualSpacing/>
        <w:rPr>
          <w:rFonts w:ascii="Calibri Light" w:eastAsia="Calibri" w:hAnsi="Calibri Light" w:cs="Times New Roman"/>
        </w:rPr>
      </w:pPr>
      <w:r w:rsidRPr="00D757F9">
        <w:rPr>
          <w:rFonts w:ascii="Calibri Light" w:eastAsia="Calibri" w:hAnsi="Calibri Light" w:cs="Times New Roman"/>
        </w:rPr>
        <w:t>Recreational Settings</w:t>
      </w:r>
    </w:p>
    <w:p w14:paraId="2D3A1ABA" w14:textId="671F4294" w:rsidR="00D757F9" w:rsidRDefault="00D757F9" w:rsidP="00D757F9">
      <w:pPr>
        <w:numPr>
          <w:ilvl w:val="0"/>
          <w:numId w:val="13"/>
        </w:numPr>
        <w:spacing w:after="80" w:line="360" w:lineRule="auto"/>
        <w:contextualSpacing/>
        <w:rPr>
          <w:rFonts w:ascii="Calibri Light" w:eastAsia="Calibri" w:hAnsi="Calibri Light" w:cs="Times New Roman"/>
        </w:rPr>
      </w:pPr>
      <w:r w:rsidRPr="00D757F9">
        <w:rPr>
          <w:rFonts w:ascii="Calibri Light" w:eastAsia="Calibri" w:hAnsi="Calibri Light" w:cs="Times New Roman"/>
        </w:rPr>
        <w:t>Occupational Settings</w:t>
      </w:r>
    </w:p>
    <w:p w14:paraId="354A2499" w14:textId="77777777" w:rsidR="00275616" w:rsidRPr="00D757F9" w:rsidRDefault="00275616" w:rsidP="00275616">
      <w:pPr>
        <w:spacing w:after="80" w:line="360" w:lineRule="auto"/>
        <w:contextualSpacing/>
        <w:rPr>
          <w:rFonts w:ascii="Calibri Light" w:eastAsia="Calibri" w:hAnsi="Calibri Light" w:cs="Times New Roman"/>
        </w:rPr>
      </w:pPr>
    </w:p>
    <w:p w14:paraId="29200C9E" w14:textId="786ACC95" w:rsidR="00D757F9" w:rsidRDefault="00D757F9" w:rsidP="00D757F9">
      <w:pPr>
        <w:spacing w:after="80" w:line="360" w:lineRule="auto"/>
        <w:rPr>
          <w:rFonts w:ascii="Calibri Light" w:eastAsia="Calibri" w:hAnsi="Calibri Light" w:cs="Times New Roman"/>
        </w:rPr>
      </w:pPr>
      <w:r w:rsidRPr="00D757F9">
        <w:rPr>
          <w:rFonts w:ascii="Calibri Light" w:eastAsia="Calibri" w:hAnsi="Calibri Light" w:cs="Times New Roman"/>
        </w:rPr>
        <w:t>Each module also provides templates and/or samples for key communication items such as notification letters, health officer orders, press releases, and health department advisories. The modules also identify practice tips and other resources to help STLT health agency staff communicate the risks of LD in these specific settings and with target audiences. More detailed information about using the modules is contained in the “Overview of Legionnaires’ Disease Risk Communication Modules” section below.</w:t>
      </w:r>
    </w:p>
    <w:p w14:paraId="3B42E2F1" w14:textId="77777777" w:rsidR="001C2915" w:rsidRDefault="001C2915">
      <w:pPr>
        <w:rPr>
          <w:rFonts w:ascii="Calibri Light" w:eastAsia="Calibri" w:hAnsi="Calibri Light" w:cs="Times New Roman"/>
        </w:rPr>
      </w:pPr>
    </w:p>
    <w:p w14:paraId="23D33F3A" w14:textId="77777777" w:rsidR="001C2915" w:rsidRDefault="001C2915">
      <w:pPr>
        <w:rPr>
          <w:rFonts w:ascii="Calibri Light" w:eastAsia="Calibri" w:hAnsi="Calibri Light" w:cs="Times New Roman"/>
        </w:rPr>
        <w:sectPr w:rsidR="001C2915" w:rsidSect="000E77D6">
          <w:headerReference w:type="default" r:id="rId8"/>
          <w:footerReference w:type="default" r:id="rId9"/>
          <w:headerReference w:type="first" r:id="rId10"/>
          <w:pgSz w:w="12240" w:h="15840"/>
          <w:pgMar w:top="1440" w:right="1440" w:bottom="1440" w:left="1440" w:header="720" w:footer="720" w:gutter="0"/>
          <w:cols w:space="720"/>
          <w:titlePg/>
          <w:docGrid w:linePitch="360"/>
        </w:sectPr>
      </w:pPr>
    </w:p>
    <w:p w14:paraId="7888F861" w14:textId="77777777" w:rsidR="00CD741D" w:rsidRPr="00CD741D" w:rsidRDefault="00CD741D" w:rsidP="00CD741D">
      <w:pPr>
        <w:spacing w:after="120"/>
        <w:jc w:val="center"/>
        <w:rPr>
          <w:rFonts w:ascii="Arial" w:eastAsia="Calibri" w:hAnsi="Arial" w:cs="Arial"/>
          <w:b/>
          <w:bCs/>
          <w:sz w:val="24"/>
          <w:szCs w:val="24"/>
        </w:rPr>
      </w:pPr>
      <w:r w:rsidRPr="00CD741D">
        <w:rPr>
          <w:rFonts w:ascii="Arial" w:eastAsia="Calibri" w:hAnsi="Arial" w:cs="Arial"/>
          <w:b/>
          <w:bCs/>
          <w:sz w:val="24"/>
          <w:szCs w:val="24"/>
        </w:rPr>
        <w:lastRenderedPageBreak/>
        <w:t>Chapter 1</w:t>
      </w:r>
    </w:p>
    <w:p w14:paraId="39AD9142" w14:textId="77777777" w:rsidR="00CD741D" w:rsidRPr="00CD741D" w:rsidRDefault="00CD741D" w:rsidP="00CD741D">
      <w:pPr>
        <w:jc w:val="center"/>
        <w:rPr>
          <w:rFonts w:ascii="Arial" w:eastAsia="Calibri" w:hAnsi="Arial" w:cs="Arial"/>
          <w:b/>
          <w:bCs/>
          <w:sz w:val="24"/>
          <w:szCs w:val="24"/>
        </w:rPr>
      </w:pPr>
      <w:r w:rsidRPr="00CD741D">
        <w:rPr>
          <w:rFonts w:ascii="Arial" w:eastAsia="Calibri" w:hAnsi="Arial" w:cs="Arial"/>
          <w:b/>
          <w:bCs/>
          <w:sz w:val="24"/>
          <w:szCs w:val="24"/>
        </w:rPr>
        <w:t>Legionnaires’ Disease Basics</w:t>
      </w:r>
    </w:p>
    <w:p w14:paraId="52AA59BB" w14:textId="2C12D818" w:rsidR="00CD741D" w:rsidRDefault="00CD741D" w:rsidP="00CD741D">
      <w:pPr>
        <w:spacing w:line="360" w:lineRule="auto"/>
        <w:rPr>
          <w:rFonts w:ascii="Calibri Light" w:eastAsia="Calibri" w:hAnsi="Calibri Light" w:cs="Calibri Light"/>
        </w:rPr>
      </w:pPr>
    </w:p>
    <w:p w14:paraId="69F8E503" w14:textId="77777777" w:rsidR="00A34777" w:rsidRPr="00CD741D" w:rsidRDefault="00A34777" w:rsidP="00CD741D">
      <w:pPr>
        <w:spacing w:line="360" w:lineRule="auto"/>
        <w:rPr>
          <w:rFonts w:ascii="Calibri Light" w:eastAsia="Calibri" w:hAnsi="Calibri Light" w:cs="Calibri Light"/>
        </w:rPr>
      </w:pPr>
    </w:p>
    <w:p w14:paraId="7D402B86" w14:textId="77777777" w:rsidR="00CD741D" w:rsidRPr="00CD741D" w:rsidRDefault="00CD741D" w:rsidP="00CD741D">
      <w:pPr>
        <w:spacing w:line="360" w:lineRule="auto"/>
        <w:rPr>
          <w:rFonts w:ascii="Calibri Light" w:eastAsia="Calibri" w:hAnsi="Calibri Light" w:cs="Calibri Light"/>
        </w:rPr>
      </w:pPr>
      <w:r w:rsidRPr="00CD741D">
        <w:rPr>
          <w:rFonts w:ascii="Calibri Light" w:eastAsia="Calibri" w:hAnsi="Calibri Light" w:cs="Calibri Light"/>
        </w:rPr>
        <w:t>This chapter provides basic information about Legionnaires’ disease (LD) and the related condition, Pontiac fever (PF). It covers the following topics:</w:t>
      </w:r>
    </w:p>
    <w:p w14:paraId="21D2AA12"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History of LD and PF</w:t>
      </w:r>
    </w:p>
    <w:p w14:paraId="29D327B7"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Causes of LD and PF</w:t>
      </w:r>
    </w:p>
    <w:p w14:paraId="24A773A5"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 xml:space="preserve">Persons at risk </w:t>
      </w:r>
    </w:p>
    <w:p w14:paraId="470C4474"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Symptoms</w:t>
      </w:r>
    </w:p>
    <w:p w14:paraId="3CAAE2DE"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Diagnosis</w:t>
      </w:r>
    </w:p>
    <w:p w14:paraId="02CE387E"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Treatment</w:t>
      </w:r>
    </w:p>
    <w:p w14:paraId="3C59E515"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Reporting</w:t>
      </w:r>
    </w:p>
    <w:p w14:paraId="5FB63005" w14:textId="77777777" w:rsidR="00CD741D" w:rsidRPr="00CD741D" w:rsidRDefault="00CD741D" w:rsidP="00CD741D">
      <w:pPr>
        <w:numPr>
          <w:ilvl w:val="0"/>
          <w:numId w:val="14"/>
        </w:numPr>
        <w:spacing w:line="360" w:lineRule="auto"/>
        <w:contextualSpacing/>
        <w:rPr>
          <w:rFonts w:ascii="Calibri Light" w:eastAsia="Calibri" w:hAnsi="Calibri Light" w:cs="Calibri Light"/>
        </w:rPr>
      </w:pPr>
      <w:r w:rsidRPr="00CD741D">
        <w:rPr>
          <w:rFonts w:ascii="Calibri Light" w:eastAsia="Calibri" w:hAnsi="Calibri Light" w:cs="Calibri Light"/>
        </w:rPr>
        <w:t>Mitigation and Prevention</w:t>
      </w:r>
    </w:p>
    <w:p w14:paraId="6B5D150B" w14:textId="77777777" w:rsidR="00CD741D" w:rsidRPr="00CD741D" w:rsidRDefault="00CD741D" w:rsidP="00CD741D">
      <w:pPr>
        <w:spacing w:line="360" w:lineRule="auto"/>
        <w:rPr>
          <w:rFonts w:ascii="Calibri Light" w:eastAsia="Calibri" w:hAnsi="Calibri Light" w:cs="Calibri Light"/>
        </w:rPr>
      </w:pPr>
    </w:p>
    <w:p w14:paraId="6CFD300B" w14:textId="77777777" w:rsidR="00CD741D" w:rsidRPr="00CD741D" w:rsidRDefault="00CD741D" w:rsidP="00CD741D">
      <w:pPr>
        <w:spacing w:after="120" w:line="360" w:lineRule="auto"/>
        <w:rPr>
          <w:rFonts w:ascii="Arial" w:eastAsia="Calibri" w:hAnsi="Arial" w:cs="Arial"/>
          <w:b/>
          <w:bCs/>
        </w:rPr>
      </w:pPr>
      <w:r w:rsidRPr="00CD741D">
        <w:rPr>
          <w:rFonts w:ascii="Arial" w:eastAsia="Calibri" w:hAnsi="Arial" w:cs="Arial"/>
          <w:b/>
          <w:bCs/>
        </w:rPr>
        <w:t>History of Legionnaires’ Disease and Pontiac Fever</w:t>
      </w:r>
    </w:p>
    <w:p w14:paraId="48290950" w14:textId="77777777" w:rsidR="00CD741D" w:rsidRPr="00CD741D" w:rsidRDefault="00CD741D" w:rsidP="00CD741D">
      <w:pPr>
        <w:spacing w:line="360" w:lineRule="auto"/>
        <w:rPr>
          <w:rFonts w:ascii="Calibri Light" w:eastAsia="Calibri" w:hAnsi="Calibri Light" w:cs="Times New Roman"/>
        </w:rPr>
      </w:pPr>
      <w:r w:rsidRPr="00CD741D">
        <w:rPr>
          <w:rFonts w:ascii="Calibri Light" w:eastAsia="Calibri" w:hAnsi="Calibri Light" w:cs="Times New Roman"/>
        </w:rPr>
        <w:t xml:space="preserve">Legionnaires’ disease is a </w:t>
      </w:r>
      <w:r w:rsidRPr="00CD741D">
        <w:rPr>
          <w:rFonts w:ascii="Calibri Light" w:eastAsia="Calibri" w:hAnsi="Calibri Light" w:cs="Calibri Light"/>
        </w:rPr>
        <w:t xml:space="preserve">severe </w:t>
      </w:r>
      <w:r w:rsidRPr="00CD741D">
        <w:rPr>
          <w:rFonts w:ascii="Calibri Light" w:eastAsia="Calibri" w:hAnsi="Calibri Light" w:cs="Times New Roman"/>
        </w:rPr>
        <w:t xml:space="preserve">type of pneumonia caused by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bacteria.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can also cause Pontiac fever, a related but milder illness.</w:t>
      </w:r>
      <w:r w:rsidRPr="00CD741D">
        <w:rPr>
          <w:rFonts w:ascii="Calibri Light" w:eastAsia="Calibri" w:hAnsi="Calibri Light" w:cs="Times New Roman"/>
          <w:vertAlign w:val="superscript"/>
        </w:rPr>
        <w:footnoteReference w:id="3"/>
      </w:r>
      <w:r w:rsidRPr="00CD741D">
        <w:rPr>
          <w:rFonts w:ascii="Calibri Light" w:eastAsia="Calibri" w:hAnsi="Calibri Light" w:cs="Times New Roman"/>
        </w:rPr>
        <w:t xml:space="preserve"> LD and </w:t>
      </w:r>
      <w:r w:rsidRPr="00CD741D">
        <w:rPr>
          <w:rFonts w:ascii="Calibri Light" w:eastAsia="Calibri" w:hAnsi="Calibri Light" w:cs="Calibri Light"/>
        </w:rPr>
        <w:t>PF</w:t>
      </w:r>
      <w:r w:rsidRPr="00CD741D">
        <w:rPr>
          <w:rFonts w:ascii="Calibri Light" w:eastAsia="Calibri" w:hAnsi="Calibri Light" w:cs="Times New Roman"/>
        </w:rPr>
        <w:t xml:space="preserve"> are collectively referred to as legionellosis. There are at least 60 species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although most disease arises from </w:t>
      </w:r>
      <w:r w:rsidRPr="00CD741D">
        <w:rPr>
          <w:rFonts w:ascii="Calibri Light" w:eastAsia="Calibri" w:hAnsi="Calibri Light" w:cs="Times New Roman"/>
          <w:i/>
          <w:iCs/>
        </w:rPr>
        <w:t>Legionella pneumophilia</w:t>
      </w:r>
      <w:r w:rsidRPr="00CD741D">
        <w:rPr>
          <w:rFonts w:ascii="Calibri Light" w:eastAsia="Calibri" w:hAnsi="Calibri Light" w:cs="Times New Roman"/>
        </w:rPr>
        <w:t xml:space="preserve"> sero</w:t>
      </w:r>
      <w:r w:rsidRPr="00CD741D">
        <w:rPr>
          <w:rFonts w:ascii="Calibri Light" w:eastAsia="Calibri" w:hAnsi="Calibri Light" w:cs="Calibri Light"/>
        </w:rPr>
        <w:t>group</w:t>
      </w:r>
      <w:r w:rsidRPr="00CD741D">
        <w:rPr>
          <w:rFonts w:ascii="Calibri Light" w:eastAsia="Calibri" w:hAnsi="Calibri Light" w:cs="Times New Roman"/>
        </w:rPr>
        <w:t xml:space="preserve"> 1.</w:t>
      </w:r>
      <w:r w:rsidRPr="00CD741D">
        <w:rPr>
          <w:rFonts w:ascii="Calibri Light" w:eastAsia="Calibri" w:hAnsi="Calibri Light" w:cs="Times New Roman"/>
          <w:vertAlign w:val="superscript"/>
        </w:rPr>
        <w:footnoteReference w:id="4"/>
      </w:r>
      <w:r w:rsidRPr="00CD741D">
        <w:rPr>
          <w:rFonts w:ascii="Calibri Light" w:eastAsia="Calibri" w:hAnsi="Calibri Light" w:cs="Times New Roman"/>
        </w:rPr>
        <w:t xml:space="preserve"> LD was identified in 1976 after an outbreak of pneumonia among attendees at an American Legion convention in Philadelphia, Pennsylvania.</w:t>
      </w:r>
      <w:r w:rsidRPr="00CD741D">
        <w:rPr>
          <w:rFonts w:ascii="Calibri Light" w:eastAsia="Calibri" w:hAnsi="Calibri Light" w:cs="Times New Roman"/>
          <w:vertAlign w:val="superscript"/>
        </w:rPr>
        <w:footnoteReference w:id="5"/>
      </w:r>
      <w:r w:rsidRPr="00CD741D">
        <w:rPr>
          <w:rFonts w:ascii="Calibri Light" w:eastAsia="Calibri" w:hAnsi="Calibri Light" w:cs="Times New Roman"/>
        </w:rPr>
        <w:t xml:space="preserve"> While </w:t>
      </w:r>
      <w:r w:rsidRPr="00CD741D">
        <w:rPr>
          <w:rFonts w:ascii="Calibri Light" w:eastAsia="Calibri" w:hAnsi="Calibri Light" w:cs="Calibri Light"/>
        </w:rPr>
        <w:t>PF</w:t>
      </w:r>
      <w:r w:rsidRPr="00CD741D">
        <w:rPr>
          <w:rFonts w:ascii="Calibri Light" w:eastAsia="Calibri" w:hAnsi="Calibri Light" w:cs="Times New Roman"/>
        </w:rPr>
        <w:t xml:space="preserve"> was first identified among workers and visitors at the city health department in Pontiac, Michigan in 1968, the causal linkage of the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bacterium between the two diseases was not established until 1977.</w:t>
      </w:r>
      <w:r w:rsidRPr="00CD741D">
        <w:rPr>
          <w:rFonts w:ascii="Calibri Light" w:eastAsia="Calibri" w:hAnsi="Calibri Light" w:cs="Times New Roman"/>
          <w:vertAlign w:val="superscript"/>
        </w:rPr>
        <w:footnoteReference w:id="6"/>
      </w:r>
    </w:p>
    <w:p w14:paraId="69570A84" w14:textId="77777777" w:rsidR="00CD741D" w:rsidRPr="00CD741D" w:rsidRDefault="00CD741D" w:rsidP="00CD741D">
      <w:pPr>
        <w:spacing w:line="360" w:lineRule="auto"/>
        <w:rPr>
          <w:rFonts w:ascii="Calibri Light" w:eastAsia="Calibri" w:hAnsi="Calibri Light" w:cs="Calibri Light"/>
        </w:rPr>
      </w:pPr>
    </w:p>
    <w:p w14:paraId="4B3B5C98" w14:textId="77777777" w:rsidR="00CD741D" w:rsidRPr="00CD741D" w:rsidRDefault="00CD741D" w:rsidP="00CD741D">
      <w:pPr>
        <w:keepNext/>
        <w:keepLines/>
        <w:spacing w:after="120" w:line="360" w:lineRule="auto"/>
        <w:rPr>
          <w:rFonts w:ascii="Arial" w:eastAsia="Calibri" w:hAnsi="Arial" w:cs="Arial"/>
          <w:b/>
          <w:bCs/>
        </w:rPr>
      </w:pPr>
      <w:r w:rsidRPr="00CD741D">
        <w:rPr>
          <w:rFonts w:ascii="Arial" w:eastAsia="Calibri" w:hAnsi="Arial" w:cs="Arial"/>
          <w:b/>
          <w:bCs/>
        </w:rPr>
        <w:lastRenderedPageBreak/>
        <w:t>Causes</w:t>
      </w:r>
    </w:p>
    <w:p w14:paraId="3F5C099D" w14:textId="77777777" w:rsidR="00CD741D" w:rsidRPr="00CD741D" w:rsidRDefault="00CD741D" w:rsidP="00CD741D">
      <w:pPr>
        <w:spacing w:line="360" w:lineRule="auto"/>
        <w:rPr>
          <w:rFonts w:ascii="Calibri Light" w:eastAsia="Calibri" w:hAnsi="Calibri Light" w:cs="Calibri Light"/>
        </w:rPr>
      </w:pPr>
      <w:r w:rsidRPr="00CD741D">
        <w:rPr>
          <w:rFonts w:ascii="Calibri Light" w:eastAsia="Calibri" w:hAnsi="Calibri Light" w:cs="Calibri Light"/>
          <w:i/>
          <w:iCs/>
        </w:rPr>
        <w:t>Legionella</w:t>
      </w:r>
      <w:r w:rsidRPr="00CD741D">
        <w:rPr>
          <w:rFonts w:ascii="Calibri Light" w:eastAsia="Calibri" w:hAnsi="Calibri Light" w:cs="Calibri Light"/>
        </w:rPr>
        <w:t> can grow and be transmitted to susceptible people through aerosolized water from sources in the built environment, such as in water and plumbing systems (e.g., water heaters, water storage tanks, and pipes), cooling towers, fountains and other water features, or hot tubs.</w:t>
      </w:r>
      <w:r w:rsidRPr="00CD741D">
        <w:rPr>
          <w:rFonts w:ascii="Calibri Light" w:eastAsia="Calibri" w:hAnsi="Calibri Light" w:cs="Calibri Light"/>
          <w:vertAlign w:val="superscript"/>
        </w:rPr>
        <w:footnoteReference w:id="7"/>
      </w:r>
      <w:r w:rsidRPr="00CD741D">
        <w:rPr>
          <w:rFonts w:ascii="Calibri Light" w:eastAsia="Calibri" w:hAnsi="Calibri Light" w:cs="Calibri Light"/>
        </w:rPr>
        <w:t xml:space="preserve">  </w:t>
      </w:r>
      <w:r w:rsidRPr="00CD741D">
        <w:rPr>
          <w:rFonts w:ascii="Calibri Light" w:eastAsia="Calibri" w:hAnsi="Calibri Light" w:cs="Calibri Light"/>
          <w:i/>
          <w:iCs/>
        </w:rPr>
        <w:t>Legionella</w:t>
      </w:r>
      <w:r w:rsidRPr="00CD741D">
        <w:rPr>
          <w:rFonts w:ascii="Calibri Light" w:eastAsia="Calibri" w:hAnsi="Calibri Light" w:cs="Calibri Light"/>
        </w:rPr>
        <w:t> can also be found in natural and freshwater environments, but it is generally not present there in sufficient quantities to cause disease.</w:t>
      </w:r>
      <w:r w:rsidRPr="00CD741D">
        <w:rPr>
          <w:rFonts w:ascii="Calibri Light" w:eastAsia="Calibri" w:hAnsi="Calibri Light" w:cs="Calibri Light"/>
          <w:vertAlign w:val="superscript"/>
        </w:rPr>
        <w:footnoteReference w:id="8"/>
      </w:r>
    </w:p>
    <w:p w14:paraId="48E99012" w14:textId="77777777" w:rsidR="00CD741D" w:rsidRPr="00CD741D" w:rsidRDefault="00CD741D" w:rsidP="00CD741D">
      <w:pPr>
        <w:spacing w:line="360" w:lineRule="auto"/>
        <w:rPr>
          <w:rFonts w:ascii="Calibri Light" w:eastAsia="Calibri" w:hAnsi="Calibri Light" w:cs="Calibri Light"/>
        </w:rPr>
      </w:pPr>
    </w:p>
    <w:p w14:paraId="4348D9AE" w14:textId="77777777" w:rsidR="00CD741D" w:rsidRPr="00CD741D" w:rsidRDefault="00CD741D" w:rsidP="00CD741D">
      <w:pPr>
        <w:spacing w:line="360" w:lineRule="auto"/>
        <w:rPr>
          <w:rFonts w:ascii="Calibri Light" w:eastAsia="Calibri" w:hAnsi="Calibri Light" w:cs="Calibri Light"/>
        </w:rPr>
      </w:pPr>
      <w:r w:rsidRPr="00CD741D">
        <w:rPr>
          <w:rFonts w:ascii="Calibri Light" w:eastAsia="Calibri" w:hAnsi="Calibri Light" w:cs="Calibri Light"/>
        </w:rPr>
        <w:t xml:space="preserve">People can become ill with LD or PF when they inhale aerosolized water containing </w:t>
      </w:r>
      <w:r w:rsidRPr="00CD741D">
        <w:rPr>
          <w:rFonts w:ascii="Calibri Light" w:eastAsia="Calibri" w:hAnsi="Calibri Light" w:cs="Calibri Light"/>
          <w:i/>
          <w:iCs/>
        </w:rPr>
        <w:t>Legionella</w:t>
      </w:r>
      <w:r w:rsidRPr="00CD741D">
        <w:rPr>
          <w:rFonts w:ascii="Calibri Light" w:eastAsia="Calibri" w:hAnsi="Calibri Light" w:cs="Calibri Light"/>
        </w:rPr>
        <w:t xml:space="preserve">. Transmission can also occur via aspiration/inhalation of contaminated drinking water. </w:t>
      </w:r>
      <w:r w:rsidRPr="00CD741D">
        <w:rPr>
          <w:rFonts w:ascii="Calibri Light" w:eastAsia="Calibri" w:hAnsi="Calibri Light" w:cs="Calibri Light"/>
          <w:i/>
          <w:iCs/>
        </w:rPr>
        <w:t>Legionella</w:t>
      </w:r>
      <w:r w:rsidRPr="00CD741D">
        <w:rPr>
          <w:rFonts w:ascii="Calibri Light" w:eastAsia="Calibri" w:hAnsi="Calibri Light" w:cs="Calibri Light"/>
        </w:rPr>
        <w:t xml:space="preserve"> is not generally transmitted through person-to-person contact.</w:t>
      </w:r>
      <w:r w:rsidRPr="00CD741D">
        <w:rPr>
          <w:rFonts w:ascii="Calibri Light" w:eastAsia="Calibri" w:hAnsi="Calibri Light" w:cs="Calibri Light"/>
          <w:vertAlign w:val="superscript"/>
        </w:rPr>
        <w:footnoteReference w:id="9"/>
      </w:r>
      <w:r w:rsidRPr="00CD741D">
        <w:rPr>
          <w:rFonts w:ascii="Calibri Light" w:eastAsia="Calibri" w:hAnsi="Calibri Light" w:cs="Calibri Light"/>
        </w:rPr>
        <w:t xml:space="preserve"> CDC notes that travel is a risk factor since facilities like hotels, resorts, and cruise ships often use large, complex water systems and have other sources of aerosolized water like hot tubs, fountains, or saunas.</w:t>
      </w:r>
      <w:r w:rsidRPr="00CD741D">
        <w:rPr>
          <w:rFonts w:ascii="Calibri Light" w:eastAsia="Calibri" w:hAnsi="Calibri Light" w:cs="Calibri Light"/>
          <w:vertAlign w:val="superscript"/>
        </w:rPr>
        <w:footnoteReference w:id="10"/>
      </w:r>
      <w:r w:rsidRPr="00CD741D">
        <w:rPr>
          <w:rFonts w:ascii="Calibri Light" w:eastAsia="Calibri" w:hAnsi="Calibri Light" w:cs="Calibri Light"/>
        </w:rPr>
        <w:t xml:space="preserve"> Other facilities like hospitals and long-term care facilities, which also have at-risk populations, can similarly become sites for </w:t>
      </w:r>
      <w:r w:rsidRPr="00CD741D">
        <w:rPr>
          <w:rFonts w:ascii="Calibri Light" w:eastAsia="Calibri" w:hAnsi="Calibri Light" w:cs="Calibri Light"/>
          <w:i/>
          <w:iCs/>
        </w:rPr>
        <w:t>Legionella</w:t>
      </w:r>
      <w:r w:rsidRPr="00CD741D">
        <w:rPr>
          <w:rFonts w:ascii="Calibri Light" w:eastAsia="Calibri" w:hAnsi="Calibri Light" w:cs="Calibri Light"/>
        </w:rPr>
        <w:t xml:space="preserve"> growth and transmission through the buildings’ water systems.</w:t>
      </w:r>
      <w:r w:rsidRPr="00CD741D">
        <w:rPr>
          <w:rFonts w:ascii="Calibri Light" w:eastAsia="Calibri" w:hAnsi="Calibri Light" w:cs="Calibri Light"/>
          <w:vertAlign w:val="superscript"/>
        </w:rPr>
        <w:footnoteReference w:id="11"/>
      </w:r>
      <w:r w:rsidRPr="00CD741D">
        <w:rPr>
          <w:rFonts w:ascii="Calibri Light" w:eastAsia="Calibri" w:hAnsi="Calibri Light" w:cs="Calibri Light"/>
        </w:rPr>
        <w:t xml:space="preserve"> Additionally, healthcare facilities can use devices that aerosolize water which can be another potential source for </w:t>
      </w:r>
      <w:r w:rsidRPr="00CD741D">
        <w:rPr>
          <w:rFonts w:ascii="Calibri Light" w:eastAsia="Calibri" w:hAnsi="Calibri Light" w:cs="Calibri Light"/>
          <w:i/>
          <w:iCs/>
        </w:rPr>
        <w:t>Legionella</w:t>
      </w:r>
      <w:r w:rsidRPr="00CD741D">
        <w:rPr>
          <w:rFonts w:ascii="Calibri Light" w:eastAsia="Calibri" w:hAnsi="Calibri Light" w:cs="Calibri Light"/>
        </w:rPr>
        <w:t xml:space="preserve"> colonization and exposure. People who live or work in large buildings that have complex water systems or that use cooling towers (e.g., apartments, office and commercial spaces, and healthcare facilities), may also face potential exposure to </w:t>
      </w:r>
      <w:r w:rsidRPr="00CD741D">
        <w:rPr>
          <w:rFonts w:ascii="Calibri Light" w:eastAsia="Calibri" w:hAnsi="Calibri Light" w:cs="Calibri Light"/>
          <w:i/>
          <w:iCs/>
        </w:rPr>
        <w:t>Legionella</w:t>
      </w:r>
      <w:r w:rsidRPr="00CD741D">
        <w:rPr>
          <w:rFonts w:ascii="Calibri Light" w:eastAsia="Calibri" w:hAnsi="Calibri Light" w:cs="Calibri Light"/>
        </w:rPr>
        <w:t xml:space="preserve"> if these building systems are not regularly maintained. (See Chapter 6 “Water Management Plans” for more information on the role of building water systems in LD.)    In vacant buildings or those that not been occupied for some time—such as office buildings closed during the </w:t>
      </w:r>
      <w:r w:rsidRPr="00CD741D">
        <w:rPr>
          <w:rFonts w:ascii="Calibri Light" w:eastAsia="Calibri" w:hAnsi="Calibri Light" w:cs="Calibri Light"/>
        </w:rPr>
        <w:lastRenderedPageBreak/>
        <w:t xml:space="preserve">COVID-19 pandemic—stagnant or standing water can cause conditions that increase the risk for </w:t>
      </w:r>
      <w:r w:rsidRPr="00CD741D">
        <w:rPr>
          <w:rFonts w:ascii="Calibri Light" w:eastAsia="Calibri" w:hAnsi="Calibri Light" w:cs="Calibri Light"/>
          <w:i/>
          <w:iCs/>
        </w:rPr>
        <w:t>Legionella</w:t>
      </w:r>
      <w:r w:rsidRPr="00CD741D">
        <w:rPr>
          <w:rFonts w:ascii="Calibri Light" w:eastAsia="Calibri" w:hAnsi="Calibri Light" w:cs="Calibri Light"/>
        </w:rPr>
        <w:t xml:space="preserve"> or other opportunistic pathogens associated with building water systems to grow.</w:t>
      </w:r>
      <w:r w:rsidRPr="00CD741D">
        <w:rPr>
          <w:rFonts w:ascii="Calibri Light" w:eastAsia="Calibri" w:hAnsi="Calibri Light" w:cs="Calibri Light"/>
          <w:vertAlign w:val="superscript"/>
        </w:rPr>
        <w:footnoteReference w:id="12"/>
      </w:r>
      <w:r w:rsidRPr="00CD741D">
        <w:rPr>
          <w:rFonts w:ascii="Calibri Light" w:eastAsia="Calibri" w:hAnsi="Calibri Light" w:cs="Calibri Light"/>
        </w:rPr>
        <w:t xml:space="preserve"> </w:t>
      </w:r>
    </w:p>
    <w:p w14:paraId="5CD3CB90" w14:textId="77777777" w:rsidR="00CD741D" w:rsidRPr="00CD741D" w:rsidRDefault="00CD741D" w:rsidP="00CD741D">
      <w:pPr>
        <w:spacing w:line="360" w:lineRule="auto"/>
        <w:rPr>
          <w:rFonts w:ascii="Calibri Light" w:eastAsia="Calibri" w:hAnsi="Calibri Light" w:cs="Calibri Light"/>
        </w:rPr>
      </w:pPr>
    </w:p>
    <w:p w14:paraId="44354DF8" w14:textId="77777777" w:rsidR="00CD741D" w:rsidRPr="00CD741D" w:rsidRDefault="00CD741D" w:rsidP="00CD741D">
      <w:pPr>
        <w:keepNext/>
        <w:keepLines/>
        <w:spacing w:after="120" w:line="360" w:lineRule="auto"/>
        <w:rPr>
          <w:rFonts w:ascii="Arial" w:eastAsia="Calibri" w:hAnsi="Arial" w:cs="Arial"/>
          <w:b/>
          <w:bCs/>
        </w:rPr>
      </w:pPr>
      <w:r w:rsidRPr="00CD741D">
        <w:rPr>
          <w:rFonts w:ascii="Arial" w:eastAsia="Calibri" w:hAnsi="Arial" w:cs="Arial"/>
          <w:b/>
          <w:bCs/>
        </w:rPr>
        <w:t>Persons at Risk</w:t>
      </w:r>
    </w:p>
    <w:p w14:paraId="4BFD0A32" w14:textId="77777777" w:rsidR="00CD741D" w:rsidRPr="00CD741D" w:rsidRDefault="00CD741D" w:rsidP="00CD741D">
      <w:pPr>
        <w:spacing w:after="80" w:line="360" w:lineRule="auto"/>
        <w:rPr>
          <w:rFonts w:ascii="Calibri Light" w:eastAsia="Calibri" w:hAnsi="Calibri Light" w:cs="Calibri Light"/>
        </w:rPr>
      </w:pPr>
      <w:r w:rsidRPr="00CD741D">
        <w:rPr>
          <w:rFonts w:ascii="Calibri Light" w:eastAsia="Calibri" w:hAnsi="Calibri Light" w:cs="Calibri Light"/>
        </w:rPr>
        <w:t>CDC identifies the following personal risk factors for legionellosis, including</w:t>
      </w:r>
      <w:r w:rsidRPr="00CD741D">
        <w:rPr>
          <w:rFonts w:ascii="Calibri Light" w:eastAsia="Calibri" w:hAnsi="Calibri Light" w:cs="Calibri Light"/>
          <w:vertAlign w:val="superscript"/>
        </w:rPr>
        <w:footnoteReference w:id="13"/>
      </w:r>
      <w:r w:rsidRPr="00CD741D">
        <w:rPr>
          <w:rFonts w:ascii="Calibri Light" w:eastAsia="Calibri" w:hAnsi="Calibri Light" w:cs="Calibri Light"/>
        </w:rPr>
        <w:t>:</w:t>
      </w:r>
    </w:p>
    <w:p w14:paraId="457CF79B" w14:textId="77777777" w:rsidR="00CD741D" w:rsidRPr="00CD741D" w:rsidRDefault="00CD741D" w:rsidP="00CD741D">
      <w:pPr>
        <w:numPr>
          <w:ilvl w:val="0"/>
          <w:numId w:val="15"/>
        </w:numPr>
        <w:spacing w:after="80" w:line="360" w:lineRule="auto"/>
        <w:rPr>
          <w:rFonts w:ascii="Calibri Light" w:eastAsia="Calibri" w:hAnsi="Calibri Light" w:cs="Calibri Light"/>
        </w:rPr>
      </w:pPr>
      <w:r w:rsidRPr="00CD741D">
        <w:rPr>
          <w:rFonts w:ascii="Calibri Light" w:eastAsia="Calibri" w:hAnsi="Calibri Light" w:cs="Calibri Light"/>
        </w:rPr>
        <w:t>Aged 50 or older</w:t>
      </w:r>
    </w:p>
    <w:p w14:paraId="6633CE2C" w14:textId="77777777" w:rsidR="00CD741D" w:rsidRPr="00CD741D" w:rsidRDefault="00CD741D" w:rsidP="00CD741D">
      <w:pPr>
        <w:numPr>
          <w:ilvl w:val="0"/>
          <w:numId w:val="15"/>
        </w:numPr>
        <w:spacing w:after="80" w:line="360" w:lineRule="auto"/>
        <w:rPr>
          <w:rFonts w:ascii="Calibri Light" w:eastAsia="Calibri" w:hAnsi="Calibri Light" w:cs="Calibri Light"/>
        </w:rPr>
      </w:pPr>
      <w:r w:rsidRPr="00CD741D">
        <w:rPr>
          <w:rFonts w:ascii="Calibri Light" w:eastAsia="Calibri" w:hAnsi="Calibri Light" w:cs="Calibri Light"/>
        </w:rPr>
        <w:t>Current or prior smoking</w:t>
      </w:r>
    </w:p>
    <w:p w14:paraId="6C795828" w14:textId="77777777" w:rsidR="00CD741D" w:rsidRPr="00CD741D" w:rsidRDefault="00CD741D" w:rsidP="00CD741D">
      <w:pPr>
        <w:numPr>
          <w:ilvl w:val="0"/>
          <w:numId w:val="15"/>
        </w:numPr>
        <w:spacing w:after="80" w:line="360" w:lineRule="auto"/>
        <w:rPr>
          <w:rFonts w:ascii="Calibri Light" w:eastAsia="Calibri" w:hAnsi="Calibri Light" w:cs="Calibri Light"/>
        </w:rPr>
      </w:pPr>
      <w:r w:rsidRPr="00CD741D">
        <w:rPr>
          <w:rFonts w:ascii="Calibri Light" w:eastAsia="Calibri" w:hAnsi="Calibri Light" w:cs="Calibri Light"/>
        </w:rPr>
        <w:t xml:space="preserve">Chronic lung disease (like chronic obstructive pulmonary disease or emphysema) </w:t>
      </w:r>
    </w:p>
    <w:p w14:paraId="0637DF23" w14:textId="77777777" w:rsidR="00CD741D" w:rsidRPr="00CD741D" w:rsidRDefault="00CD741D" w:rsidP="00CD741D">
      <w:pPr>
        <w:numPr>
          <w:ilvl w:val="0"/>
          <w:numId w:val="15"/>
        </w:numPr>
        <w:spacing w:after="80" w:line="360" w:lineRule="auto"/>
        <w:contextualSpacing/>
        <w:rPr>
          <w:rFonts w:ascii="Calibri Light" w:eastAsia="Calibri" w:hAnsi="Calibri Light" w:cs="Calibri Light"/>
        </w:rPr>
      </w:pPr>
      <w:r w:rsidRPr="00CD741D">
        <w:rPr>
          <w:rFonts w:ascii="Calibri Light" w:eastAsia="Calibri" w:hAnsi="Calibri Light" w:cs="Calibri Light"/>
        </w:rPr>
        <w:t>Immune system disorders due to disease or medication (such as those taken after a transplant operation or chemotherapy)</w:t>
      </w:r>
    </w:p>
    <w:p w14:paraId="2877E4B5" w14:textId="77777777" w:rsidR="00CD741D" w:rsidRPr="00CD741D" w:rsidRDefault="00CD741D" w:rsidP="00CD741D">
      <w:pPr>
        <w:numPr>
          <w:ilvl w:val="0"/>
          <w:numId w:val="15"/>
        </w:numPr>
        <w:spacing w:after="80" w:line="360" w:lineRule="auto"/>
        <w:rPr>
          <w:rFonts w:ascii="Calibri Light" w:eastAsia="Calibri" w:hAnsi="Calibri Light" w:cs="Calibri Light"/>
        </w:rPr>
      </w:pPr>
      <w:r w:rsidRPr="00CD741D">
        <w:rPr>
          <w:rFonts w:ascii="Calibri Light" w:eastAsia="Calibri" w:hAnsi="Calibri Light" w:cs="Calibri Light"/>
        </w:rPr>
        <w:t xml:space="preserve">Cancer </w:t>
      </w:r>
    </w:p>
    <w:p w14:paraId="1A8DC6ED" w14:textId="77777777" w:rsidR="00CD741D" w:rsidRPr="00CD741D" w:rsidRDefault="00CD741D" w:rsidP="00CD741D">
      <w:pPr>
        <w:numPr>
          <w:ilvl w:val="0"/>
          <w:numId w:val="15"/>
        </w:numPr>
        <w:spacing w:line="360" w:lineRule="auto"/>
        <w:rPr>
          <w:rFonts w:ascii="Calibri Light" w:eastAsia="Calibri" w:hAnsi="Calibri Light" w:cs="Calibri Light"/>
        </w:rPr>
      </w:pPr>
      <w:r w:rsidRPr="00CD741D">
        <w:rPr>
          <w:rFonts w:ascii="Calibri Light" w:eastAsia="Calibri" w:hAnsi="Calibri Light" w:cs="Calibri Light"/>
        </w:rPr>
        <w:t>Underlying illness (such as diabetes, kidney failure, or liver failure)</w:t>
      </w:r>
    </w:p>
    <w:p w14:paraId="4C153D66" w14:textId="77777777" w:rsidR="00CD741D" w:rsidRPr="00CD741D" w:rsidRDefault="00CD741D" w:rsidP="00CD741D">
      <w:pPr>
        <w:spacing w:line="360" w:lineRule="auto"/>
        <w:rPr>
          <w:rFonts w:ascii="Calibri Light" w:eastAsia="Calibri" w:hAnsi="Calibri Light" w:cs="Calibri Light"/>
        </w:rPr>
      </w:pPr>
    </w:p>
    <w:p w14:paraId="65E160F2" w14:textId="77777777" w:rsidR="00CD741D" w:rsidRPr="00CD741D" w:rsidRDefault="00CD741D" w:rsidP="00CD741D">
      <w:pPr>
        <w:spacing w:after="80" w:line="360" w:lineRule="auto"/>
        <w:rPr>
          <w:rFonts w:ascii="Calibri Light" w:eastAsia="Calibri" w:hAnsi="Calibri Light" w:cs="Calibri Light"/>
        </w:rPr>
      </w:pPr>
      <w:r w:rsidRPr="00CD741D">
        <w:rPr>
          <w:rFonts w:ascii="Calibri Light" w:eastAsia="Calibri" w:hAnsi="Calibri Light" w:cs="Calibri Light"/>
        </w:rPr>
        <w:t>CDC also identifies risk factors for persons who are exposed to certain settings, such as</w:t>
      </w:r>
      <w:r w:rsidRPr="00CD741D">
        <w:rPr>
          <w:rFonts w:ascii="Calibri Light" w:eastAsia="Calibri" w:hAnsi="Calibri Light" w:cs="Calibri Light"/>
          <w:vertAlign w:val="superscript"/>
        </w:rPr>
        <w:footnoteReference w:id="14"/>
      </w:r>
      <w:r w:rsidRPr="00CD741D">
        <w:rPr>
          <w:rFonts w:ascii="Calibri Light" w:eastAsia="Calibri" w:hAnsi="Calibri Light" w:cs="Calibri Light"/>
        </w:rPr>
        <w:t>:</w:t>
      </w:r>
    </w:p>
    <w:p w14:paraId="12511D87" w14:textId="77777777" w:rsidR="00CD741D" w:rsidRPr="00CD741D" w:rsidRDefault="00CD741D" w:rsidP="00CD741D">
      <w:pPr>
        <w:numPr>
          <w:ilvl w:val="0"/>
          <w:numId w:val="15"/>
        </w:numPr>
        <w:spacing w:after="80" w:line="360" w:lineRule="auto"/>
        <w:rPr>
          <w:rFonts w:ascii="Calibri Light" w:eastAsia="Calibri" w:hAnsi="Calibri Light" w:cs="Calibri Light"/>
        </w:rPr>
      </w:pPr>
      <w:r w:rsidRPr="00CD741D">
        <w:rPr>
          <w:rFonts w:ascii="Calibri Light" w:eastAsia="Calibri" w:hAnsi="Calibri Light" w:cs="Calibri Light"/>
        </w:rPr>
        <w:t xml:space="preserve">Recent travel with an overnight stay outside of the home, such as staying at a hotel or resort </w:t>
      </w:r>
    </w:p>
    <w:p w14:paraId="4CE66FF3" w14:textId="77777777" w:rsidR="00CD741D" w:rsidRPr="00CD741D" w:rsidRDefault="00CD741D" w:rsidP="00CD741D">
      <w:pPr>
        <w:numPr>
          <w:ilvl w:val="0"/>
          <w:numId w:val="15"/>
        </w:numPr>
        <w:spacing w:after="80" w:line="360" w:lineRule="auto"/>
        <w:rPr>
          <w:rFonts w:ascii="Calibri Light" w:eastAsia="Calibri" w:hAnsi="Calibri Light" w:cs="Calibri Light"/>
        </w:rPr>
      </w:pPr>
      <w:r w:rsidRPr="00CD741D">
        <w:rPr>
          <w:rFonts w:ascii="Calibri Light" w:eastAsia="Calibri" w:hAnsi="Calibri Light" w:cs="Calibri Light"/>
        </w:rPr>
        <w:t>Exposure to a hot tub or other source of aerosolized water such as water park or fountain s</w:t>
      </w:r>
    </w:p>
    <w:p w14:paraId="3F61A80D" w14:textId="77777777" w:rsidR="00CD741D" w:rsidRPr="00CD741D" w:rsidRDefault="00CD741D" w:rsidP="00CD741D">
      <w:pPr>
        <w:numPr>
          <w:ilvl w:val="0"/>
          <w:numId w:val="15"/>
        </w:numPr>
        <w:spacing w:line="360" w:lineRule="auto"/>
        <w:rPr>
          <w:rFonts w:ascii="Calibri Light" w:eastAsia="Calibri" w:hAnsi="Calibri Light" w:cs="Calibri Light"/>
        </w:rPr>
      </w:pPr>
      <w:r w:rsidRPr="00CD741D">
        <w:rPr>
          <w:rFonts w:ascii="Calibri Light" w:eastAsia="Calibri" w:hAnsi="Calibri Light" w:cs="Calibri Light"/>
        </w:rPr>
        <w:t>An overnight stay in a hospital</w:t>
      </w:r>
    </w:p>
    <w:p w14:paraId="2078CE58" w14:textId="77777777" w:rsidR="00CD741D" w:rsidRPr="00CD741D" w:rsidRDefault="00CD741D" w:rsidP="00CD741D">
      <w:pPr>
        <w:spacing w:line="360" w:lineRule="auto"/>
        <w:rPr>
          <w:rFonts w:ascii="Calibri Light" w:eastAsia="Calibri" w:hAnsi="Calibri Light" w:cs="Calibri Light"/>
        </w:rPr>
      </w:pPr>
    </w:p>
    <w:p w14:paraId="5590D4B8" w14:textId="77777777" w:rsidR="00CD741D" w:rsidRPr="00CD741D" w:rsidRDefault="00CD741D" w:rsidP="00CD741D">
      <w:pPr>
        <w:keepNext/>
        <w:spacing w:after="120" w:line="360" w:lineRule="auto"/>
        <w:rPr>
          <w:rFonts w:ascii="Arial" w:eastAsia="Calibri" w:hAnsi="Arial" w:cs="Arial"/>
          <w:b/>
          <w:bCs/>
        </w:rPr>
      </w:pPr>
      <w:r w:rsidRPr="00CD741D">
        <w:rPr>
          <w:rFonts w:ascii="Arial" w:eastAsia="Calibri" w:hAnsi="Arial" w:cs="Arial"/>
          <w:b/>
          <w:bCs/>
        </w:rPr>
        <w:t>Symptoms</w:t>
      </w:r>
    </w:p>
    <w:p w14:paraId="303D6D03" w14:textId="77777777" w:rsidR="00CD741D" w:rsidRPr="00CD741D" w:rsidRDefault="00CD741D" w:rsidP="00CD741D">
      <w:pPr>
        <w:spacing w:line="360" w:lineRule="auto"/>
        <w:rPr>
          <w:rFonts w:ascii="Calibri Light" w:eastAsia="Calibri" w:hAnsi="Calibri Light" w:cs="Calibri Light"/>
        </w:rPr>
      </w:pPr>
      <w:r w:rsidRPr="00CD741D">
        <w:rPr>
          <w:rFonts w:ascii="Calibri Light" w:eastAsia="Calibri" w:hAnsi="Calibri Light" w:cs="Calibri Light"/>
        </w:rPr>
        <w:t>Legionnaires’ disease causes severe pneumonia that often requires the patient to be hospitalized, while PF generally resolves on its own.</w:t>
      </w:r>
      <w:r w:rsidRPr="00CD741D">
        <w:rPr>
          <w:rFonts w:ascii="Calibri Light" w:eastAsia="Calibri" w:hAnsi="Calibri Light" w:cs="Calibri Light"/>
          <w:vertAlign w:val="superscript"/>
        </w:rPr>
        <w:footnoteReference w:id="15"/>
      </w:r>
      <w:r w:rsidRPr="00CD741D">
        <w:rPr>
          <w:rFonts w:ascii="Calibri Light" w:eastAsia="Calibri" w:hAnsi="Calibri Light" w:cs="Calibri Light"/>
        </w:rPr>
        <w:t xml:space="preserve"> CDC also notes that in extremely rare instances </w:t>
      </w:r>
      <w:r w:rsidRPr="00CD741D">
        <w:rPr>
          <w:rFonts w:ascii="Calibri Light" w:eastAsia="Calibri" w:hAnsi="Calibri Light" w:cs="Calibri Light"/>
          <w:i/>
          <w:iCs/>
        </w:rPr>
        <w:t>Legionella</w:t>
      </w:r>
      <w:r w:rsidRPr="00CD741D">
        <w:rPr>
          <w:rFonts w:ascii="Calibri Light" w:eastAsia="Calibri" w:hAnsi="Calibri Light" w:cs="Calibri Light"/>
        </w:rPr>
        <w:t xml:space="preserve"> can also </w:t>
      </w:r>
      <w:r w:rsidRPr="00CD741D">
        <w:rPr>
          <w:rFonts w:ascii="Calibri Light" w:eastAsia="Calibri" w:hAnsi="Calibri Light" w:cs="Calibri Light"/>
        </w:rPr>
        <w:lastRenderedPageBreak/>
        <w:t>cause extrapulmonary infections, such as endocarditis or wound infections.</w:t>
      </w:r>
      <w:r w:rsidRPr="00CD741D">
        <w:rPr>
          <w:rFonts w:ascii="Calibri Light" w:eastAsia="Calibri" w:hAnsi="Calibri Light" w:cs="Calibri Light"/>
          <w:vertAlign w:val="superscript"/>
        </w:rPr>
        <w:footnoteReference w:id="16"/>
      </w:r>
      <w:r w:rsidRPr="00CD741D">
        <w:rPr>
          <w:rFonts w:ascii="Calibri Light" w:eastAsia="Calibri" w:hAnsi="Calibri Light" w:cs="Calibri Light"/>
        </w:rPr>
        <w:t xml:space="preserve"> LD is similar to other types of pneumonia (lung infections), with symptoms that include:</w:t>
      </w:r>
    </w:p>
    <w:p w14:paraId="3F8BE195" w14:textId="77777777" w:rsidR="00CD741D" w:rsidRPr="00CD741D" w:rsidRDefault="00CD741D" w:rsidP="00CD741D">
      <w:pPr>
        <w:numPr>
          <w:ilvl w:val="0"/>
          <w:numId w:val="16"/>
        </w:numPr>
        <w:spacing w:line="360" w:lineRule="auto"/>
        <w:rPr>
          <w:rFonts w:ascii="Calibri Light" w:eastAsia="Calibri" w:hAnsi="Calibri Light" w:cs="Calibri Light"/>
        </w:rPr>
      </w:pPr>
      <w:r w:rsidRPr="00CD741D">
        <w:rPr>
          <w:rFonts w:ascii="Calibri" w:eastAsia="Calibri" w:hAnsi="Calibri" w:cs="Times New Roman"/>
          <w:noProof/>
        </w:rPr>
        <mc:AlternateContent>
          <mc:Choice Requires="wps">
            <w:drawing>
              <wp:anchor distT="45720" distB="45720" distL="114300" distR="114300" simplePos="0" relativeHeight="251665408" behindDoc="0" locked="0" layoutInCell="1" allowOverlap="1" wp14:anchorId="60500991" wp14:editId="798BD83D">
                <wp:simplePos x="0" y="0"/>
                <wp:positionH relativeFrom="margin">
                  <wp:posOffset>2762250</wp:posOffset>
                </wp:positionH>
                <wp:positionV relativeFrom="paragraph">
                  <wp:posOffset>165735</wp:posOffset>
                </wp:positionV>
                <wp:extent cx="3005455" cy="1021715"/>
                <wp:effectExtent l="0" t="0" r="23495" b="2603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1021715"/>
                        </a:xfrm>
                        <a:prstGeom prst="rect">
                          <a:avLst/>
                        </a:prstGeom>
                        <a:solidFill>
                          <a:srgbClr val="FFFFFF"/>
                        </a:solidFill>
                        <a:ln w="9525">
                          <a:solidFill>
                            <a:srgbClr val="000000"/>
                          </a:solidFill>
                          <a:miter lim="800000"/>
                          <a:headEnd/>
                          <a:tailEnd/>
                        </a:ln>
                      </wps:spPr>
                      <wps:txbx>
                        <w:txbxContent>
                          <w:p w14:paraId="34478CC6" w14:textId="77777777" w:rsidR="00A318FA" w:rsidRDefault="00A318FA" w:rsidP="00CD741D">
                            <w:pPr>
                              <w:rPr>
                                <w:rFonts w:ascii="Arial" w:hAnsi="Arial" w:cs="Arial"/>
                                <w:b/>
                                <w:bCs/>
                                <w:sz w:val="18"/>
                                <w:szCs w:val="18"/>
                              </w:rPr>
                            </w:pPr>
                            <w:r>
                              <w:rPr>
                                <w:rFonts w:ascii="Arial" w:hAnsi="Arial" w:cs="Arial"/>
                                <w:b/>
                                <w:bCs/>
                                <w:sz w:val="18"/>
                                <w:szCs w:val="18"/>
                              </w:rPr>
                              <w:t>For More Information….</w:t>
                            </w:r>
                          </w:p>
                          <w:p w14:paraId="37F060B8" w14:textId="77777777" w:rsidR="00A318FA" w:rsidRDefault="00A318FA" w:rsidP="00CD741D">
                            <w:pPr>
                              <w:rPr>
                                <w:rFonts w:ascii="Arial" w:hAnsi="Arial" w:cs="Arial"/>
                                <w:sz w:val="18"/>
                                <w:szCs w:val="18"/>
                              </w:rPr>
                            </w:pPr>
                          </w:p>
                          <w:p w14:paraId="1BBB560D" w14:textId="77777777" w:rsidR="00A318FA" w:rsidRDefault="00A318FA" w:rsidP="00CD741D">
                            <w:pPr>
                              <w:rPr>
                                <w:rFonts w:ascii="Arial" w:hAnsi="Arial" w:cs="Arial"/>
                                <w:sz w:val="18"/>
                                <w:szCs w:val="18"/>
                              </w:rPr>
                            </w:pPr>
                            <w:r>
                              <w:rPr>
                                <w:rFonts w:ascii="Arial" w:hAnsi="Arial" w:cs="Arial"/>
                                <w:sz w:val="18"/>
                                <w:szCs w:val="18"/>
                              </w:rPr>
                              <w:t xml:space="preserve">See the CDC’s materials for clinician’s for more in-depth information about disease specifics, clinical features, and LD diagnosis, treatment, and prevention at: </w:t>
                            </w:r>
                            <w:hyperlink r:id="rId11" w:history="1">
                              <w:r>
                                <w:rPr>
                                  <w:rStyle w:val="Hyperlink"/>
                                  <w:rFonts w:ascii="Arial" w:hAnsi="Arial" w:cs="Arial"/>
                                  <w:sz w:val="18"/>
                                  <w:szCs w:val="18"/>
                                </w:rPr>
                                <w:t>https://www.cdc.gov/legionella/clinicians.html</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500991" id="_x0000_t202" coordsize="21600,21600" o:spt="202" path="m,l,21600r21600,l21600,xe">
                <v:stroke joinstyle="miter"/>
                <v:path gradientshapeok="t" o:connecttype="rect"/>
              </v:shapetype>
              <v:shape id="Text Box 2" o:spid="_x0000_s1026" type="#_x0000_t202" style="position:absolute;left:0;text-align:left;margin-left:217.5pt;margin-top:13.05pt;width:236.65pt;height:80.4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">
                <v:textbox>
                  <w:txbxContent>
                    <w:p w14:paraId="34478CC6" w14:textId="77777777" w:rsidR="00A318FA" w:rsidRDefault="00A318FA" w:rsidP="00CD741D">
                      <w:pPr>
                        <w:rPr>
                          <w:rFonts w:ascii="Arial" w:hAnsi="Arial" w:cs="Arial"/>
                          <w:b/>
                          <w:bCs/>
                          <w:sz w:val="18"/>
                          <w:szCs w:val="18"/>
                        </w:rPr>
                      </w:pPr>
                      <w:r>
                        <w:rPr>
                          <w:rFonts w:ascii="Arial" w:hAnsi="Arial" w:cs="Arial"/>
                          <w:b/>
                          <w:bCs/>
                          <w:sz w:val="18"/>
                          <w:szCs w:val="18"/>
                        </w:rPr>
                        <w:t>For More Information….</w:t>
                      </w:r>
                    </w:p>
                    <w:p w14:paraId="37F060B8" w14:textId="77777777" w:rsidR="00A318FA" w:rsidRDefault="00A318FA" w:rsidP="00CD741D">
                      <w:pPr>
                        <w:rPr>
                          <w:rFonts w:ascii="Arial" w:hAnsi="Arial" w:cs="Arial"/>
                          <w:sz w:val="18"/>
                          <w:szCs w:val="18"/>
                        </w:rPr>
                      </w:pPr>
                    </w:p>
                    <w:p w14:paraId="1BBB560D" w14:textId="77777777" w:rsidR="00A318FA" w:rsidRDefault="00A318FA" w:rsidP="00CD741D">
                      <w:pPr>
                        <w:rPr>
                          <w:rFonts w:ascii="Arial" w:hAnsi="Arial" w:cs="Arial"/>
                          <w:sz w:val="18"/>
                          <w:szCs w:val="18"/>
                        </w:rPr>
                      </w:pPr>
                      <w:r>
                        <w:rPr>
                          <w:rFonts w:ascii="Arial" w:hAnsi="Arial" w:cs="Arial"/>
                          <w:sz w:val="18"/>
                          <w:szCs w:val="18"/>
                        </w:rPr>
                        <w:t xml:space="preserve">See the CDC’s materials for clinician’s for more in-depth information about disease specifics, clinical features, and LD diagnosis, treatment, and prevention at: </w:t>
                      </w:r>
                      <w:hyperlink r:id="rId12" w:history="1">
                        <w:r>
                          <w:rPr>
                            <w:rStyle w:val="Hyperlink"/>
                            <w:rFonts w:ascii="Arial" w:hAnsi="Arial" w:cs="Arial"/>
                            <w:sz w:val="18"/>
                            <w:szCs w:val="18"/>
                          </w:rPr>
                          <w:t>https://www.cdc.gov/legionella/clinicians.html</w:t>
                        </w:r>
                      </w:hyperlink>
                    </w:p>
                  </w:txbxContent>
                </v:textbox>
                <w10:wrap type="square" anchorx="margin"/>
              </v:shape>
            </w:pict>
          </mc:Fallback>
        </mc:AlternateContent>
      </w:r>
      <w:r w:rsidRPr="00CD741D">
        <w:rPr>
          <w:rFonts w:ascii="Calibri Light" w:eastAsia="Calibri" w:hAnsi="Calibri Light" w:cs="Calibri Light"/>
        </w:rPr>
        <w:t>Cough</w:t>
      </w:r>
    </w:p>
    <w:p w14:paraId="7459F4A1" w14:textId="77777777" w:rsidR="00CD741D" w:rsidRPr="00CD741D" w:rsidRDefault="00CD741D" w:rsidP="00CD741D">
      <w:pPr>
        <w:numPr>
          <w:ilvl w:val="0"/>
          <w:numId w:val="16"/>
        </w:numPr>
        <w:spacing w:line="360" w:lineRule="auto"/>
        <w:rPr>
          <w:rFonts w:ascii="Calibri Light" w:eastAsia="Calibri" w:hAnsi="Calibri Light" w:cs="Calibri Light"/>
        </w:rPr>
      </w:pPr>
      <w:r w:rsidRPr="00CD741D">
        <w:rPr>
          <w:rFonts w:ascii="Calibri Light" w:eastAsia="Calibri" w:hAnsi="Calibri Light" w:cs="Calibri Light"/>
        </w:rPr>
        <w:t>Shortness of breath</w:t>
      </w:r>
    </w:p>
    <w:p w14:paraId="3A0ACD15" w14:textId="77777777" w:rsidR="00CD741D" w:rsidRPr="00CD741D" w:rsidRDefault="00CD741D" w:rsidP="00CD741D">
      <w:pPr>
        <w:numPr>
          <w:ilvl w:val="0"/>
          <w:numId w:val="16"/>
        </w:numPr>
        <w:spacing w:line="360" w:lineRule="auto"/>
        <w:rPr>
          <w:rFonts w:ascii="Calibri Light" w:eastAsia="Calibri" w:hAnsi="Calibri Light" w:cs="Calibri Light"/>
        </w:rPr>
      </w:pPr>
      <w:r w:rsidRPr="00CD741D">
        <w:rPr>
          <w:rFonts w:ascii="Calibri Light" w:eastAsia="Calibri" w:hAnsi="Calibri Light" w:cs="Calibri Light"/>
        </w:rPr>
        <w:t>Fever</w:t>
      </w:r>
    </w:p>
    <w:p w14:paraId="4B6A7D90" w14:textId="77777777" w:rsidR="00CD741D" w:rsidRPr="00CD741D" w:rsidRDefault="00CD741D" w:rsidP="00CD741D">
      <w:pPr>
        <w:numPr>
          <w:ilvl w:val="0"/>
          <w:numId w:val="16"/>
        </w:numPr>
        <w:spacing w:line="360" w:lineRule="auto"/>
        <w:rPr>
          <w:rFonts w:ascii="Calibri Light" w:eastAsia="Calibri" w:hAnsi="Calibri Light" w:cs="Calibri Light"/>
        </w:rPr>
      </w:pPr>
      <w:r w:rsidRPr="00CD741D">
        <w:rPr>
          <w:rFonts w:ascii="Calibri Light" w:eastAsia="Calibri" w:hAnsi="Calibri Light" w:cs="Calibri Light"/>
        </w:rPr>
        <w:t>Muscle aches</w:t>
      </w:r>
    </w:p>
    <w:p w14:paraId="4F5FDC79" w14:textId="77777777" w:rsidR="00CD741D" w:rsidRPr="00CD741D" w:rsidRDefault="00CD741D" w:rsidP="00CD741D">
      <w:pPr>
        <w:numPr>
          <w:ilvl w:val="0"/>
          <w:numId w:val="16"/>
        </w:numPr>
        <w:spacing w:line="360" w:lineRule="auto"/>
        <w:rPr>
          <w:rFonts w:ascii="Calibri Light" w:eastAsia="Calibri" w:hAnsi="Calibri Light" w:cs="Calibri Light"/>
        </w:rPr>
      </w:pPr>
      <w:r w:rsidRPr="00CD741D">
        <w:rPr>
          <w:rFonts w:ascii="Calibri Light" w:eastAsia="Calibri" w:hAnsi="Calibri Light" w:cs="Calibri Light"/>
        </w:rPr>
        <w:t>Headaches</w:t>
      </w:r>
    </w:p>
    <w:p w14:paraId="2B99DBA9" w14:textId="77777777" w:rsidR="00CD741D" w:rsidRPr="00CD741D" w:rsidRDefault="00CD741D" w:rsidP="00CD741D">
      <w:pPr>
        <w:spacing w:line="360" w:lineRule="auto"/>
        <w:rPr>
          <w:rFonts w:ascii="Calibri Light" w:eastAsia="Calibri" w:hAnsi="Calibri Light" w:cs="Calibri Light"/>
        </w:rPr>
      </w:pPr>
    </w:p>
    <w:p w14:paraId="488CA3BB" w14:textId="77777777" w:rsidR="00CD741D" w:rsidRPr="00CD741D" w:rsidRDefault="00CD741D" w:rsidP="00CD741D">
      <w:pPr>
        <w:spacing w:line="360" w:lineRule="auto"/>
        <w:rPr>
          <w:rFonts w:ascii="Calibri Light" w:eastAsia="Calibri" w:hAnsi="Calibri Light" w:cs="Times New Roman"/>
        </w:rPr>
      </w:pPr>
      <w:r w:rsidRPr="00CD741D">
        <w:rPr>
          <w:rFonts w:ascii="Calibri Light" w:eastAsia="Calibri" w:hAnsi="Calibri Light" w:cs="Times New Roman"/>
        </w:rPr>
        <w:t>Other symptoms such as diarrhea, nausea, and confusion can also be associated with LD.</w:t>
      </w:r>
      <w:r w:rsidRPr="00CD741D">
        <w:rPr>
          <w:rFonts w:ascii="Calibri Light" w:eastAsia="Calibri" w:hAnsi="Calibri Light" w:cs="Times New Roman"/>
          <w:vertAlign w:val="superscript"/>
        </w:rPr>
        <w:footnoteReference w:id="17"/>
      </w:r>
      <w:r w:rsidRPr="00CD741D">
        <w:rPr>
          <w:rFonts w:ascii="Calibri Light" w:eastAsia="Calibri" w:hAnsi="Calibri Light" w:cs="Times New Roman"/>
        </w:rPr>
        <w:t xml:space="preserve"> Symptoms typically begin five to six days after exposure but can range from two to fourteen days.</w:t>
      </w:r>
      <w:r w:rsidRPr="00CD741D">
        <w:rPr>
          <w:rFonts w:ascii="Calibri Light" w:eastAsia="Calibri" w:hAnsi="Calibri Light" w:cs="Times New Roman"/>
          <w:vertAlign w:val="superscript"/>
        </w:rPr>
        <w:footnoteReference w:id="18"/>
      </w:r>
    </w:p>
    <w:p w14:paraId="567225C2" w14:textId="77777777" w:rsidR="00CD741D" w:rsidRPr="00CD741D" w:rsidRDefault="00CD741D" w:rsidP="00CD741D">
      <w:pPr>
        <w:spacing w:line="360" w:lineRule="auto"/>
        <w:rPr>
          <w:rFonts w:ascii="Calibri Light" w:eastAsia="Calibri" w:hAnsi="Calibri Light" w:cs="Calibri Light"/>
        </w:rPr>
      </w:pPr>
    </w:p>
    <w:p w14:paraId="741F61BC" w14:textId="77777777" w:rsidR="00CD741D" w:rsidRPr="00CD741D" w:rsidRDefault="00CD741D" w:rsidP="00CD741D">
      <w:pPr>
        <w:spacing w:line="360" w:lineRule="auto"/>
        <w:rPr>
          <w:rFonts w:ascii="Calibri Light" w:eastAsia="Calibri" w:hAnsi="Calibri Light" w:cs="Calibri Light"/>
        </w:rPr>
      </w:pPr>
      <w:r w:rsidRPr="00CD741D">
        <w:rPr>
          <w:rFonts w:ascii="Calibri Light" w:eastAsia="Calibri" w:hAnsi="Calibri Light" w:cs="Calibri Light"/>
        </w:rPr>
        <w:t>For PF, which is a milder illness than LD, the primary symptoms are fever and muscle aches; the patient does not have pneumonia.</w:t>
      </w:r>
      <w:r w:rsidRPr="00CD741D">
        <w:rPr>
          <w:rFonts w:ascii="Calibri Light" w:eastAsia="Calibri" w:hAnsi="Calibri Light" w:cs="Calibri Light"/>
          <w:vertAlign w:val="superscript"/>
        </w:rPr>
        <w:footnoteReference w:id="19"/>
      </w:r>
      <w:r w:rsidRPr="00CD741D">
        <w:rPr>
          <w:rFonts w:ascii="Calibri Light" w:eastAsia="Calibri" w:hAnsi="Calibri Light" w:cs="Calibri Light"/>
        </w:rPr>
        <w:t xml:space="preserve"> Symptoms usually commence between several hours and three days after exposure, and last less than a week.</w:t>
      </w:r>
      <w:r w:rsidRPr="00CD741D">
        <w:rPr>
          <w:rFonts w:ascii="Calibri Light" w:eastAsia="Calibri" w:hAnsi="Calibri Light" w:cs="Calibri Light"/>
          <w:vertAlign w:val="superscript"/>
        </w:rPr>
        <w:footnoteReference w:id="20"/>
      </w:r>
    </w:p>
    <w:p w14:paraId="72F55677" w14:textId="77777777" w:rsidR="00CD741D" w:rsidRPr="00CD741D" w:rsidRDefault="00CD741D" w:rsidP="00CD741D">
      <w:pPr>
        <w:spacing w:line="360" w:lineRule="auto"/>
        <w:rPr>
          <w:rFonts w:ascii="Calibri Light" w:eastAsia="Calibri" w:hAnsi="Calibri Light" w:cs="Calibri Light"/>
        </w:rPr>
      </w:pPr>
    </w:p>
    <w:p w14:paraId="49030618" w14:textId="77777777" w:rsidR="00CD741D" w:rsidRPr="00CD741D" w:rsidRDefault="00CD741D" w:rsidP="00CD741D">
      <w:pPr>
        <w:spacing w:after="120" w:line="360" w:lineRule="auto"/>
        <w:rPr>
          <w:rFonts w:ascii="Arial" w:eastAsia="Calibri" w:hAnsi="Arial" w:cs="Arial"/>
          <w:b/>
          <w:bCs/>
        </w:rPr>
      </w:pPr>
      <w:r w:rsidRPr="00CD741D">
        <w:rPr>
          <w:rFonts w:ascii="Arial" w:eastAsia="Calibri" w:hAnsi="Arial" w:cs="Arial"/>
          <w:b/>
          <w:bCs/>
        </w:rPr>
        <w:t>Diagnosis</w:t>
      </w:r>
    </w:p>
    <w:p w14:paraId="140DB218" w14:textId="563E2E5B" w:rsidR="00CD741D" w:rsidRPr="00CD741D" w:rsidRDefault="00CD741D" w:rsidP="00CD741D">
      <w:pPr>
        <w:spacing w:line="360" w:lineRule="auto"/>
        <w:rPr>
          <w:rFonts w:ascii="Calibri Light" w:eastAsia="Calibri" w:hAnsi="Calibri Light" w:cs="Times New Roman"/>
        </w:rPr>
      </w:pPr>
      <w:r w:rsidRPr="00CD741D">
        <w:rPr>
          <w:rFonts w:ascii="Calibri Light" w:eastAsia="Calibri" w:hAnsi="Calibri Light" w:cs="Times New Roman"/>
        </w:rPr>
        <w:t xml:space="preserve">Legionnaires’ disease and Pontiac fever are diagnosed through both clinical and laboratory testing. CSTE’s revised </w:t>
      </w:r>
      <w:r w:rsidRPr="00CD741D">
        <w:rPr>
          <w:rFonts w:ascii="Calibri Light" w:eastAsia="Calibri" w:hAnsi="Calibri Light" w:cs="Calibri Light"/>
        </w:rPr>
        <w:t>case definition for national legionellosis surveillance</w:t>
      </w:r>
      <w:r w:rsidRPr="00CD741D">
        <w:rPr>
          <w:rFonts w:ascii="Calibri Light" w:eastAsia="Calibri" w:hAnsi="Calibri Light" w:cs="Times New Roman"/>
        </w:rPr>
        <w:t xml:space="preserve"> (Position Statement 19-ID-04)</w:t>
      </w:r>
      <w:r w:rsidRPr="00CD741D">
        <w:rPr>
          <w:rFonts w:ascii="Calibri Light" w:eastAsia="Calibri" w:hAnsi="Calibri Light" w:cs="Times New Roman"/>
          <w:vertAlign w:val="superscript"/>
        </w:rPr>
        <w:footnoteReference w:id="21"/>
      </w:r>
      <w:r w:rsidRPr="00CD741D">
        <w:rPr>
          <w:rFonts w:ascii="Calibri Light" w:eastAsia="Calibri" w:hAnsi="Calibri Light" w:cs="Times New Roman"/>
        </w:rPr>
        <w:t xml:space="preserve"> uses the </w:t>
      </w:r>
      <w:r w:rsidRPr="00CD741D">
        <w:rPr>
          <w:rFonts w:ascii="Calibri Light" w:eastAsia="Calibri" w:hAnsi="Calibri Light" w:cs="Times New Roman"/>
        </w:rPr>
        <w:lastRenderedPageBreak/>
        <w:t xml:space="preserve">following clinical and laboratory criteria to classify a case as LD, PF, or extrapulmonary legionellosis (XPL). </w:t>
      </w:r>
      <w:r w:rsidR="00A34777" w:rsidRPr="00CD741D">
        <w:rPr>
          <w:rFonts w:ascii="Calibri" w:eastAsia="Calibri" w:hAnsi="Calibri" w:cs="Times New Roman"/>
          <w:noProof/>
        </w:rPr>
        <mc:AlternateContent>
          <mc:Choice Requires="wps">
            <w:drawing>
              <wp:anchor distT="45720" distB="45720" distL="114300" distR="114300" simplePos="0" relativeHeight="251663360" behindDoc="0" locked="0" layoutInCell="1" allowOverlap="1" wp14:anchorId="04F390D4" wp14:editId="3BBCF2F6">
                <wp:simplePos x="0" y="0"/>
                <wp:positionH relativeFrom="margin">
                  <wp:align>right</wp:align>
                </wp:positionH>
                <wp:positionV relativeFrom="paragraph">
                  <wp:posOffset>425238</wp:posOffset>
                </wp:positionV>
                <wp:extent cx="3035808" cy="1143000"/>
                <wp:effectExtent l="0" t="0" r="127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808" cy="1143000"/>
                        </a:xfrm>
                        <a:prstGeom prst="rect">
                          <a:avLst/>
                        </a:prstGeom>
                        <a:solidFill>
                          <a:srgbClr val="FFFFFF"/>
                        </a:solidFill>
                        <a:ln w="9525">
                          <a:solidFill>
                            <a:srgbClr val="000000"/>
                          </a:solidFill>
                          <a:miter lim="800000"/>
                          <a:headEnd/>
                          <a:tailEnd/>
                        </a:ln>
                      </wps:spPr>
                      <wps:txbx>
                        <w:txbxContent>
                          <w:p w14:paraId="5D73A99C" w14:textId="77777777" w:rsidR="00A318FA" w:rsidRDefault="00A318FA" w:rsidP="00CD741D">
                            <w:pPr>
                              <w:rPr>
                                <w:rFonts w:ascii="Arial" w:hAnsi="Arial" w:cs="Arial"/>
                                <w:b/>
                                <w:bCs/>
                                <w:sz w:val="18"/>
                                <w:szCs w:val="18"/>
                              </w:rPr>
                            </w:pPr>
                            <w:r>
                              <w:rPr>
                                <w:rFonts w:ascii="Arial" w:hAnsi="Arial" w:cs="Arial"/>
                                <w:b/>
                                <w:bCs/>
                                <w:sz w:val="18"/>
                                <w:szCs w:val="18"/>
                              </w:rPr>
                              <w:t>Key Resource Document</w:t>
                            </w:r>
                          </w:p>
                          <w:p w14:paraId="393E9C84" w14:textId="77777777" w:rsidR="00A318FA" w:rsidRDefault="00A318FA" w:rsidP="00CD741D">
                            <w:pPr>
                              <w:rPr>
                                <w:rFonts w:ascii="Arial" w:hAnsi="Arial" w:cs="Arial"/>
                                <w:sz w:val="18"/>
                                <w:szCs w:val="18"/>
                              </w:rPr>
                            </w:pPr>
                          </w:p>
                          <w:p w14:paraId="32073B70" w14:textId="77777777" w:rsidR="00A318FA" w:rsidRDefault="00A318FA" w:rsidP="00CD741D">
                            <w:pPr>
                              <w:rPr>
                                <w:rFonts w:ascii="Arial" w:hAnsi="Arial" w:cs="Arial"/>
                                <w:sz w:val="18"/>
                                <w:szCs w:val="18"/>
                              </w:rPr>
                            </w:pPr>
                            <w:r>
                              <w:rPr>
                                <w:rFonts w:ascii="Arial" w:hAnsi="Arial" w:cs="Arial"/>
                                <w:sz w:val="18"/>
                                <w:szCs w:val="18"/>
                              </w:rPr>
                              <w:t xml:space="preserve">CSTE Position Statement 19-ID-04 Revision to the Case Definition for National Legionellosis Surveillance (June 6, 2019) Available at </w:t>
                            </w:r>
                            <w:hyperlink r:id="rId13" w:history="1">
                              <w:r>
                                <w:rPr>
                                  <w:rStyle w:val="Hyperlink"/>
                                  <w:rFonts w:ascii="Arial" w:hAnsi="Arial" w:cs="Arial"/>
                                  <w:sz w:val="18"/>
                                  <w:szCs w:val="18"/>
                                </w:rPr>
                                <w:t>https://cdn.ymaws.com/www.cste.org/resource/resmgr/2019ps/final/19-ID-04_Legionellosis_final.pdf</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390D4" id="_x0000_s1027" type="#_x0000_t202" style="position:absolute;margin-left:187.85pt;margin-top:33.5pt;width:239.05pt;height:90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">
                <v:textbox>
                  <w:txbxContent>
                    <w:p w14:paraId="5D73A99C" w14:textId="77777777" w:rsidR="00A318FA" w:rsidRDefault="00A318FA" w:rsidP="00CD741D">
                      <w:pPr>
                        <w:rPr>
                          <w:rFonts w:ascii="Arial" w:hAnsi="Arial" w:cs="Arial"/>
                          <w:b/>
                          <w:bCs/>
                          <w:sz w:val="18"/>
                          <w:szCs w:val="18"/>
                        </w:rPr>
                      </w:pPr>
                      <w:r>
                        <w:rPr>
                          <w:rFonts w:ascii="Arial" w:hAnsi="Arial" w:cs="Arial"/>
                          <w:b/>
                          <w:bCs/>
                          <w:sz w:val="18"/>
                          <w:szCs w:val="18"/>
                        </w:rPr>
                        <w:t>Key Resource Document</w:t>
                      </w:r>
                    </w:p>
                    <w:p w14:paraId="393E9C84" w14:textId="77777777" w:rsidR="00A318FA" w:rsidRDefault="00A318FA" w:rsidP="00CD741D">
                      <w:pPr>
                        <w:rPr>
                          <w:rFonts w:ascii="Arial" w:hAnsi="Arial" w:cs="Arial"/>
                          <w:sz w:val="18"/>
                          <w:szCs w:val="18"/>
                        </w:rPr>
                      </w:pPr>
                    </w:p>
                    <w:p w14:paraId="32073B70" w14:textId="77777777" w:rsidR="00A318FA" w:rsidRDefault="00A318FA" w:rsidP="00CD741D">
                      <w:pPr>
                        <w:rPr>
                          <w:rFonts w:ascii="Arial" w:hAnsi="Arial" w:cs="Arial"/>
                          <w:sz w:val="18"/>
                          <w:szCs w:val="18"/>
                        </w:rPr>
                      </w:pPr>
                      <w:r>
                        <w:rPr>
                          <w:rFonts w:ascii="Arial" w:hAnsi="Arial" w:cs="Arial"/>
                          <w:sz w:val="18"/>
                          <w:szCs w:val="18"/>
                        </w:rPr>
                        <w:t xml:space="preserve">CSTE Position Statement 19-ID-04 Revision to the Case Definition for National Legionellosis Surveillance (June 6, 2019) Available at </w:t>
                      </w:r>
                      <w:hyperlink r:id="rId14" w:history="1">
                        <w:r>
                          <w:rPr>
                            <w:rStyle w:val="Hyperlink"/>
                            <w:rFonts w:ascii="Arial" w:hAnsi="Arial" w:cs="Arial"/>
                            <w:sz w:val="18"/>
                            <w:szCs w:val="18"/>
                          </w:rPr>
                          <w:t>https://cdn.ymaws.com/www.cste.org/resource/resmgr/2019ps/final/19-ID-04_Legionellosis_final.pdf</w:t>
                        </w:r>
                      </w:hyperlink>
                    </w:p>
                  </w:txbxContent>
                </v:textbox>
                <w10:wrap type="square" anchorx="margin"/>
              </v:shape>
            </w:pict>
          </mc:Fallback>
        </mc:AlternateContent>
      </w:r>
      <w:r w:rsidRPr="00CD741D">
        <w:rPr>
          <w:rFonts w:ascii="Calibri Light" w:eastAsia="Calibri" w:hAnsi="Calibri Light" w:cs="Times New Roman"/>
        </w:rPr>
        <w:t xml:space="preserve">A diagnosis may also arise through epidemiologic linkage. </w:t>
      </w:r>
    </w:p>
    <w:p w14:paraId="6C76015B" w14:textId="6B6308F2" w:rsidR="00CD741D" w:rsidRPr="00CD741D" w:rsidRDefault="00CD741D" w:rsidP="00CD741D">
      <w:pPr>
        <w:spacing w:line="360" w:lineRule="auto"/>
        <w:rPr>
          <w:rFonts w:ascii="Calibri Light" w:eastAsia="Calibri" w:hAnsi="Calibri Light" w:cs="Times New Roman"/>
        </w:rPr>
      </w:pPr>
    </w:p>
    <w:p w14:paraId="061EFA92" w14:textId="0B1F9906" w:rsidR="00CD741D" w:rsidRPr="00CD741D" w:rsidRDefault="00CD741D" w:rsidP="00CD741D">
      <w:pPr>
        <w:spacing w:line="360" w:lineRule="auto"/>
        <w:rPr>
          <w:rFonts w:ascii="Calibri Light" w:eastAsia="Calibri" w:hAnsi="Calibri Light" w:cs="Times New Roman"/>
          <w:b/>
          <w:bCs/>
        </w:rPr>
      </w:pPr>
      <w:r w:rsidRPr="00CD741D">
        <w:rPr>
          <w:rFonts w:ascii="Calibri Light" w:eastAsia="Calibri" w:hAnsi="Calibri Light" w:cs="Times New Roman"/>
          <w:b/>
          <w:bCs/>
        </w:rPr>
        <w:t>Clinical Criteria</w:t>
      </w:r>
    </w:p>
    <w:p w14:paraId="6D7F65EA" w14:textId="77777777" w:rsidR="00CD741D" w:rsidRPr="00CD741D" w:rsidRDefault="00CD741D" w:rsidP="00CD741D">
      <w:pPr>
        <w:spacing w:line="360" w:lineRule="auto"/>
        <w:rPr>
          <w:rFonts w:ascii="Calibri Light" w:eastAsia="Calibri" w:hAnsi="Calibri Light" w:cs="Times New Roman"/>
        </w:rPr>
      </w:pPr>
      <w:r w:rsidRPr="00CD741D">
        <w:rPr>
          <w:rFonts w:ascii="Calibri Light" w:eastAsia="Calibri" w:hAnsi="Calibri Light" w:cs="Times New Roman"/>
        </w:rPr>
        <w:t>The CSTE position statement (PS) 19-ID-04 list the following clinical criteria for determining if a case of legionellosis is LD, PF, or XPL. The statement also notes that clinical criteria alone are not sufficient to cause a report to public health authorities.</w:t>
      </w:r>
      <w:r w:rsidRPr="00CD741D">
        <w:rPr>
          <w:rFonts w:ascii="Calibri Light" w:eastAsia="Calibri" w:hAnsi="Calibri Light" w:cs="Times New Roman"/>
          <w:vertAlign w:val="superscript"/>
        </w:rPr>
        <w:footnoteReference w:id="22"/>
      </w:r>
    </w:p>
    <w:p w14:paraId="4B75A8A9" w14:textId="77777777" w:rsidR="00CD741D" w:rsidRPr="00CD741D" w:rsidRDefault="00CD741D" w:rsidP="00CD741D">
      <w:pPr>
        <w:numPr>
          <w:ilvl w:val="0"/>
          <w:numId w:val="17"/>
        </w:numPr>
        <w:spacing w:after="120" w:line="360" w:lineRule="auto"/>
        <w:contextualSpacing/>
        <w:rPr>
          <w:rFonts w:ascii="Calibri Light" w:eastAsia="Calibri" w:hAnsi="Calibri Light" w:cs="Times New Roman"/>
        </w:rPr>
      </w:pPr>
      <w:r w:rsidRPr="00CD741D">
        <w:rPr>
          <w:rFonts w:ascii="Calibri Light" w:eastAsia="Calibri" w:hAnsi="Calibri Light" w:cs="Times New Roman"/>
          <w:b/>
          <w:bCs/>
        </w:rPr>
        <w:t xml:space="preserve">LD – </w:t>
      </w:r>
      <w:r w:rsidRPr="00CD741D">
        <w:rPr>
          <w:rFonts w:ascii="Calibri Light" w:eastAsia="Calibri" w:hAnsi="Calibri Light" w:cs="Times New Roman"/>
        </w:rPr>
        <w:t>Presents as pneumonia, diagnosed clinically and/or radiographically.</w:t>
      </w:r>
      <w:r w:rsidRPr="00CD741D">
        <w:rPr>
          <w:rFonts w:ascii="Calibri Light" w:eastAsia="Calibri" w:hAnsi="Calibri Light" w:cs="Times New Roman"/>
          <w:vertAlign w:val="superscript"/>
        </w:rPr>
        <w:footnoteReference w:id="23"/>
      </w:r>
      <w:r w:rsidRPr="00CD741D">
        <w:rPr>
          <w:rFonts w:ascii="Calibri Light" w:eastAsia="Calibri" w:hAnsi="Calibri Light" w:cs="Times New Roman"/>
        </w:rPr>
        <w:t xml:space="preserve"> PS 19-ID-04 notes: “[e]</w:t>
      </w:r>
      <w:proofErr w:type="spellStart"/>
      <w:r w:rsidRPr="00CD741D">
        <w:rPr>
          <w:rFonts w:ascii="Calibri Light" w:eastAsia="Calibri" w:hAnsi="Calibri Light" w:cs="Times New Roman"/>
        </w:rPr>
        <w:t>vidence</w:t>
      </w:r>
      <w:proofErr w:type="spellEnd"/>
      <w:r w:rsidRPr="00CD741D">
        <w:rPr>
          <w:rFonts w:ascii="Calibri Light" w:eastAsia="Calibri" w:hAnsi="Calibri Light" w:cs="Times New Roman"/>
        </w:rPr>
        <w:t xml:space="preserve"> of clinically compatible disease can be determined several ways: a) a clinical or radiographic diagnosis of pneumonia in the medical record OR b) if “pneumonia” is not recorded explicitly, a description of clinical symptoms that are consistent with a diagnosis of pneumonia.”</w:t>
      </w:r>
      <w:r w:rsidRPr="00CD741D">
        <w:rPr>
          <w:rFonts w:ascii="Calibri Light" w:eastAsia="Calibri" w:hAnsi="Calibri Light" w:cs="Times New Roman"/>
          <w:vertAlign w:val="superscript"/>
        </w:rPr>
        <w:footnoteReference w:id="24"/>
      </w:r>
      <w:r w:rsidRPr="00CD741D">
        <w:rPr>
          <w:rFonts w:ascii="Calibri Light" w:eastAsia="Calibri" w:hAnsi="Calibri Light" w:cs="Times New Roman"/>
        </w:rPr>
        <w:t xml:space="preserve"> </w:t>
      </w:r>
      <w:r w:rsidRPr="00CD741D">
        <w:rPr>
          <w:rFonts w:ascii="Calibri Light" w:eastAsia="Calibri" w:hAnsi="Calibri Light" w:cs="Calibri Light"/>
        </w:rPr>
        <w:t>The clinical symptoms of pneumonia can vary, however PS19-ID-04 states that symptoms must include “acute onset of lower respiratory illness with fever and/or cough.”</w:t>
      </w:r>
      <w:r w:rsidRPr="00CD741D">
        <w:rPr>
          <w:rFonts w:ascii="Calibri Light" w:eastAsia="Calibri" w:hAnsi="Calibri Light" w:cs="Calibri Light"/>
          <w:vertAlign w:val="superscript"/>
        </w:rPr>
        <w:footnoteReference w:id="25"/>
      </w:r>
      <w:r w:rsidRPr="00CD741D">
        <w:rPr>
          <w:rFonts w:ascii="Calibri Light" w:eastAsia="Calibri" w:hAnsi="Calibri Light" w:cs="Calibri Light"/>
        </w:rPr>
        <w:t xml:space="preserve"> It further adds that “[a]</w:t>
      </w:r>
      <w:proofErr w:type="spellStart"/>
      <w:r w:rsidRPr="00CD741D">
        <w:rPr>
          <w:rFonts w:ascii="Calibri Light" w:eastAsia="Calibri" w:hAnsi="Calibri Light" w:cs="Calibri Light"/>
        </w:rPr>
        <w:t>dditional</w:t>
      </w:r>
      <w:proofErr w:type="spellEnd"/>
      <w:r w:rsidRPr="00CD741D">
        <w:rPr>
          <w:rFonts w:ascii="Calibri Light" w:eastAsia="Calibri" w:hAnsi="Calibri Light" w:cs="Calibri Light"/>
        </w:rPr>
        <w:t xml:space="preserve"> symptoms could include myalgia, shortness of breath, headache, malaise, chest discomfort, confusion, nausea, diarrhea, or abdominal pain.”</w:t>
      </w:r>
      <w:r w:rsidRPr="00CD741D">
        <w:rPr>
          <w:rFonts w:ascii="Calibri Light" w:eastAsia="Calibri" w:hAnsi="Calibri Light" w:cs="Calibri Light"/>
          <w:vertAlign w:val="superscript"/>
        </w:rPr>
        <w:footnoteReference w:id="26"/>
      </w:r>
    </w:p>
    <w:p w14:paraId="7BD42F89" w14:textId="77777777" w:rsidR="00CD741D" w:rsidRPr="00CD741D" w:rsidRDefault="00CD741D" w:rsidP="00CD741D">
      <w:pPr>
        <w:numPr>
          <w:ilvl w:val="0"/>
          <w:numId w:val="17"/>
        </w:numPr>
        <w:spacing w:after="60" w:line="360" w:lineRule="auto"/>
        <w:contextualSpacing/>
        <w:rPr>
          <w:rFonts w:ascii="Calibri Light" w:eastAsia="Calibri" w:hAnsi="Calibri Light" w:cs="Times New Roman"/>
        </w:rPr>
      </w:pPr>
      <w:r w:rsidRPr="00CD741D">
        <w:rPr>
          <w:rFonts w:ascii="Calibri Light" w:eastAsia="Calibri" w:hAnsi="Calibri Light" w:cs="Times New Roman"/>
          <w:b/>
          <w:bCs/>
        </w:rPr>
        <w:lastRenderedPageBreak/>
        <w:t xml:space="preserve">PF – </w:t>
      </w:r>
      <w:r w:rsidRPr="00CD741D">
        <w:rPr>
          <w:rFonts w:ascii="Calibri Light" w:eastAsia="Calibri" w:hAnsi="Calibri Light" w:cs="Times New Roman"/>
        </w:rPr>
        <w:t xml:space="preserve">Presents as a milder illness. Although the clinical symptoms of PF can vary, but </w:t>
      </w:r>
      <w:r w:rsidRPr="00CD741D">
        <w:rPr>
          <w:rFonts w:ascii="Calibri Light" w:eastAsia="Calibri" w:hAnsi="Calibri Light" w:cs="Calibri Light"/>
        </w:rPr>
        <w:t>PS19-ID-04 states that symptoms must include “acute symptom onset of one or more of the following: fever, chills, myalgia, malaise, headaches, fatigue, nausea and/or vomiting.”</w:t>
      </w:r>
      <w:r w:rsidRPr="00CD741D">
        <w:rPr>
          <w:rFonts w:ascii="Calibri Light" w:eastAsia="Calibri" w:hAnsi="Calibri Light" w:cs="Calibri Light"/>
          <w:vertAlign w:val="superscript"/>
        </w:rPr>
        <w:footnoteReference w:id="27"/>
      </w:r>
      <w:r w:rsidRPr="00CD741D">
        <w:rPr>
          <w:rFonts w:ascii="Calibri Light" w:eastAsia="Calibri" w:hAnsi="Calibri Light" w:cs="Calibri Light"/>
        </w:rPr>
        <w:t xml:space="preserve"> The statement further notes that:</w:t>
      </w:r>
    </w:p>
    <w:p w14:paraId="16309A4D" w14:textId="77777777" w:rsidR="00CD741D" w:rsidRPr="00CD741D" w:rsidRDefault="00CD741D" w:rsidP="00CD741D">
      <w:pPr>
        <w:spacing w:after="120" w:line="360" w:lineRule="auto"/>
        <w:ind w:left="720" w:right="720"/>
        <w:contextualSpacing/>
        <w:rPr>
          <w:rFonts w:ascii="Calibri Light" w:eastAsia="Calibri" w:hAnsi="Calibri Light" w:cs="Times New Roman"/>
        </w:rPr>
      </w:pPr>
      <w:r w:rsidRPr="00CD741D">
        <w:rPr>
          <w:rFonts w:ascii="Calibri Light" w:eastAsia="Calibri" w:hAnsi="Calibri Light" w:cs="Calibri Light"/>
        </w:rPr>
        <w:t xml:space="preserve"> “Wh</w:t>
      </w:r>
      <w:r w:rsidRPr="00CD741D">
        <w:rPr>
          <w:rFonts w:ascii="Calibri Light" w:eastAsia="Calibri" w:hAnsi="Calibri Light" w:cs="Times New Roman"/>
        </w:rPr>
        <w:t>ile symptoms of PF could appear similar to those described for LD, there are distinguishing clinical features. PF does not present as pneumonia. It is less severe than LD, rarely requiring hospitalization. PF is self-limited, meaning it resolves without antibiotic treatment.”</w:t>
      </w:r>
      <w:r w:rsidRPr="00CD741D">
        <w:rPr>
          <w:rFonts w:ascii="Calibri Light" w:eastAsia="Calibri" w:hAnsi="Calibri Light" w:cs="Times New Roman"/>
          <w:vertAlign w:val="superscript"/>
        </w:rPr>
        <w:footnoteReference w:id="28"/>
      </w:r>
    </w:p>
    <w:p w14:paraId="619C3571" w14:textId="77777777" w:rsidR="00CD741D" w:rsidRPr="00CD741D" w:rsidRDefault="00CD741D" w:rsidP="00CD741D">
      <w:pPr>
        <w:numPr>
          <w:ilvl w:val="0"/>
          <w:numId w:val="18"/>
        </w:numPr>
        <w:spacing w:line="360" w:lineRule="auto"/>
        <w:contextualSpacing/>
        <w:rPr>
          <w:rFonts w:ascii="Calibri Light" w:eastAsia="Calibri" w:hAnsi="Calibri Light" w:cs="Times New Roman"/>
        </w:rPr>
      </w:pPr>
      <w:r w:rsidRPr="00CD741D">
        <w:rPr>
          <w:rFonts w:ascii="Calibri Light" w:eastAsia="Calibri" w:hAnsi="Calibri Light" w:cs="Times New Roman"/>
          <w:b/>
          <w:bCs/>
        </w:rPr>
        <w:t>XPL –</w:t>
      </w:r>
      <w:r w:rsidRPr="00CD741D">
        <w:rPr>
          <w:rFonts w:ascii="Calibri Light" w:eastAsia="Calibri" w:hAnsi="Calibri Light" w:cs="Times New Roman"/>
        </w:rPr>
        <w:t xml:space="preserve"> Legionellosis can occur in other sites in the body beyond the lungs.</w:t>
      </w:r>
      <w:r w:rsidRPr="00CD741D">
        <w:rPr>
          <w:rFonts w:ascii="Calibri Light" w:eastAsia="Calibri" w:hAnsi="Calibri Light" w:cs="Times New Roman"/>
          <w:vertAlign w:val="superscript"/>
        </w:rPr>
        <w:footnoteReference w:id="29"/>
      </w:r>
      <w:r w:rsidRPr="00CD741D">
        <w:rPr>
          <w:rFonts w:ascii="Calibri Light" w:eastAsia="Calibri" w:hAnsi="Calibri Light" w:cs="Times New Roman"/>
        </w:rPr>
        <w:t xml:space="preserve"> Infection with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may be as associated with “endocarditis, wound infection, joint infection, [or] graft infection”.</w:t>
      </w:r>
      <w:r w:rsidRPr="00CD741D">
        <w:rPr>
          <w:rFonts w:ascii="Calibri Light" w:eastAsia="Calibri" w:hAnsi="Calibri Light" w:cs="Times New Roman"/>
          <w:vertAlign w:val="superscript"/>
        </w:rPr>
        <w:footnoteReference w:id="30"/>
      </w:r>
      <w:r w:rsidRPr="00CD741D">
        <w:rPr>
          <w:rFonts w:ascii="Calibri Light" w:eastAsia="Calibri" w:hAnsi="Calibri Light" w:cs="Times New Roman"/>
        </w:rPr>
        <w:t xml:space="preserve"> </w:t>
      </w:r>
      <w:r w:rsidRPr="00CD741D">
        <w:rPr>
          <w:rFonts w:ascii="Calibri Light" w:eastAsia="Calibri" w:hAnsi="Calibri Light" w:cs="Calibri Light"/>
        </w:rPr>
        <w:t>PS19-ID-04 further states that “[a]</w:t>
      </w:r>
      <w:r w:rsidRPr="00CD741D">
        <w:rPr>
          <w:rFonts w:ascii="Calibri Light" w:eastAsia="Calibri" w:hAnsi="Calibri Light" w:cs="Times New Roman"/>
        </w:rPr>
        <w:t xml:space="preserve"> diagnosis of extrapulmonary legionellosis is made when there is clinical evidence of disease at an extrapulmonary site and diagnostic testing indicates evidence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at that site.”</w:t>
      </w:r>
      <w:r w:rsidRPr="00CD741D">
        <w:rPr>
          <w:rFonts w:ascii="Calibri Light" w:eastAsia="Calibri" w:hAnsi="Calibri Light" w:cs="Times New Roman"/>
          <w:vertAlign w:val="superscript"/>
        </w:rPr>
        <w:footnoteReference w:id="31"/>
      </w:r>
      <w:r w:rsidRPr="00CD741D">
        <w:rPr>
          <w:rFonts w:ascii="Calibri Light" w:eastAsia="Calibri" w:hAnsi="Calibri Light" w:cs="Times New Roman"/>
        </w:rPr>
        <w:t xml:space="preserve"> </w:t>
      </w:r>
    </w:p>
    <w:p w14:paraId="40BB161A" w14:textId="77777777" w:rsidR="00CD741D" w:rsidRPr="00CD741D" w:rsidRDefault="00CD741D" w:rsidP="00CD741D">
      <w:pPr>
        <w:spacing w:line="360" w:lineRule="auto"/>
        <w:rPr>
          <w:rFonts w:ascii="Calibri Light" w:eastAsia="Calibri" w:hAnsi="Calibri Light" w:cs="Times New Roman"/>
        </w:rPr>
      </w:pPr>
    </w:p>
    <w:p w14:paraId="644BCC6B" w14:textId="77777777" w:rsidR="00CD741D" w:rsidRPr="00CD741D" w:rsidRDefault="00CD741D" w:rsidP="00CD741D">
      <w:pPr>
        <w:spacing w:line="360" w:lineRule="auto"/>
        <w:rPr>
          <w:rFonts w:ascii="Calibri Light" w:eastAsia="Calibri" w:hAnsi="Calibri Light" w:cs="Times New Roman"/>
          <w:b/>
          <w:bCs/>
        </w:rPr>
      </w:pPr>
      <w:r w:rsidRPr="00CD741D">
        <w:rPr>
          <w:rFonts w:ascii="Calibri Light" w:eastAsia="Calibri" w:hAnsi="Calibri Light" w:cs="Times New Roman"/>
          <w:b/>
          <w:bCs/>
        </w:rPr>
        <w:t>Laboratory Criteria</w:t>
      </w:r>
    </w:p>
    <w:p w14:paraId="4AEE1111" w14:textId="77777777" w:rsidR="00CD741D" w:rsidRPr="00CD741D" w:rsidRDefault="00CD741D" w:rsidP="00CD741D">
      <w:pPr>
        <w:spacing w:after="120" w:line="360" w:lineRule="auto"/>
        <w:rPr>
          <w:rFonts w:ascii="Calibri Light" w:eastAsia="Calibri" w:hAnsi="Calibri Light" w:cs="Times New Roman"/>
        </w:rPr>
      </w:pPr>
      <w:r w:rsidRPr="00CD741D">
        <w:rPr>
          <w:rFonts w:ascii="Calibri Light" w:eastAsia="Calibri" w:hAnsi="Calibri Light" w:cs="Times New Roman"/>
        </w:rPr>
        <w:t xml:space="preserve">The CSTE Position Statement </w:t>
      </w:r>
      <w:r w:rsidRPr="00CD741D">
        <w:rPr>
          <w:rFonts w:ascii="Calibri Light" w:eastAsia="Calibri" w:hAnsi="Calibri Light" w:cs="Calibri Light"/>
        </w:rPr>
        <w:t xml:space="preserve">19-ID-04 identifies the confirmatory and supportive laboratory evidence necessary to classify a legionellosis case. Presumptive laboratory evidence is not required for case </w:t>
      </w:r>
      <w:r w:rsidRPr="00CD741D">
        <w:rPr>
          <w:rFonts w:ascii="Calibri Light" w:eastAsia="Calibri" w:hAnsi="Calibri Light" w:cs="Calibri Light"/>
        </w:rPr>
        <w:lastRenderedPageBreak/>
        <w:t>classification.</w:t>
      </w:r>
      <w:r w:rsidRPr="00CD741D">
        <w:rPr>
          <w:rFonts w:ascii="Calibri Light" w:eastAsia="Calibri" w:hAnsi="Calibri Light" w:cs="Calibri Light"/>
          <w:vertAlign w:val="superscript"/>
        </w:rPr>
        <w:footnoteReference w:id="32"/>
      </w:r>
      <w:r w:rsidRPr="00CD741D">
        <w:rPr>
          <w:rFonts w:ascii="Calibri Light" w:eastAsia="Calibri" w:hAnsi="Calibri Light" w:cs="Calibri Light"/>
        </w:rPr>
        <w:t xml:space="preserve"> (PS19-ID-04 also identifies specific laboratory results which must be reported to public health authorities.</w:t>
      </w:r>
      <w:r w:rsidRPr="00CD741D">
        <w:rPr>
          <w:rFonts w:ascii="Calibri Light" w:eastAsia="Calibri" w:hAnsi="Calibri Light" w:cs="Calibri Light"/>
          <w:vertAlign w:val="superscript"/>
        </w:rPr>
        <w:footnoteReference w:id="33"/>
      </w:r>
      <w:r w:rsidRPr="00CD741D">
        <w:rPr>
          <w:rFonts w:ascii="Calibri Light" w:eastAsia="Calibri" w:hAnsi="Calibri Light" w:cs="Calibri Light"/>
        </w:rPr>
        <w:t>)</w:t>
      </w:r>
    </w:p>
    <w:p w14:paraId="2A119E1B" w14:textId="77777777" w:rsidR="00CD741D" w:rsidRPr="00CD741D" w:rsidRDefault="00CD741D" w:rsidP="00CD741D">
      <w:pPr>
        <w:numPr>
          <w:ilvl w:val="0"/>
          <w:numId w:val="18"/>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Confirmatory laboratory evidence</w:t>
      </w:r>
      <w:r w:rsidRPr="00CD741D">
        <w:rPr>
          <w:rFonts w:ascii="Calibri Light" w:eastAsia="Calibri" w:hAnsi="Calibri Light" w:cs="Times New Roman"/>
          <w:vertAlign w:val="superscript"/>
        </w:rPr>
        <w:footnoteReference w:id="34"/>
      </w:r>
      <w:r w:rsidRPr="00CD741D">
        <w:rPr>
          <w:rFonts w:ascii="Calibri Light" w:eastAsia="Calibri" w:hAnsi="Calibri Light" w:cs="Times New Roman"/>
        </w:rPr>
        <w:t>:</w:t>
      </w:r>
    </w:p>
    <w:p w14:paraId="00EB3EFD" w14:textId="77777777" w:rsidR="00CD741D" w:rsidRPr="00CD741D" w:rsidRDefault="00CD741D" w:rsidP="00CD741D">
      <w:pPr>
        <w:numPr>
          <w:ilvl w:val="1"/>
          <w:numId w:val="18"/>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Isolation of any Legionella organism from lower respiratory secretions, lung tissue, pleural fluid, or extrapulmonary site.</w:t>
      </w:r>
    </w:p>
    <w:p w14:paraId="5BDC26D5" w14:textId="77777777" w:rsidR="00CD741D" w:rsidRPr="00CD741D" w:rsidRDefault="00CD741D" w:rsidP="00CD741D">
      <w:pPr>
        <w:numPr>
          <w:ilvl w:val="1"/>
          <w:numId w:val="18"/>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Detection of any Legionella species from lower respiratory secretions, lung tissue, pleural fluid, or extrapulmonary site by a validated nucleic acid amplification test.</w:t>
      </w:r>
    </w:p>
    <w:p w14:paraId="27CA98B1" w14:textId="77777777" w:rsidR="00CD741D" w:rsidRPr="00CD741D" w:rsidRDefault="00CD741D" w:rsidP="00CD741D">
      <w:pPr>
        <w:numPr>
          <w:ilvl w:val="1"/>
          <w:numId w:val="18"/>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Detection of Legionella pneumophila serogroup 1 antigen in urine using validated reagents.</w:t>
      </w:r>
    </w:p>
    <w:p w14:paraId="22507F0A" w14:textId="77777777" w:rsidR="00CD741D" w:rsidRPr="00CD741D" w:rsidRDefault="00CD741D" w:rsidP="00CD741D">
      <w:pPr>
        <w:numPr>
          <w:ilvl w:val="1"/>
          <w:numId w:val="18"/>
        </w:numPr>
        <w:spacing w:after="120" w:line="360" w:lineRule="auto"/>
        <w:contextualSpacing/>
        <w:rPr>
          <w:rFonts w:ascii="Calibri Light" w:eastAsia="Calibri" w:hAnsi="Calibri Light" w:cs="Times New Roman"/>
        </w:rPr>
      </w:pPr>
      <w:r w:rsidRPr="00CD741D">
        <w:rPr>
          <w:rFonts w:ascii="Calibri Light" w:eastAsia="Calibri" w:hAnsi="Calibri Light" w:cs="Times New Roman"/>
        </w:rPr>
        <w:t>Fourfold or greater rise in specific serum antibody titer to Legionella pneumophila serogroup 1 using validated reagents.</w:t>
      </w:r>
    </w:p>
    <w:p w14:paraId="05267A14" w14:textId="77777777" w:rsidR="00CD741D" w:rsidRPr="00CD741D" w:rsidRDefault="00CD741D" w:rsidP="00CD741D">
      <w:pPr>
        <w:numPr>
          <w:ilvl w:val="0"/>
          <w:numId w:val="18"/>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Supportive laboratory evidence</w:t>
      </w:r>
      <w:r w:rsidRPr="00CD741D">
        <w:rPr>
          <w:rFonts w:ascii="Calibri Light" w:eastAsia="Calibri" w:hAnsi="Calibri Light" w:cs="Times New Roman"/>
          <w:vertAlign w:val="superscript"/>
        </w:rPr>
        <w:footnoteReference w:id="35"/>
      </w:r>
      <w:r w:rsidRPr="00CD741D">
        <w:rPr>
          <w:rFonts w:ascii="Calibri Light" w:eastAsia="Calibri" w:hAnsi="Calibri Light" w:cs="Times New Roman"/>
        </w:rPr>
        <w:t>:</w:t>
      </w:r>
    </w:p>
    <w:p w14:paraId="302603C5" w14:textId="77777777" w:rsidR="00CD741D" w:rsidRPr="00CD741D" w:rsidRDefault="00CD741D" w:rsidP="00CD741D">
      <w:pPr>
        <w:numPr>
          <w:ilvl w:val="1"/>
          <w:numId w:val="18"/>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 xml:space="preserve">Fourfold or greater rise in antibody titer to specific species or serogroups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other than </w:t>
      </w:r>
      <w:r w:rsidRPr="00CD741D">
        <w:rPr>
          <w:rFonts w:ascii="Calibri Light" w:eastAsia="Calibri" w:hAnsi="Calibri Light" w:cs="Times New Roman"/>
          <w:i/>
          <w:iCs/>
        </w:rPr>
        <w:t>L. pneumophila</w:t>
      </w:r>
      <w:r w:rsidRPr="00CD741D">
        <w:rPr>
          <w:rFonts w:ascii="Calibri Light" w:eastAsia="Calibri" w:hAnsi="Calibri Light" w:cs="Times New Roman"/>
        </w:rPr>
        <w:t xml:space="preserve"> serogroup 1 (e.g., </w:t>
      </w:r>
      <w:r w:rsidRPr="00CD741D">
        <w:rPr>
          <w:rFonts w:ascii="Calibri Light" w:eastAsia="Calibri" w:hAnsi="Calibri Light" w:cs="Times New Roman"/>
          <w:i/>
          <w:iCs/>
        </w:rPr>
        <w:t xml:space="preserve">L. </w:t>
      </w:r>
      <w:proofErr w:type="spellStart"/>
      <w:r w:rsidRPr="00CD741D">
        <w:rPr>
          <w:rFonts w:ascii="Calibri Light" w:eastAsia="Calibri" w:hAnsi="Calibri Light" w:cs="Times New Roman"/>
          <w:i/>
          <w:iCs/>
        </w:rPr>
        <w:t>micdadei</w:t>
      </w:r>
      <w:proofErr w:type="spellEnd"/>
      <w:r w:rsidRPr="00CD741D">
        <w:rPr>
          <w:rFonts w:ascii="Calibri Light" w:eastAsia="Calibri" w:hAnsi="Calibri Light" w:cs="Times New Roman"/>
        </w:rPr>
        <w:t xml:space="preserve">, </w:t>
      </w:r>
      <w:r w:rsidRPr="00CD741D">
        <w:rPr>
          <w:rFonts w:ascii="Calibri Light" w:eastAsia="Calibri" w:hAnsi="Calibri Light" w:cs="Times New Roman"/>
          <w:i/>
          <w:iCs/>
        </w:rPr>
        <w:t>L. pneumophila</w:t>
      </w:r>
      <w:r w:rsidRPr="00CD741D">
        <w:rPr>
          <w:rFonts w:ascii="Calibri Light" w:eastAsia="Calibri" w:hAnsi="Calibri Light" w:cs="Times New Roman"/>
        </w:rPr>
        <w:t xml:space="preserve"> serogroup 6).</w:t>
      </w:r>
    </w:p>
    <w:p w14:paraId="3D6B6061" w14:textId="77777777" w:rsidR="00CD741D" w:rsidRPr="00CD741D" w:rsidRDefault="00CD741D" w:rsidP="00CD741D">
      <w:pPr>
        <w:numPr>
          <w:ilvl w:val="1"/>
          <w:numId w:val="18"/>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 xml:space="preserve">Fourfold or greater rise in antibody titer to multiple species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using pooled antigens.</w:t>
      </w:r>
    </w:p>
    <w:p w14:paraId="5B5D2B79" w14:textId="77777777" w:rsidR="00CD741D" w:rsidRPr="00CD741D" w:rsidRDefault="00CD741D" w:rsidP="00CD741D">
      <w:pPr>
        <w:numPr>
          <w:ilvl w:val="1"/>
          <w:numId w:val="18"/>
        </w:numPr>
        <w:spacing w:line="360" w:lineRule="auto"/>
        <w:contextualSpacing/>
        <w:rPr>
          <w:rFonts w:ascii="Calibri Light" w:eastAsia="Calibri" w:hAnsi="Calibri Light" w:cs="Times New Roman"/>
        </w:rPr>
      </w:pPr>
      <w:r w:rsidRPr="00CD741D">
        <w:rPr>
          <w:rFonts w:ascii="Calibri Light" w:eastAsia="Calibri" w:hAnsi="Calibri Light" w:cs="Times New Roman"/>
        </w:rPr>
        <w:t xml:space="preserve">Detection of specific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antigen or staining of the organism in lower respiratory secretions, lung tissue, pleural fluid, or extrapulmonary site associated with clinical disease by direct fluorescent antibody (DFA) staining, immunohistochemistry (IHC), or other similar method, using validated reagents.</w:t>
      </w:r>
    </w:p>
    <w:p w14:paraId="2059B0AD" w14:textId="77777777" w:rsidR="00CD741D" w:rsidRPr="00CD741D" w:rsidRDefault="00CD741D" w:rsidP="00CD741D">
      <w:pPr>
        <w:spacing w:line="360" w:lineRule="auto"/>
        <w:ind w:left="720"/>
        <w:rPr>
          <w:rFonts w:ascii="Calibri Light" w:eastAsia="Calibri" w:hAnsi="Calibri Light" w:cs="Times New Roman"/>
        </w:rPr>
      </w:pPr>
    </w:p>
    <w:p w14:paraId="2BDBB005" w14:textId="77777777" w:rsidR="00CD741D" w:rsidRPr="00CD741D" w:rsidRDefault="00CD741D" w:rsidP="00CD741D">
      <w:pPr>
        <w:keepNext/>
        <w:spacing w:after="120" w:line="360" w:lineRule="auto"/>
        <w:rPr>
          <w:rFonts w:ascii="Calibri Light" w:eastAsia="Calibri" w:hAnsi="Calibri Light" w:cs="Times New Roman"/>
          <w:b/>
          <w:bCs/>
        </w:rPr>
      </w:pPr>
      <w:r w:rsidRPr="00CD741D">
        <w:rPr>
          <w:rFonts w:ascii="Calibri Light" w:eastAsia="Calibri" w:hAnsi="Calibri Light" w:cs="Times New Roman"/>
          <w:b/>
          <w:bCs/>
        </w:rPr>
        <w:lastRenderedPageBreak/>
        <w:t>Epidemiologic Linkage</w:t>
      </w:r>
    </w:p>
    <w:p w14:paraId="25FC7B1F" w14:textId="77777777" w:rsidR="00CD741D" w:rsidRPr="00CD741D" w:rsidRDefault="00CD741D" w:rsidP="00CD741D">
      <w:pPr>
        <w:spacing w:after="60" w:line="360" w:lineRule="auto"/>
        <w:rPr>
          <w:rFonts w:ascii="Calibri Light" w:eastAsia="Calibri" w:hAnsi="Calibri Light" w:cs="Times New Roman"/>
        </w:rPr>
      </w:pPr>
      <w:r w:rsidRPr="00CD741D">
        <w:rPr>
          <w:rFonts w:ascii="Calibri Light" w:eastAsia="Calibri" w:hAnsi="Calibri Light" w:cs="Calibri Light"/>
        </w:rPr>
        <w:t>CSTE Position Statement 19-ID-04 also identifies two criteria from which an epidemiologic link can be made for classifying a case of legionellosis</w:t>
      </w:r>
      <w:r w:rsidRPr="00CD741D">
        <w:rPr>
          <w:rFonts w:ascii="Calibri Light" w:eastAsia="Calibri" w:hAnsi="Calibri Light" w:cs="Calibri Light"/>
          <w:vertAlign w:val="superscript"/>
        </w:rPr>
        <w:footnoteReference w:id="36"/>
      </w:r>
      <w:r w:rsidRPr="00CD741D">
        <w:rPr>
          <w:rFonts w:ascii="Calibri Light" w:eastAsia="Calibri" w:hAnsi="Calibri Light" w:cs="Calibri Light"/>
        </w:rPr>
        <w:t>:</w:t>
      </w:r>
    </w:p>
    <w:p w14:paraId="620C1CCA" w14:textId="77777777" w:rsidR="00CD741D" w:rsidRPr="00CD741D" w:rsidRDefault="00CD741D" w:rsidP="00CD741D">
      <w:pPr>
        <w:numPr>
          <w:ilvl w:val="0"/>
          <w:numId w:val="19"/>
        </w:numPr>
        <w:spacing w:after="60" w:line="360" w:lineRule="auto"/>
        <w:contextualSpacing/>
        <w:rPr>
          <w:rFonts w:ascii="Calibri Light" w:eastAsia="Calibri" w:hAnsi="Calibri Light" w:cs="Times New Roman"/>
        </w:rPr>
      </w:pPr>
      <w:r w:rsidRPr="00CD741D">
        <w:rPr>
          <w:rFonts w:ascii="Calibri Light" w:eastAsia="Calibri" w:hAnsi="Calibri Light" w:cs="Times New Roman"/>
        </w:rPr>
        <w:t xml:space="preserve">Epidemiologic link to a setting with a confirmed source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(e.g., positive environmental sampling result associated with a cruise ship, public accommodation, cooling tower, etc.), or</w:t>
      </w:r>
    </w:p>
    <w:p w14:paraId="05B96AFF" w14:textId="77777777" w:rsidR="00CD741D" w:rsidRPr="00CD741D" w:rsidRDefault="00CD741D" w:rsidP="00CD741D">
      <w:pPr>
        <w:numPr>
          <w:ilvl w:val="0"/>
          <w:numId w:val="19"/>
        </w:numPr>
        <w:spacing w:after="120" w:line="360" w:lineRule="auto"/>
        <w:contextualSpacing/>
        <w:rPr>
          <w:rFonts w:ascii="Calibri Light" w:eastAsia="Calibri" w:hAnsi="Calibri Light" w:cs="Times New Roman"/>
        </w:rPr>
      </w:pPr>
      <w:r w:rsidRPr="00CD741D">
        <w:rPr>
          <w:rFonts w:ascii="Calibri Light" w:eastAsia="Calibri" w:hAnsi="Calibri Light" w:cs="Times New Roman"/>
        </w:rPr>
        <w:t xml:space="preserve">Epidemiologic link to a setting with a suspected source of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that is associated with at least one confirmed case.</w:t>
      </w:r>
    </w:p>
    <w:p w14:paraId="354A648C" w14:textId="77777777" w:rsidR="00CD741D" w:rsidRPr="00CD741D" w:rsidRDefault="00CD741D" w:rsidP="00CD741D">
      <w:pPr>
        <w:spacing w:line="360" w:lineRule="auto"/>
        <w:rPr>
          <w:rFonts w:ascii="Calibri Light" w:eastAsia="Calibri" w:hAnsi="Calibri Light" w:cs="Times New Roman"/>
        </w:rPr>
      </w:pPr>
    </w:p>
    <w:p w14:paraId="02001346" w14:textId="77777777" w:rsidR="00CD741D" w:rsidRPr="00CD741D" w:rsidRDefault="00CD741D" w:rsidP="00CD741D">
      <w:pPr>
        <w:spacing w:after="120" w:line="360" w:lineRule="auto"/>
        <w:rPr>
          <w:rFonts w:ascii="Arial" w:eastAsia="Calibri" w:hAnsi="Arial" w:cs="Arial"/>
          <w:b/>
          <w:bCs/>
        </w:rPr>
      </w:pPr>
      <w:r w:rsidRPr="00CD741D">
        <w:rPr>
          <w:rFonts w:ascii="Arial" w:eastAsia="Calibri" w:hAnsi="Arial" w:cs="Arial"/>
          <w:b/>
          <w:bCs/>
        </w:rPr>
        <w:t>Treatment</w:t>
      </w:r>
    </w:p>
    <w:p w14:paraId="57F011AF" w14:textId="77777777" w:rsidR="00CD741D" w:rsidRPr="00CD741D" w:rsidRDefault="00CD741D" w:rsidP="00CD741D">
      <w:pPr>
        <w:spacing w:line="360" w:lineRule="auto"/>
        <w:rPr>
          <w:rFonts w:ascii="Calibri Light" w:eastAsia="Calibri" w:hAnsi="Calibri Light" w:cs="Calibri Light"/>
        </w:rPr>
      </w:pPr>
      <w:r w:rsidRPr="00CD741D">
        <w:rPr>
          <w:rFonts w:ascii="Calibri Light" w:eastAsia="Calibri" w:hAnsi="Calibri Light" w:cs="Calibri Light"/>
        </w:rPr>
        <w:t>Legionnaires’ disease is treated with antibiotics (macrolides and respiratory fluoroquinolones). Persons who are healthy will generally get better after treatment but they may frequently require hospitalization.</w:t>
      </w:r>
      <w:r w:rsidRPr="00CD741D">
        <w:rPr>
          <w:rFonts w:ascii="Calibri Light" w:eastAsia="Calibri" w:hAnsi="Calibri Light" w:cs="Calibri Light"/>
          <w:vertAlign w:val="superscript"/>
        </w:rPr>
        <w:footnoteReference w:id="37"/>
      </w:r>
      <w:r w:rsidRPr="00CD741D">
        <w:rPr>
          <w:rFonts w:ascii="Calibri Light" w:eastAsia="Calibri" w:hAnsi="Calibri Light" w:cs="Calibri Light"/>
        </w:rPr>
        <w:t xml:space="preserve"> CDC reports that about one out of ten people sick with LD die from complications, which include lung failure.</w:t>
      </w:r>
      <w:r w:rsidRPr="00CD741D">
        <w:rPr>
          <w:rFonts w:ascii="Calibri Light" w:eastAsia="Calibri" w:hAnsi="Calibri Light" w:cs="Calibri Light"/>
          <w:vertAlign w:val="superscript"/>
        </w:rPr>
        <w:footnoteReference w:id="38"/>
      </w:r>
      <w:r w:rsidRPr="00CD741D">
        <w:rPr>
          <w:rFonts w:ascii="Calibri Light" w:eastAsia="Calibri" w:hAnsi="Calibri Light" w:cs="Calibri Light"/>
        </w:rPr>
        <w:t xml:space="preserve"> For people who acquire LD while they are staying in a healthcare facility, about one out of four will die.</w:t>
      </w:r>
      <w:r w:rsidRPr="00CD741D">
        <w:rPr>
          <w:rFonts w:ascii="Calibri Light" w:eastAsia="Calibri" w:hAnsi="Calibri Light" w:cs="Calibri Light"/>
          <w:vertAlign w:val="superscript"/>
        </w:rPr>
        <w:footnoteReference w:id="39"/>
      </w:r>
      <w:r w:rsidRPr="00CD741D">
        <w:rPr>
          <w:rFonts w:ascii="Calibri Light" w:eastAsia="Calibri" w:hAnsi="Calibri Light" w:cs="Calibri Light"/>
        </w:rPr>
        <w:t xml:space="preserve">  For PF, the illness resolves without specific treatment.</w:t>
      </w:r>
      <w:r w:rsidRPr="00CD741D">
        <w:rPr>
          <w:rFonts w:ascii="Calibri Light" w:eastAsia="Calibri" w:hAnsi="Calibri Light" w:cs="Calibri Light"/>
          <w:vertAlign w:val="superscript"/>
        </w:rPr>
        <w:footnoteReference w:id="40"/>
      </w:r>
    </w:p>
    <w:p w14:paraId="2FE35BB1" w14:textId="77777777" w:rsidR="00CD741D" w:rsidRPr="00CD741D" w:rsidRDefault="00CD741D" w:rsidP="00CD741D">
      <w:pPr>
        <w:rPr>
          <w:rFonts w:ascii="Calibri Light" w:eastAsia="Calibri" w:hAnsi="Calibri Light" w:cs="Calibri Light"/>
        </w:rPr>
      </w:pPr>
    </w:p>
    <w:p w14:paraId="40415C1C" w14:textId="77777777" w:rsidR="00CD741D" w:rsidRPr="00CD741D" w:rsidRDefault="00CD741D" w:rsidP="00CD741D">
      <w:pPr>
        <w:rPr>
          <w:rFonts w:ascii="Calibri Light" w:eastAsia="Calibri" w:hAnsi="Calibri Light" w:cs="Calibri Light"/>
        </w:rPr>
      </w:pPr>
    </w:p>
    <w:p w14:paraId="26776A9A" w14:textId="77777777" w:rsidR="00CD741D" w:rsidRPr="00CD741D" w:rsidRDefault="00CD741D" w:rsidP="00CD741D">
      <w:pPr>
        <w:keepNext/>
        <w:spacing w:after="120" w:line="360" w:lineRule="auto"/>
        <w:rPr>
          <w:rFonts w:ascii="Arial" w:eastAsia="Calibri" w:hAnsi="Arial" w:cs="Arial"/>
          <w:b/>
          <w:bCs/>
        </w:rPr>
      </w:pPr>
      <w:r w:rsidRPr="00CD741D">
        <w:rPr>
          <w:rFonts w:ascii="Arial" w:eastAsia="Calibri" w:hAnsi="Arial" w:cs="Arial"/>
          <w:b/>
          <w:bCs/>
        </w:rPr>
        <w:t>Reporting</w:t>
      </w:r>
    </w:p>
    <w:p w14:paraId="4E4153E9" w14:textId="77777777" w:rsidR="00CD741D" w:rsidRPr="00CD741D" w:rsidRDefault="00CD741D" w:rsidP="00CD741D">
      <w:pPr>
        <w:spacing w:line="360" w:lineRule="auto"/>
        <w:rPr>
          <w:rFonts w:ascii="Calibri Light" w:eastAsia="Calibri" w:hAnsi="Calibri Light" w:cs="Calibri Light"/>
        </w:rPr>
      </w:pPr>
      <w:r w:rsidRPr="00CD741D">
        <w:rPr>
          <w:rFonts w:ascii="Calibri Light" w:eastAsia="Calibri" w:hAnsi="Calibri Light" w:cs="Calibri Light"/>
        </w:rPr>
        <w:t>Cases and outbreaks of legionellosis are reportable by clinicians, hospitals, and/or laboratories to state or local health departments as required by state law. Legionellosis is a nationally notifiable disease as determined by CSTE</w:t>
      </w:r>
      <w:r w:rsidRPr="00CD741D">
        <w:rPr>
          <w:rFonts w:ascii="Calibri Light" w:eastAsia="Calibri" w:hAnsi="Calibri Light" w:cs="Calibri Light"/>
          <w:vertAlign w:val="superscript"/>
        </w:rPr>
        <w:footnoteReference w:id="41"/>
      </w:r>
      <w:r w:rsidRPr="00CD741D">
        <w:rPr>
          <w:rFonts w:ascii="Calibri Light" w:eastAsia="Calibri" w:hAnsi="Calibri Light" w:cs="Calibri Light"/>
        </w:rPr>
        <w:t xml:space="preserve"> and designated in the National Notifiable Diseases Surveillance System (NNDSS) at </w:t>
      </w:r>
      <w:r w:rsidRPr="00CD741D">
        <w:rPr>
          <w:rFonts w:ascii="Calibri Light" w:eastAsia="Calibri" w:hAnsi="Calibri Light" w:cs="Calibri Light"/>
        </w:rPr>
        <w:lastRenderedPageBreak/>
        <w:t>CDC.</w:t>
      </w:r>
      <w:r w:rsidRPr="00CD741D">
        <w:rPr>
          <w:rFonts w:ascii="Calibri Light" w:eastAsia="Calibri" w:hAnsi="Calibri Light" w:cs="Calibri Light"/>
          <w:vertAlign w:val="superscript"/>
        </w:rPr>
        <w:footnoteReference w:id="42"/>
      </w:r>
      <w:r w:rsidRPr="00CD741D">
        <w:rPr>
          <w:rFonts w:ascii="Calibri Light" w:eastAsia="Calibri" w:hAnsi="Calibri Light" w:cs="Calibri Light"/>
        </w:rPr>
        <w:t xml:space="preserve"> State health departments send reports of legionellosis cases to NNDSS as well as to the CDC’s Supplemental Legionnaires’ Disease Surveillance System (SLDSS). Public health officials report outbreaks of LD and Pontiac fever through the Waterborne Disease Outbreak Surveillance System (WBDOSS) of the National Outbreak Reporting System (NORS).</w:t>
      </w:r>
      <w:r w:rsidRPr="00CD741D">
        <w:rPr>
          <w:rFonts w:ascii="Calibri Light" w:eastAsia="Calibri" w:hAnsi="Calibri Light" w:cs="Calibri Light"/>
          <w:vertAlign w:val="superscript"/>
        </w:rPr>
        <w:footnoteReference w:id="43"/>
      </w:r>
      <w:r w:rsidRPr="00CD741D">
        <w:rPr>
          <w:rFonts w:ascii="Calibri Light" w:eastAsia="Calibri" w:hAnsi="Calibri Light" w:cs="Calibri Light"/>
        </w:rPr>
        <w:t xml:space="preserve"> (See Box 1 for more information about public health surveillance of legionellosis.)</w:t>
      </w:r>
    </w:p>
    <w:p w14:paraId="3B3CF3CD" w14:textId="77777777" w:rsidR="00CD741D" w:rsidRPr="00CD741D" w:rsidRDefault="00CD741D" w:rsidP="00CD741D">
      <w:pPr>
        <w:spacing w:line="360" w:lineRule="auto"/>
        <w:rPr>
          <w:rFonts w:ascii="Calibri Light" w:eastAsia="Calibri" w:hAnsi="Calibri Light" w:cs="Calibri Light"/>
        </w:rPr>
      </w:pPr>
    </w:p>
    <w:p w14:paraId="2C61D75D" w14:textId="77777777" w:rsidR="00CD741D" w:rsidRPr="00CD741D" w:rsidRDefault="00CD741D" w:rsidP="00CD741D">
      <w:pPr>
        <w:spacing w:after="120" w:line="360" w:lineRule="auto"/>
        <w:rPr>
          <w:rFonts w:ascii="Arial" w:eastAsia="Calibri" w:hAnsi="Arial" w:cs="Arial"/>
          <w:b/>
          <w:bCs/>
        </w:rPr>
      </w:pPr>
      <w:r w:rsidRPr="00CD741D">
        <w:rPr>
          <w:rFonts w:ascii="Arial" w:eastAsia="Calibri" w:hAnsi="Arial" w:cs="Arial"/>
          <w:b/>
          <w:bCs/>
        </w:rPr>
        <w:t>Mitigation and Prevention</w:t>
      </w:r>
    </w:p>
    <w:p w14:paraId="26F125C6" w14:textId="77777777" w:rsidR="001C2915" w:rsidRDefault="00CD741D" w:rsidP="00CD741D">
      <w:pPr>
        <w:spacing w:line="360" w:lineRule="auto"/>
        <w:rPr>
          <w:rFonts w:ascii="Calibri Light" w:eastAsia="Calibri" w:hAnsi="Calibri Light" w:cs="Times New Roman"/>
        </w:rPr>
      </w:pPr>
      <w:r w:rsidRPr="00CD741D">
        <w:rPr>
          <w:rFonts w:ascii="Calibri Light" w:eastAsia="Calibri" w:hAnsi="Calibri Light" w:cs="Times New Roman"/>
        </w:rPr>
        <w:t>Timely recognition and reporting of legionellosis cases is key to rapidly identifying potential outbreaks, linking cases, and detecting and mitigating the source of infection. As will be covered in the setting-specific modules in this toolkit, clearly communicating the risk factors for LD/</w:t>
      </w:r>
      <w:r w:rsidRPr="00CD741D">
        <w:rPr>
          <w:rFonts w:ascii="Calibri Light" w:eastAsia="Calibri" w:hAnsi="Calibri Light" w:cs="Calibri Light"/>
        </w:rPr>
        <w:t>PF</w:t>
      </w:r>
      <w:r w:rsidRPr="00CD741D">
        <w:rPr>
          <w:rFonts w:ascii="Calibri Light" w:eastAsia="Calibri" w:hAnsi="Calibri Light" w:cs="Times New Roman"/>
        </w:rPr>
        <w:t xml:space="preserve"> and precautions to prevent </w:t>
      </w:r>
      <w:r w:rsidRPr="00CD741D">
        <w:rPr>
          <w:rFonts w:ascii="Calibri Light" w:eastAsia="Calibri" w:hAnsi="Calibri Light" w:cs="Times New Roman"/>
          <w:i/>
          <w:iCs/>
        </w:rPr>
        <w:t>Legionella</w:t>
      </w:r>
      <w:r w:rsidRPr="00CD741D">
        <w:rPr>
          <w:rFonts w:ascii="Calibri Light" w:eastAsia="Calibri" w:hAnsi="Calibri Light" w:cs="Times New Roman"/>
        </w:rPr>
        <w:t xml:space="preserve"> infections are crucial tasks for public health professionals</w:t>
      </w:r>
    </w:p>
    <w:p w14:paraId="408FE719" w14:textId="3B0AC33F" w:rsidR="00CD741D" w:rsidRPr="00CD741D" w:rsidRDefault="00CD741D" w:rsidP="00CD741D">
      <w:pPr>
        <w:spacing w:line="360" w:lineRule="auto"/>
        <w:rPr>
          <w:rFonts w:ascii="Calibri Light" w:eastAsia="Calibri" w:hAnsi="Calibri Light" w:cs="Times New Roman"/>
        </w:rPr>
      </w:pPr>
      <w:r w:rsidRPr="00CD741D">
        <w:rPr>
          <w:rFonts w:ascii="Calibri Light" w:eastAsia="Calibri" w:hAnsi="Calibri Light" w:cs="Times New Roman"/>
        </w:rPr>
        <w:t>.</w:t>
      </w:r>
      <w:r w:rsidRPr="00CD741D">
        <w:rPr>
          <w:rFonts w:ascii="Calibri Light" w:eastAsia="Calibri" w:hAnsi="Calibri Light" w:cs="Times New Roman"/>
        </w:rPr>
        <w:br w:type="page"/>
      </w:r>
    </w:p>
    <w:p w14:paraId="6BA17B87" w14:textId="0C42E743" w:rsidR="00CD741D" w:rsidRPr="00CD741D" w:rsidRDefault="00CD741D" w:rsidP="00CD741D">
      <w:pPr>
        <w:rPr>
          <w:rFonts w:ascii="Calibri Light" w:eastAsia="Calibri" w:hAnsi="Calibri Light" w:cs="Calibri Light"/>
        </w:rPr>
      </w:pPr>
      <w:r w:rsidRPr="00CD741D">
        <w:rPr>
          <w:rFonts w:ascii="Calibri" w:eastAsia="Calibri" w:hAnsi="Calibri" w:cs="Times New Roman"/>
          <w:noProof/>
        </w:rPr>
        <w:lastRenderedPageBreak/>
        <mc:AlternateContent>
          <mc:Choice Requires="wps">
            <w:drawing>
              <wp:anchor distT="45720" distB="45720" distL="114300" distR="114300" simplePos="0" relativeHeight="251664384" behindDoc="0" locked="0" layoutInCell="1" allowOverlap="1" wp14:anchorId="3795279A" wp14:editId="701D1C14">
                <wp:simplePos x="0" y="0"/>
                <wp:positionH relativeFrom="margin">
                  <wp:posOffset>8255</wp:posOffset>
                </wp:positionH>
                <wp:positionV relativeFrom="topMargin">
                  <wp:posOffset>1043940</wp:posOffset>
                </wp:positionV>
                <wp:extent cx="6108700" cy="6858000"/>
                <wp:effectExtent l="0" t="0" r="25400" b="1905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700" cy="6858000"/>
                        </a:xfrm>
                        <a:prstGeom prst="rect">
                          <a:avLst/>
                        </a:prstGeom>
                        <a:solidFill>
                          <a:srgbClr val="FFFFFF"/>
                        </a:solidFill>
                        <a:ln w="9525">
                          <a:solidFill>
                            <a:srgbClr val="000000"/>
                          </a:solidFill>
                          <a:miter lim="800000"/>
                          <a:headEnd/>
                          <a:tailEnd/>
                        </a:ln>
                      </wps:spPr>
                      <wps:txbx>
                        <w:txbxContent>
                          <w:p w14:paraId="7A11290B" w14:textId="77777777" w:rsidR="00A318FA" w:rsidRDefault="00A318FA" w:rsidP="00CD741D">
                            <w:pPr>
                              <w:jc w:val="center"/>
                              <w:rPr>
                                <w:rFonts w:ascii="Arial" w:hAnsi="Arial" w:cs="Arial"/>
                                <w:b/>
                                <w:bCs/>
                                <w:sz w:val="18"/>
                                <w:szCs w:val="18"/>
                              </w:rPr>
                            </w:pPr>
                            <w:r>
                              <w:rPr>
                                <w:rFonts w:ascii="Arial" w:hAnsi="Arial" w:cs="Arial"/>
                                <w:b/>
                                <w:bCs/>
                                <w:sz w:val="18"/>
                                <w:szCs w:val="18"/>
                              </w:rPr>
                              <w:t>Box 1: Surveillance of Legionellosis</w:t>
                            </w:r>
                          </w:p>
                          <w:p w14:paraId="7F6096E2" w14:textId="77777777" w:rsidR="00A318FA" w:rsidRDefault="00A318FA" w:rsidP="00CD741D">
                            <w:pPr>
                              <w:rPr>
                                <w:rFonts w:ascii="Arial" w:hAnsi="Arial" w:cs="Arial"/>
                                <w:sz w:val="18"/>
                                <w:szCs w:val="18"/>
                              </w:rPr>
                            </w:pPr>
                            <w:r>
                              <w:rPr>
                                <w:rFonts w:ascii="Arial" w:hAnsi="Arial" w:cs="Arial"/>
                                <w:sz w:val="18"/>
                                <w:szCs w:val="18"/>
                              </w:rPr>
                              <w:t xml:space="preserve"> </w:t>
                            </w:r>
                          </w:p>
                          <w:p w14:paraId="3789611A" w14:textId="77777777" w:rsidR="00A318FA" w:rsidRDefault="00A318FA" w:rsidP="00CD741D">
                            <w:pPr>
                              <w:rPr>
                                <w:rFonts w:ascii="Arial" w:hAnsi="Arial" w:cs="Arial"/>
                                <w:sz w:val="18"/>
                                <w:szCs w:val="18"/>
                              </w:rPr>
                            </w:pPr>
                            <w:r>
                              <w:rPr>
                                <w:rFonts w:ascii="Arial" w:hAnsi="Arial" w:cs="Arial"/>
                                <w:sz w:val="18"/>
                                <w:szCs w:val="18"/>
                              </w:rPr>
                              <w:t xml:space="preserve">CDC notes that robust public health surveillance can help to rapidly detect new cases of legionellosis, establish epidemiological links among cases, and determine if an outbreak investigation is </w:t>
                            </w:r>
                            <w:proofErr w:type="spellStart"/>
                            <w:proofErr w:type="gramStart"/>
                            <w:r>
                              <w:rPr>
                                <w:rFonts w:ascii="Arial" w:hAnsi="Arial" w:cs="Arial"/>
                                <w:sz w:val="18"/>
                                <w:szCs w:val="18"/>
                              </w:rPr>
                              <w:t>warranted.</w:t>
                            </w:r>
                            <w:r>
                              <w:rPr>
                                <w:rFonts w:ascii="Arial" w:hAnsi="Arial" w:cs="Arial"/>
                                <w:sz w:val="18"/>
                                <w:szCs w:val="18"/>
                                <w:vertAlign w:val="superscript"/>
                              </w:rPr>
                              <w:t>i</w:t>
                            </w:r>
                            <w:proofErr w:type="spellEnd"/>
                            <w:proofErr w:type="gramEnd"/>
                            <w:r>
                              <w:rPr>
                                <w:rFonts w:ascii="Arial" w:hAnsi="Arial" w:cs="Arial"/>
                                <w:sz w:val="18"/>
                                <w:szCs w:val="18"/>
                              </w:rPr>
                              <w:t xml:space="preserve"> Outbreak investigations are key in identifying sources of transmission and instituting control </w:t>
                            </w:r>
                            <w:proofErr w:type="spellStart"/>
                            <w:r>
                              <w:rPr>
                                <w:rFonts w:ascii="Arial" w:hAnsi="Arial" w:cs="Arial"/>
                                <w:sz w:val="18"/>
                                <w:szCs w:val="18"/>
                              </w:rPr>
                              <w:t>measures.</w:t>
                            </w:r>
                            <w:r>
                              <w:rPr>
                                <w:rFonts w:ascii="Arial" w:hAnsi="Arial" w:cs="Arial"/>
                                <w:sz w:val="18"/>
                                <w:szCs w:val="18"/>
                                <w:vertAlign w:val="superscript"/>
                              </w:rPr>
                              <w:t>ii</w:t>
                            </w:r>
                            <w:proofErr w:type="spellEnd"/>
                            <w:r>
                              <w:rPr>
                                <w:rFonts w:ascii="Arial" w:hAnsi="Arial" w:cs="Arial"/>
                                <w:sz w:val="18"/>
                                <w:szCs w:val="18"/>
                              </w:rPr>
                              <w:t xml:space="preserve">  </w:t>
                            </w:r>
                          </w:p>
                          <w:p w14:paraId="2C5EE5CF" w14:textId="77777777" w:rsidR="00A318FA" w:rsidRDefault="00A318FA" w:rsidP="00CD741D">
                            <w:pPr>
                              <w:rPr>
                                <w:rFonts w:ascii="Arial" w:hAnsi="Arial" w:cs="Arial"/>
                                <w:sz w:val="18"/>
                                <w:szCs w:val="18"/>
                              </w:rPr>
                            </w:pPr>
                          </w:p>
                          <w:p w14:paraId="4FA2F4FD" w14:textId="77777777" w:rsidR="00A318FA" w:rsidRDefault="00A318FA" w:rsidP="00CD741D">
                            <w:pPr>
                              <w:rPr>
                                <w:rFonts w:ascii="Arial" w:hAnsi="Arial" w:cs="Arial"/>
                                <w:sz w:val="18"/>
                                <w:szCs w:val="18"/>
                              </w:rPr>
                            </w:pPr>
                            <w:r>
                              <w:rPr>
                                <w:rFonts w:ascii="Arial" w:hAnsi="Arial" w:cs="Arial"/>
                                <w:sz w:val="18"/>
                                <w:szCs w:val="18"/>
                              </w:rPr>
                              <w:t xml:space="preserve">CDC has adopted CSTE’s position statement which establishes the case definition of legionellosis for surveillance purposes. The case definition encompasses three clinically and epidemiologically distinct illnesses associated with </w:t>
                            </w:r>
                            <w:r>
                              <w:rPr>
                                <w:rFonts w:ascii="Arial" w:hAnsi="Arial" w:cs="Arial"/>
                                <w:i/>
                                <w:iCs/>
                                <w:sz w:val="18"/>
                                <w:szCs w:val="18"/>
                              </w:rPr>
                              <w:t>Legionella</w:t>
                            </w:r>
                            <w:r>
                              <w:rPr>
                                <w:rFonts w:ascii="Arial" w:hAnsi="Arial" w:cs="Arial"/>
                                <w:sz w:val="18"/>
                                <w:szCs w:val="18"/>
                              </w:rPr>
                              <w:t xml:space="preserve"> infection: Legionnaires’ disease, Pontiac fever, and extrapulmonary legionellosis. See CSTE Position Statement 19-ID-04 Revision to the Case Definition for National Legionellosis Surveillance. [</w:t>
                            </w:r>
                            <w:hyperlink r:id="rId15" w:history="1">
                              <w:r>
                                <w:rPr>
                                  <w:rStyle w:val="Hyperlink"/>
                                  <w:rFonts w:ascii="Arial" w:hAnsi="Arial" w:cs="Arial"/>
                                  <w:sz w:val="18"/>
                                  <w:szCs w:val="18"/>
                                </w:rPr>
                                <w:t>https://cdn.ymaws.com/www.cste.org/resource/resmgr/2019ps/final/19-ID-04_Legionellosis_final.pdf</w:t>
                              </w:r>
                            </w:hyperlink>
                            <w:r>
                              <w:rPr>
                                <w:rFonts w:ascii="Arial" w:hAnsi="Arial" w:cs="Arial"/>
                                <w:sz w:val="18"/>
                                <w:szCs w:val="18"/>
                              </w:rPr>
                              <w:t xml:space="preserve"> ]</w:t>
                            </w:r>
                          </w:p>
                          <w:p w14:paraId="399D6FFE" w14:textId="77777777" w:rsidR="00A318FA" w:rsidRDefault="00A318FA" w:rsidP="00CD741D">
                            <w:pPr>
                              <w:rPr>
                                <w:rFonts w:ascii="Arial" w:hAnsi="Arial" w:cs="Arial"/>
                                <w:sz w:val="18"/>
                                <w:szCs w:val="18"/>
                              </w:rPr>
                            </w:pPr>
                          </w:p>
                          <w:p w14:paraId="67DE3432" w14:textId="77777777" w:rsidR="00A318FA" w:rsidRDefault="00A318FA" w:rsidP="00CD741D">
                            <w:pPr>
                              <w:rPr>
                                <w:rFonts w:ascii="Arial" w:hAnsi="Arial" w:cs="Arial"/>
                                <w:sz w:val="18"/>
                                <w:szCs w:val="18"/>
                              </w:rPr>
                            </w:pPr>
                            <w:r>
                              <w:rPr>
                                <w:rFonts w:ascii="Arial" w:hAnsi="Arial" w:cs="Arial"/>
                                <w:b/>
                                <w:bCs/>
                                <w:sz w:val="18"/>
                                <w:szCs w:val="18"/>
                              </w:rPr>
                              <w:t>CDC Resources for Surveillance and Reporting of Legionellosis</w:t>
                            </w:r>
                          </w:p>
                          <w:p w14:paraId="52854299" w14:textId="77777777" w:rsidR="00A318FA" w:rsidRDefault="00A318FA" w:rsidP="00CD741D">
                            <w:pPr>
                              <w:rPr>
                                <w:rFonts w:ascii="Arial" w:hAnsi="Arial" w:cs="Arial"/>
                                <w:sz w:val="18"/>
                                <w:szCs w:val="18"/>
                              </w:rPr>
                            </w:pPr>
                          </w:p>
                          <w:p w14:paraId="5D58B8A7" w14:textId="77777777" w:rsidR="00A318FA" w:rsidRDefault="00A318FA" w:rsidP="00CD741D">
                            <w:pPr>
                              <w:pStyle w:val="ListParagraph"/>
                              <w:numPr>
                                <w:ilvl w:val="0"/>
                                <w:numId w:val="20"/>
                              </w:numPr>
                              <w:rPr>
                                <w:rFonts w:ascii="Arial" w:hAnsi="Arial" w:cs="Arial"/>
                                <w:sz w:val="18"/>
                                <w:szCs w:val="18"/>
                              </w:rPr>
                            </w:pPr>
                            <w:r>
                              <w:rPr>
                                <w:rFonts w:ascii="Arial" w:hAnsi="Arial" w:cs="Arial"/>
                                <w:i/>
                                <w:iCs/>
                                <w:sz w:val="18"/>
                                <w:szCs w:val="18"/>
                              </w:rPr>
                              <w:t>Case Definitions</w:t>
                            </w:r>
                            <w:r>
                              <w:rPr>
                                <w:rFonts w:ascii="Arial" w:hAnsi="Arial" w:cs="Arial"/>
                                <w:sz w:val="18"/>
                                <w:szCs w:val="18"/>
                              </w:rPr>
                              <w:t xml:space="preserve"> – Clinical description, laboratory criteria for suspect and confirmed diagnosis, and criteria for classifying a case as confirmed, probable, or suspect [</w:t>
                            </w:r>
                            <w:hyperlink r:id="rId16" w:history="1">
                              <w:r>
                                <w:rPr>
                                  <w:rStyle w:val="Hyperlink"/>
                                  <w:rFonts w:ascii="Arial" w:hAnsi="Arial" w:cs="Arial"/>
                                  <w:sz w:val="18"/>
                                  <w:szCs w:val="18"/>
                                </w:rPr>
                                <w:t>https://www.cdc.gov/legionella/health-depts/surv-reporting/case-definitions.html</w:t>
                              </w:r>
                            </w:hyperlink>
                            <w:r>
                              <w:rPr>
                                <w:rFonts w:ascii="Arial" w:hAnsi="Arial" w:cs="Arial"/>
                                <w:sz w:val="18"/>
                                <w:szCs w:val="18"/>
                              </w:rPr>
                              <w:t>]</w:t>
                            </w:r>
                          </w:p>
                          <w:p w14:paraId="2FB0CD0A" w14:textId="77777777" w:rsidR="00A318FA" w:rsidRDefault="00A318FA" w:rsidP="00CD741D">
                            <w:pPr>
                              <w:rPr>
                                <w:rFonts w:ascii="Arial" w:hAnsi="Arial" w:cs="Arial"/>
                                <w:sz w:val="18"/>
                                <w:szCs w:val="18"/>
                              </w:rPr>
                            </w:pPr>
                          </w:p>
                          <w:p w14:paraId="2CB6C177" w14:textId="77777777" w:rsidR="00A318FA" w:rsidRDefault="00A318FA" w:rsidP="00CD741D">
                            <w:pPr>
                              <w:pStyle w:val="ListParagraph"/>
                              <w:numPr>
                                <w:ilvl w:val="0"/>
                                <w:numId w:val="20"/>
                              </w:numPr>
                              <w:rPr>
                                <w:rFonts w:ascii="Arial" w:hAnsi="Arial" w:cs="Arial"/>
                                <w:sz w:val="18"/>
                                <w:szCs w:val="18"/>
                              </w:rPr>
                            </w:pPr>
                            <w:r>
                              <w:rPr>
                                <w:rFonts w:ascii="Arial" w:hAnsi="Arial" w:cs="Arial"/>
                                <w:i/>
                                <w:iCs/>
                                <w:sz w:val="18"/>
                                <w:szCs w:val="18"/>
                              </w:rPr>
                              <w:t>CDC Surveillance Classifications</w:t>
                            </w:r>
                            <w:r>
                              <w:rPr>
                                <w:rFonts w:ascii="Arial" w:hAnsi="Arial" w:cs="Arial"/>
                                <w:sz w:val="18"/>
                                <w:szCs w:val="18"/>
                              </w:rPr>
                              <w:t xml:space="preserve"> – Exposure categories for surveillance purposes, including travel, presumptive/possible healthcare, assisted living, and senior living [</w:t>
                            </w:r>
                            <w:hyperlink r:id="rId17" w:history="1">
                              <w:r>
                                <w:rPr>
                                  <w:rStyle w:val="Hyperlink"/>
                                  <w:rFonts w:ascii="Arial" w:hAnsi="Arial" w:cs="Arial"/>
                                  <w:sz w:val="18"/>
                                  <w:szCs w:val="18"/>
                                </w:rPr>
                                <w:t>https://www.cdc.gov/legionella/health-depts/surv-reporting/surveillance-classifications.html</w:t>
                              </w:r>
                            </w:hyperlink>
                            <w:r>
                              <w:rPr>
                                <w:rFonts w:ascii="Arial" w:hAnsi="Arial" w:cs="Arial"/>
                                <w:sz w:val="18"/>
                                <w:szCs w:val="18"/>
                              </w:rPr>
                              <w:t>]</w:t>
                            </w:r>
                          </w:p>
                          <w:p w14:paraId="7A28BAFC" w14:textId="77777777" w:rsidR="00A318FA" w:rsidRDefault="00A318FA" w:rsidP="00CD741D">
                            <w:pPr>
                              <w:rPr>
                                <w:rFonts w:ascii="Arial" w:hAnsi="Arial" w:cs="Arial"/>
                                <w:sz w:val="18"/>
                                <w:szCs w:val="18"/>
                              </w:rPr>
                            </w:pPr>
                          </w:p>
                          <w:p w14:paraId="079A3DB3" w14:textId="77777777" w:rsidR="00A318FA" w:rsidRDefault="00A318FA" w:rsidP="00CD741D">
                            <w:pPr>
                              <w:pStyle w:val="ListParagraph"/>
                              <w:numPr>
                                <w:ilvl w:val="0"/>
                                <w:numId w:val="20"/>
                              </w:numPr>
                              <w:spacing w:after="60"/>
                              <w:rPr>
                                <w:rFonts w:ascii="Arial" w:hAnsi="Arial" w:cs="Arial"/>
                                <w:sz w:val="18"/>
                                <w:szCs w:val="18"/>
                              </w:rPr>
                            </w:pPr>
                            <w:r>
                              <w:rPr>
                                <w:rFonts w:ascii="Arial" w:hAnsi="Arial" w:cs="Arial"/>
                                <w:i/>
                                <w:iCs/>
                                <w:sz w:val="18"/>
                                <w:szCs w:val="18"/>
                              </w:rPr>
                              <w:t>How to Report Cases</w:t>
                            </w:r>
                            <w:r>
                              <w:rPr>
                                <w:rFonts w:ascii="Arial" w:hAnsi="Arial" w:cs="Arial"/>
                                <w:sz w:val="18"/>
                                <w:szCs w:val="18"/>
                              </w:rPr>
                              <w:t xml:space="preserve"> – Methods of surveillance and surveillance systems:</w:t>
                            </w:r>
                          </w:p>
                          <w:p w14:paraId="433DC216" w14:textId="77777777" w:rsidR="00A318FA" w:rsidRDefault="00A318FA" w:rsidP="00CD741D">
                            <w:pPr>
                              <w:pStyle w:val="ListParagraph"/>
                              <w:numPr>
                                <w:ilvl w:val="1"/>
                                <w:numId w:val="20"/>
                              </w:numPr>
                              <w:spacing w:after="120"/>
                              <w:rPr>
                                <w:rFonts w:ascii="Arial" w:hAnsi="Arial" w:cs="Arial"/>
                                <w:sz w:val="18"/>
                                <w:szCs w:val="18"/>
                              </w:rPr>
                            </w:pPr>
                            <w:r>
                              <w:rPr>
                                <w:rFonts w:ascii="Arial" w:hAnsi="Arial" w:cs="Arial"/>
                                <w:i/>
                                <w:iCs/>
                                <w:sz w:val="18"/>
                                <w:szCs w:val="18"/>
                              </w:rPr>
                              <w:t>National Notifiable Diseases Surveillance System</w:t>
                            </w:r>
                            <w:r>
                              <w:rPr>
                                <w:rFonts w:ascii="Arial" w:hAnsi="Arial" w:cs="Arial"/>
                                <w:sz w:val="18"/>
                                <w:szCs w:val="18"/>
                              </w:rPr>
                              <w:t xml:space="preserve"> </w:t>
                            </w:r>
                            <w:r>
                              <w:rPr>
                                <w:rFonts w:ascii="Arial" w:hAnsi="Arial" w:cs="Arial"/>
                                <w:i/>
                                <w:iCs/>
                                <w:sz w:val="18"/>
                                <w:szCs w:val="18"/>
                              </w:rPr>
                              <w:t xml:space="preserve">(NNDSS) </w:t>
                            </w:r>
                            <w:r>
                              <w:rPr>
                                <w:rFonts w:ascii="Arial" w:hAnsi="Arial" w:cs="Arial"/>
                                <w:sz w:val="18"/>
                                <w:szCs w:val="18"/>
                              </w:rPr>
                              <w:t>[</w:t>
                            </w:r>
                            <w:hyperlink r:id="rId18" w:history="1">
                              <w:r>
                                <w:rPr>
                                  <w:rStyle w:val="Hyperlink"/>
                                  <w:rFonts w:ascii="Arial" w:hAnsi="Arial" w:cs="Arial"/>
                                  <w:sz w:val="18"/>
                                  <w:szCs w:val="18"/>
                                </w:rPr>
                                <w:t>https://wwwn.cdc.gov/nndss/conditions/legionellosis/case-definition/2020/</w:t>
                              </w:r>
                            </w:hyperlink>
                            <w:r>
                              <w:rPr>
                                <w:rFonts w:ascii="Arial" w:hAnsi="Arial" w:cs="Arial"/>
                                <w:sz w:val="18"/>
                                <w:szCs w:val="18"/>
                              </w:rPr>
                              <w:t>]</w:t>
                            </w:r>
                          </w:p>
                          <w:p w14:paraId="334B9977" w14:textId="77777777" w:rsidR="00A318FA" w:rsidRDefault="00A318FA" w:rsidP="00CD741D">
                            <w:pPr>
                              <w:pStyle w:val="ListParagraph"/>
                              <w:numPr>
                                <w:ilvl w:val="1"/>
                                <w:numId w:val="20"/>
                              </w:numPr>
                              <w:spacing w:after="120"/>
                              <w:rPr>
                                <w:rFonts w:ascii="Arial" w:hAnsi="Arial" w:cs="Arial"/>
                                <w:sz w:val="18"/>
                                <w:szCs w:val="18"/>
                              </w:rPr>
                            </w:pPr>
                            <w:r>
                              <w:rPr>
                                <w:rFonts w:ascii="Arial" w:hAnsi="Arial" w:cs="Arial"/>
                                <w:i/>
                                <w:iCs/>
                                <w:sz w:val="18"/>
                                <w:szCs w:val="18"/>
                              </w:rPr>
                              <w:t>Supplemental Legionnaires’ Disease Surveillance System (SLDSS)</w:t>
                            </w:r>
                            <w:r>
                              <w:rPr>
                                <w:rFonts w:ascii="Arial" w:hAnsi="Arial" w:cs="Arial"/>
                                <w:sz w:val="18"/>
                                <w:szCs w:val="18"/>
                              </w:rPr>
                              <w:t xml:space="preserve"> – SLDSS is used to collect extended information on legionellosis cases, such as exposure history and method of diagnosis, beyond the information CDC receives in NNDSS. Reports to SLDSS are made via email, fax, or mail to CDC’s Respiratory Diseases Branch Legionnaires’ Disease Program within 7 days for travel-associated cases and within 30 days for non-travel cases [</w:t>
                            </w:r>
                            <w:hyperlink r:id="rId19" w:history="1">
                              <w:r>
                                <w:rPr>
                                  <w:rStyle w:val="Hyperlink"/>
                                  <w:rFonts w:ascii="Arial" w:hAnsi="Arial" w:cs="Arial"/>
                                  <w:sz w:val="18"/>
                                  <w:szCs w:val="18"/>
                                </w:rPr>
                                <w:t>https://www.cdc.gov/legionella/health-depts/surv-reporting/form-instructions.html</w:t>
                              </w:r>
                            </w:hyperlink>
                            <w:r>
                              <w:rPr>
                                <w:rFonts w:ascii="Arial" w:hAnsi="Arial" w:cs="Arial"/>
                                <w:sz w:val="18"/>
                                <w:szCs w:val="18"/>
                              </w:rPr>
                              <w:t>]</w:t>
                            </w:r>
                          </w:p>
                          <w:p w14:paraId="764B2B0A" w14:textId="77777777" w:rsidR="00A318FA" w:rsidRDefault="00A318FA" w:rsidP="00CD741D">
                            <w:pPr>
                              <w:pStyle w:val="ListParagraph"/>
                              <w:numPr>
                                <w:ilvl w:val="1"/>
                                <w:numId w:val="20"/>
                              </w:numPr>
                              <w:rPr>
                                <w:rFonts w:ascii="Arial" w:hAnsi="Arial" w:cs="Arial"/>
                                <w:sz w:val="18"/>
                                <w:szCs w:val="18"/>
                              </w:rPr>
                            </w:pPr>
                            <w:r>
                              <w:rPr>
                                <w:rFonts w:ascii="Arial" w:hAnsi="Arial" w:cs="Arial"/>
                                <w:i/>
                                <w:iCs/>
                                <w:sz w:val="18"/>
                                <w:szCs w:val="18"/>
                              </w:rPr>
                              <w:t>Waterborne Disease Outbreak Surveillance System (WBDOSS)</w:t>
                            </w:r>
                            <w:r>
                              <w:rPr>
                                <w:rFonts w:ascii="Arial" w:hAnsi="Arial" w:cs="Arial"/>
                                <w:sz w:val="18"/>
                                <w:szCs w:val="18"/>
                              </w:rPr>
                              <w:t xml:space="preserve"> [</w:t>
                            </w:r>
                            <w:hyperlink r:id="rId20" w:history="1">
                              <w:r>
                                <w:rPr>
                                  <w:rStyle w:val="Hyperlink"/>
                                  <w:rFonts w:ascii="Arial" w:hAnsi="Arial" w:cs="Arial"/>
                                  <w:sz w:val="18"/>
                                  <w:szCs w:val="18"/>
                                </w:rPr>
                                <w:t>https://www.cdc.gov/healthywater/surveillance/index.html</w:t>
                              </w:r>
                            </w:hyperlink>
                            <w:r>
                              <w:rPr>
                                <w:rFonts w:ascii="Arial" w:hAnsi="Arial" w:cs="Arial"/>
                                <w:sz w:val="18"/>
                                <w:szCs w:val="18"/>
                              </w:rPr>
                              <w:t>] of the National Outbreak Reporting System (NORS) [</w:t>
                            </w:r>
                            <w:hyperlink r:id="rId21" w:history="1">
                              <w:r>
                                <w:rPr>
                                  <w:rStyle w:val="Hyperlink"/>
                                  <w:rFonts w:ascii="Arial" w:hAnsi="Arial" w:cs="Arial"/>
                                  <w:sz w:val="18"/>
                                  <w:szCs w:val="18"/>
                                </w:rPr>
                                <w:t>https://www.cdc.gov/nors/</w:t>
                              </w:r>
                            </w:hyperlink>
                            <w:r>
                              <w:rPr>
                                <w:rFonts w:ascii="Arial" w:hAnsi="Arial" w:cs="Arial"/>
                                <w:sz w:val="18"/>
                                <w:szCs w:val="18"/>
                              </w:rPr>
                              <w:t>]</w:t>
                            </w:r>
                          </w:p>
                          <w:p w14:paraId="3CBF2368" w14:textId="77777777" w:rsidR="00A318FA" w:rsidRDefault="00A318FA" w:rsidP="00CD741D">
                            <w:pPr>
                              <w:rPr>
                                <w:rFonts w:ascii="Arial" w:hAnsi="Arial" w:cs="Arial"/>
                                <w:sz w:val="18"/>
                                <w:szCs w:val="18"/>
                              </w:rPr>
                            </w:pPr>
                          </w:p>
                          <w:p w14:paraId="0BBE2187" w14:textId="77777777" w:rsidR="00A318FA" w:rsidRDefault="00A318FA" w:rsidP="00CD741D">
                            <w:pPr>
                              <w:pStyle w:val="ListParagraph"/>
                              <w:numPr>
                                <w:ilvl w:val="0"/>
                                <w:numId w:val="20"/>
                              </w:numPr>
                              <w:rPr>
                                <w:rFonts w:ascii="Arial" w:hAnsi="Arial" w:cs="Arial"/>
                                <w:sz w:val="18"/>
                                <w:szCs w:val="18"/>
                              </w:rPr>
                            </w:pPr>
                            <w:r>
                              <w:rPr>
                                <w:rFonts w:ascii="Arial" w:hAnsi="Arial" w:cs="Arial"/>
                                <w:i/>
                                <w:iCs/>
                                <w:sz w:val="18"/>
                                <w:szCs w:val="18"/>
                              </w:rPr>
                              <w:t>Instructions for Legionellosis Case Report Forms</w:t>
                            </w:r>
                            <w:r>
                              <w:rPr>
                                <w:rFonts w:ascii="Arial" w:hAnsi="Arial" w:cs="Arial"/>
                                <w:sz w:val="18"/>
                                <w:szCs w:val="18"/>
                              </w:rPr>
                              <w:t xml:space="preserve"> – Addresses methods for submitting forms and instructions for providing information </w:t>
                            </w:r>
                            <w:proofErr w:type="gramStart"/>
                            <w:r>
                              <w:rPr>
                                <w:rFonts w:ascii="Arial" w:hAnsi="Arial" w:cs="Arial"/>
                                <w:sz w:val="18"/>
                                <w:szCs w:val="18"/>
                              </w:rPr>
                              <w:t>on:</w:t>
                            </w:r>
                            <w:proofErr w:type="gramEnd"/>
                            <w:r>
                              <w:rPr>
                                <w:rFonts w:ascii="Arial" w:hAnsi="Arial" w:cs="Arial"/>
                                <w:sz w:val="18"/>
                                <w:szCs w:val="18"/>
                              </w:rPr>
                              <w:t xml:space="preserve"> patient information and demographics; clinical information and outcome; travel, healthcare, and other exposure information; and laboratory data [</w:t>
                            </w:r>
                            <w:hyperlink r:id="rId22" w:history="1">
                              <w:r>
                                <w:rPr>
                                  <w:rStyle w:val="Hyperlink"/>
                                  <w:rFonts w:ascii="Arial" w:hAnsi="Arial" w:cs="Arial"/>
                                  <w:sz w:val="18"/>
                                  <w:szCs w:val="18"/>
                                </w:rPr>
                                <w:t>https://www.cdc.gov/legionella/health-depts/surv-reporting/form-instructions.html</w:t>
                              </w:r>
                            </w:hyperlink>
                            <w:r>
                              <w:rPr>
                                <w:rFonts w:ascii="Arial" w:hAnsi="Arial" w:cs="Arial"/>
                                <w:sz w:val="18"/>
                                <w:szCs w:val="18"/>
                              </w:rPr>
                              <w:t>]</w:t>
                            </w:r>
                          </w:p>
                          <w:p w14:paraId="1818FC3B" w14:textId="77777777" w:rsidR="00A318FA" w:rsidRDefault="00A318FA" w:rsidP="00CD741D">
                            <w:pPr>
                              <w:rPr>
                                <w:rFonts w:ascii="Arial" w:hAnsi="Arial" w:cs="Arial"/>
                                <w:sz w:val="18"/>
                                <w:szCs w:val="18"/>
                              </w:rPr>
                            </w:pPr>
                          </w:p>
                          <w:p w14:paraId="11912227" w14:textId="77777777" w:rsidR="00A318FA" w:rsidRDefault="00A318FA" w:rsidP="00CD741D">
                            <w:pPr>
                              <w:pStyle w:val="ListParagraph"/>
                              <w:numPr>
                                <w:ilvl w:val="0"/>
                                <w:numId w:val="21"/>
                              </w:numPr>
                              <w:rPr>
                                <w:rFonts w:ascii="Arial" w:hAnsi="Arial" w:cs="Arial"/>
                                <w:sz w:val="18"/>
                                <w:szCs w:val="18"/>
                              </w:rPr>
                            </w:pPr>
                            <w:r>
                              <w:rPr>
                                <w:rFonts w:ascii="Arial" w:hAnsi="Arial" w:cs="Arial"/>
                                <w:i/>
                                <w:iCs/>
                                <w:sz w:val="18"/>
                                <w:szCs w:val="18"/>
                              </w:rPr>
                              <w:t>Surveillance Reports</w:t>
                            </w:r>
                            <w:r>
                              <w:rPr>
                                <w:rFonts w:ascii="Arial" w:hAnsi="Arial" w:cs="Arial"/>
                                <w:sz w:val="18"/>
                                <w:szCs w:val="18"/>
                              </w:rPr>
                              <w:t xml:space="preserve"> – A descriptive annual summary of the reporting and burden of Legionnaires’ disease in the US [</w:t>
                            </w:r>
                            <w:hyperlink r:id="rId23" w:history="1">
                              <w:r>
                                <w:rPr>
                                  <w:rStyle w:val="Hyperlink"/>
                                  <w:rFonts w:ascii="Arial" w:hAnsi="Arial" w:cs="Arial"/>
                                  <w:sz w:val="18"/>
                                  <w:szCs w:val="18"/>
                                </w:rPr>
                                <w:t>https://www.cdc.gov/legionella/health-depts/surv-reporting/surveillance-reports.html</w:t>
                              </w:r>
                            </w:hyperlink>
                            <w:r>
                              <w:rPr>
                                <w:rFonts w:ascii="Arial" w:hAnsi="Arial" w:cs="Arial"/>
                                <w:sz w:val="18"/>
                                <w:szCs w:val="18"/>
                              </w:rPr>
                              <w:t>]</w:t>
                            </w:r>
                          </w:p>
                          <w:p w14:paraId="07D7E6EC" w14:textId="77777777" w:rsidR="00A318FA" w:rsidRDefault="00A318FA" w:rsidP="00CD741D">
                            <w:pPr>
                              <w:rPr>
                                <w:rFonts w:ascii="Arial" w:hAnsi="Arial" w:cs="Arial"/>
                                <w:sz w:val="18"/>
                                <w:szCs w:val="18"/>
                              </w:rPr>
                            </w:pPr>
                          </w:p>
                          <w:p w14:paraId="00C29A6B" w14:textId="77777777" w:rsidR="00A318FA" w:rsidRDefault="00A318FA" w:rsidP="00CD741D">
                            <w:pPr>
                              <w:rPr>
                                <w:rFonts w:ascii="Arial" w:hAnsi="Arial" w:cs="Arial"/>
                                <w:sz w:val="18"/>
                                <w:szCs w:val="18"/>
                              </w:rPr>
                            </w:pPr>
                          </w:p>
                          <w:p w14:paraId="44AAB491" w14:textId="77777777" w:rsidR="00A318FA" w:rsidRDefault="00A318FA" w:rsidP="00CD741D">
                            <w:pPr>
                              <w:spacing w:after="120"/>
                              <w:rPr>
                                <w:rFonts w:ascii="Arial" w:hAnsi="Arial" w:cs="Arial"/>
                                <w:sz w:val="16"/>
                                <w:szCs w:val="16"/>
                              </w:rPr>
                            </w:pPr>
                            <w:proofErr w:type="spellStart"/>
                            <w:r>
                              <w:rPr>
                                <w:rFonts w:ascii="Arial" w:hAnsi="Arial" w:cs="Arial"/>
                                <w:sz w:val="16"/>
                                <w:szCs w:val="16"/>
                              </w:rPr>
                              <w:t>i</w:t>
                            </w:r>
                            <w:proofErr w:type="spellEnd"/>
                            <w:r>
                              <w:rPr>
                                <w:rFonts w:ascii="Arial" w:hAnsi="Arial" w:cs="Arial"/>
                                <w:sz w:val="16"/>
                                <w:szCs w:val="16"/>
                              </w:rPr>
                              <w:t xml:space="preserve">. CDC. Legionella (Legionnaires' Disease and Pontiac Fever) Surveillance and Reporting Resources. Webpage last updated by CDC March 5, 2020. Retrieved from </w:t>
                            </w:r>
                            <w:hyperlink r:id="rId24" w:history="1">
                              <w:r>
                                <w:rPr>
                                  <w:rStyle w:val="Hyperlink"/>
                                  <w:rFonts w:ascii="Arial" w:hAnsi="Arial" w:cs="Arial"/>
                                  <w:sz w:val="16"/>
                                  <w:szCs w:val="16"/>
                                </w:rPr>
                                <w:t>https://www.cdc.gov/legionella/health-depts/surv-reporting/index.html</w:t>
                              </w:r>
                            </w:hyperlink>
                            <w:r>
                              <w:rPr>
                                <w:rFonts w:ascii="Arial" w:hAnsi="Arial" w:cs="Arial"/>
                                <w:sz w:val="16"/>
                                <w:szCs w:val="16"/>
                              </w:rPr>
                              <w:t xml:space="preserve"> (accessed December 14, 2020).</w:t>
                            </w:r>
                          </w:p>
                          <w:p w14:paraId="63DDF345" w14:textId="77777777" w:rsidR="00A318FA" w:rsidRDefault="00A318FA" w:rsidP="00CD741D">
                            <w:pPr>
                              <w:rPr>
                                <w:rFonts w:ascii="Arial" w:hAnsi="Arial" w:cs="Arial"/>
                                <w:sz w:val="16"/>
                                <w:szCs w:val="16"/>
                              </w:rPr>
                            </w:pPr>
                            <w:r>
                              <w:rPr>
                                <w:rFonts w:ascii="Arial" w:hAnsi="Arial" w:cs="Arial"/>
                                <w:sz w:val="16"/>
                                <w:szCs w:val="16"/>
                              </w:rPr>
                              <w:t>ii. 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5279A" id="_x0000_s1028" type="#_x0000_t202" style="position:absolute;margin-left:.65pt;margin-top:82.2pt;width:481pt;height:540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">
                <v:textbox>
                  <w:txbxContent>
                    <w:p w14:paraId="7A11290B" w14:textId="77777777" w:rsidR="00A318FA" w:rsidRDefault="00A318FA" w:rsidP="00CD741D">
                      <w:pPr>
                        <w:jc w:val="center"/>
                        <w:rPr>
                          <w:rFonts w:ascii="Arial" w:hAnsi="Arial" w:cs="Arial"/>
                          <w:b/>
                          <w:bCs/>
                          <w:sz w:val="18"/>
                          <w:szCs w:val="18"/>
                        </w:rPr>
                      </w:pPr>
                      <w:r>
                        <w:rPr>
                          <w:rFonts w:ascii="Arial" w:hAnsi="Arial" w:cs="Arial"/>
                          <w:b/>
                          <w:bCs/>
                          <w:sz w:val="18"/>
                          <w:szCs w:val="18"/>
                        </w:rPr>
                        <w:t>Box 1: Surveillance of Legionellosis</w:t>
                      </w:r>
                    </w:p>
                    <w:p w14:paraId="7F6096E2" w14:textId="77777777" w:rsidR="00A318FA" w:rsidRDefault="00A318FA" w:rsidP="00CD741D">
                      <w:pPr>
                        <w:rPr>
                          <w:rFonts w:ascii="Arial" w:hAnsi="Arial" w:cs="Arial"/>
                          <w:sz w:val="18"/>
                          <w:szCs w:val="18"/>
                        </w:rPr>
                      </w:pPr>
                      <w:r>
                        <w:rPr>
                          <w:rFonts w:ascii="Arial" w:hAnsi="Arial" w:cs="Arial"/>
                          <w:sz w:val="18"/>
                          <w:szCs w:val="18"/>
                        </w:rPr>
                        <w:t xml:space="preserve"> </w:t>
                      </w:r>
                    </w:p>
                    <w:p w14:paraId="3789611A" w14:textId="77777777" w:rsidR="00A318FA" w:rsidRDefault="00A318FA" w:rsidP="00CD741D">
                      <w:pPr>
                        <w:rPr>
                          <w:rFonts w:ascii="Arial" w:hAnsi="Arial" w:cs="Arial"/>
                          <w:sz w:val="18"/>
                          <w:szCs w:val="18"/>
                        </w:rPr>
                      </w:pPr>
                      <w:r>
                        <w:rPr>
                          <w:rFonts w:ascii="Arial" w:hAnsi="Arial" w:cs="Arial"/>
                          <w:sz w:val="18"/>
                          <w:szCs w:val="18"/>
                        </w:rPr>
                        <w:t xml:space="preserve">CDC notes that robust public health surveillance can help to rapidly detect new cases of legionellosis, establish epidemiological links among cases, and determine if an outbreak investigation is </w:t>
                      </w:r>
                      <w:proofErr w:type="spellStart"/>
                      <w:proofErr w:type="gramStart"/>
                      <w:r>
                        <w:rPr>
                          <w:rFonts w:ascii="Arial" w:hAnsi="Arial" w:cs="Arial"/>
                          <w:sz w:val="18"/>
                          <w:szCs w:val="18"/>
                        </w:rPr>
                        <w:t>warranted.</w:t>
                      </w:r>
                      <w:r>
                        <w:rPr>
                          <w:rFonts w:ascii="Arial" w:hAnsi="Arial" w:cs="Arial"/>
                          <w:sz w:val="18"/>
                          <w:szCs w:val="18"/>
                          <w:vertAlign w:val="superscript"/>
                        </w:rPr>
                        <w:t>i</w:t>
                      </w:r>
                      <w:proofErr w:type="spellEnd"/>
                      <w:proofErr w:type="gramEnd"/>
                      <w:r>
                        <w:rPr>
                          <w:rFonts w:ascii="Arial" w:hAnsi="Arial" w:cs="Arial"/>
                          <w:sz w:val="18"/>
                          <w:szCs w:val="18"/>
                        </w:rPr>
                        <w:t xml:space="preserve"> Outbreak investigations are key in identifying sources of transmission and instituting control </w:t>
                      </w:r>
                      <w:proofErr w:type="spellStart"/>
                      <w:r>
                        <w:rPr>
                          <w:rFonts w:ascii="Arial" w:hAnsi="Arial" w:cs="Arial"/>
                          <w:sz w:val="18"/>
                          <w:szCs w:val="18"/>
                        </w:rPr>
                        <w:t>measures.</w:t>
                      </w:r>
                      <w:r>
                        <w:rPr>
                          <w:rFonts w:ascii="Arial" w:hAnsi="Arial" w:cs="Arial"/>
                          <w:sz w:val="18"/>
                          <w:szCs w:val="18"/>
                          <w:vertAlign w:val="superscript"/>
                        </w:rPr>
                        <w:t>ii</w:t>
                      </w:r>
                      <w:proofErr w:type="spellEnd"/>
                      <w:r>
                        <w:rPr>
                          <w:rFonts w:ascii="Arial" w:hAnsi="Arial" w:cs="Arial"/>
                          <w:sz w:val="18"/>
                          <w:szCs w:val="18"/>
                        </w:rPr>
                        <w:t xml:space="preserve">  </w:t>
                      </w:r>
                    </w:p>
                    <w:p w14:paraId="2C5EE5CF" w14:textId="77777777" w:rsidR="00A318FA" w:rsidRDefault="00A318FA" w:rsidP="00CD741D">
                      <w:pPr>
                        <w:rPr>
                          <w:rFonts w:ascii="Arial" w:hAnsi="Arial" w:cs="Arial"/>
                          <w:sz w:val="18"/>
                          <w:szCs w:val="18"/>
                        </w:rPr>
                      </w:pPr>
                    </w:p>
                    <w:p w14:paraId="4FA2F4FD" w14:textId="77777777" w:rsidR="00A318FA" w:rsidRDefault="00A318FA" w:rsidP="00CD741D">
                      <w:pPr>
                        <w:rPr>
                          <w:rFonts w:ascii="Arial" w:hAnsi="Arial" w:cs="Arial"/>
                          <w:sz w:val="18"/>
                          <w:szCs w:val="18"/>
                        </w:rPr>
                      </w:pPr>
                      <w:r>
                        <w:rPr>
                          <w:rFonts w:ascii="Arial" w:hAnsi="Arial" w:cs="Arial"/>
                          <w:sz w:val="18"/>
                          <w:szCs w:val="18"/>
                        </w:rPr>
                        <w:t xml:space="preserve">CDC has adopted CSTE’s position statement which establishes the case definition of legionellosis for surveillance purposes. The case definition encompasses three clinically and epidemiologically distinct illnesses associated with </w:t>
                      </w:r>
                      <w:r>
                        <w:rPr>
                          <w:rFonts w:ascii="Arial" w:hAnsi="Arial" w:cs="Arial"/>
                          <w:i/>
                          <w:iCs/>
                          <w:sz w:val="18"/>
                          <w:szCs w:val="18"/>
                        </w:rPr>
                        <w:t>Legionella</w:t>
                      </w:r>
                      <w:r>
                        <w:rPr>
                          <w:rFonts w:ascii="Arial" w:hAnsi="Arial" w:cs="Arial"/>
                          <w:sz w:val="18"/>
                          <w:szCs w:val="18"/>
                        </w:rPr>
                        <w:t xml:space="preserve"> infection: Legionnaires’ disease, Pontiac fever, and extrapulmonary legionellosis. See CSTE Position Statement 19-ID-04 Revision to the Case Definition for National Legionellosis Surveillance. [</w:t>
                      </w:r>
                      <w:hyperlink r:id="rId25" w:history="1">
                        <w:r>
                          <w:rPr>
                            <w:rStyle w:val="Hyperlink"/>
                            <w:rFonts w:ascii="Arial" w:hAnsi="Arial" w:cs="Arial"/>
                            <w:sz w:val="18"/>
                            <w:szCs w:val="18"/>
                          </w:rPr>
                          <w:t>https://cdn.ymaws.com/www.cste.org/resource/resmgr/2019ps/final/19-ID-04_Legionellosis_final.pdf</w:t>
                        </w:r>
                      </w:hyperlink>
                      <w:r>
                        <w:rPr>
                          <w:rFonts w:ascii="Arial" w:hAnsi="Arial" w:cs="Arial"/>
                          <w:sz w:val="18"/>
                          <w:szCs w:val="18"/>
                        </w:rPr>
                        <w:t xml:space="preserve"> ]</w:t>
                      </w:r>
                    </w:p>
                    <w:p w14:paraId="399D6FFE" w14:textId="77777777" w:rsidR="00A318FA" w:rsidRDefault="00A318FA" w:rsidP="00CD741D">
                      <w:pPr>
                        <w:rPr>
                          <w:rFonts w:ascii="Arial" w:hAnsi="Arial" w:cs="Arial"/>
                          <w:sz w:val="18"/>
                          <w:szCs w:val="18"/>
                        </w:rPr>
                      </w:pPr>
                    </w:p>
                    <w:p w14:paraId="67DE3432" w14:textId="77777777" w:rsidR="00A318FA" w:rsidRDefault="00A318FA" w:rsidP="00CD741D">
                      <w:pPr>
                        <w:rPr>
                          <w:rFonts w:ascii="Arial" w:hAnsi="Arial" w:cs="Arial"/>
                          <w:sz w:val="18"/>
                          <w:szCs w:val="18"/>
                        </w:rPr>
                      </w:pPr>
                      <w:r>
                        <w:rPr>
                          <w:rFonts w:ascii="Arial" w:hAnsi="Arial" w:cs="Arial"/>
                          <w:b/>
                          <w:bCs/>
                          <w:sz w:val="18"/>
                          <w:szCs w:val="18"/>
                        </w:rPr>
                        <w:t>CDC Resources for Surveillance and Reporting of Legionellosis</w:t>
                      </w:r>
                    </w:p>
                    <w:p w14:paraId="52854299" w14:textId="77777777" w:rsidR="00A318FA" w:rsidRDefault="00A318FA" w:rsidP="00CD741D">
                      <w:pPr>
                        <w:rPr>
                          <w:rFonts w:ascii="Arial" w:hAnsi="Arial" w:cs="Arial"/>
                          <w:sz w:val="18"/>
                          <w:szCs w:val="18"/>
                        </w:rPr>
                      </w:pPr>
                    </w:p>
                    <w:p w14:paraId="5D58B8A7" w14:textId="77777777" w:rsidR="00A318FA" w:rsidRDefault="00A318FA" w:rsidP="00CD741D">
                      <w:pPr>
                        <w:pStyle w:val="ListParagraph"/>
                        <w:numPr>
                          <w:ilvl w:val="0"/>
                          <w:numId w:val="20"/>
                        </w:numPr>
                        <w:rPr>
                          <w:rFonts w:ascii="Arial" w:hAnsi="Arial" w:cs="Arial"/>
                          <w:sz w:val="18"/>
                          <w:szCs w:val="18"/>
                        </w:rPr>
                      </w:pPr>
                      <w:r>
                        <w:rPr>
                          <w:rFonts w:ascii="Arial" w:hAnsi="Arial" w:cs="Arial"/>
                          <w:i/>
                          <w:iCs/>
                          <w:sz w:val="18"/>
                          <w:szCs w:val="18"/>
                        </w:rPr>
                        <w:t>Case Definitions</w:t>
                      </w:r>
                      <w:r>
                        <w:rPr>
                          <w:rFonts w:ascii="Arial" w:hAnsi="Arial" w:cs="Arial"/>
                          <w:sz w:val="18"/>
                          <w:szCs w:val="18"/>
                        </w:rPr>
                        <w:t xml:space="preserve"> – Clinical description, laboratory criteria for suspect and confirmed diagnosis, and criteria for classifying a case as confirmed, probable, or suspect [</w:t>
                      </w:r>
                      <w:hyperlink r:id="rId26" w:history="1">
                        <w:r>
                          <w:rPr>
                            <w:rStyle w:val="Hyperlink"/>
                            <w:rFonts w:ascii="Arial" w:hAnsi="Arial" w:cs="Arial"/>
                            <w:sz w:val="18"/>
                            <w:szCs w:val="18"/>
                          </w:rPr>
                          <w:t>https://www.cdc.gov/legionella/health-depts/surv-reporting/case-definitions.html</w:t>
                        </w:r>
                      </w:hyperlink>
                      <w:r>
                        <w:rPr>
                          <w:rFonts w:ascii="Arial" w:hAnsi="Arial" w:cs="Arial"/>
                          <w:sz w:val="18"/>
                          <w:szCs w:val="18"/>
                        </w:rPr>
                        <w:t>]</w:t>
                      </w:r>
                    </w:p>
                    <w:p w14:paraId="2FB0CD0A" w14:textId="77777777" w:rsidR="00A318FA" w:rsidRDefault="00A318FA" w:rsidP="00CD741D">
                      <w:pPr>
                        <w:rPr>
                          <w:rFonts w:ascii="Arial" w:hAnsi="Arial" w:cs="Arial"/>
                          <w:sz w:val="18"/>
                          <w:szCs w:val="18"/>
                        </w:rPr>
                      </w:pPr>
                    </w:p>
                    <w:p w14:paraId="2CB6C177" w14:textId="77777777" w:rsidR="00A318FA" w:rsidRDefault="00A318FA" w:rsidP="00CD741D">
                      <w:pPr>
                        <w:pStyle w:val="ListParagraph"/>
                        <w:numPr>
                          <w:ilvl w:val="0"/>
                          <w:numId w:val="20"/>
                        </w:numPr>
                        <w:rPr>
                          <w:rFonts w:ascii="Arial" w:hAnsi="Arial" w:cs="Arial"/>
                          <w:sz w:val="18"/>
                          <w:szCs w:val="18"/>
                        </w:rPr>
                      </w:pPr>
                      <w:r>
                        <w:rPr>
                          <w:rFonts w:ascii="Arial" w:hAnsi="Arial" w:cs="Arial"/>
                          <w:i/>
                          <w:iCs/>
                          <w:sz w:val="18"/>
                          <w:szCs w:val="18"/>
                        </w:rPr>
                        <w:t>CDC Surveillance Classifications</w:t>
                      </w:r>
                      <w:r>
                        <w:rPr>
                          <w:rFonts w:ascii="Arial" w:hAnsi="Arial" w:cs="Arial"/>
                          <w:sz w:val="18"/>
                          <w:szCs w:val="18"/>
                        </w:rPr>
                        <w:t xml:space="preserve"> – Exposure categories for surveillance purposes, including travel, presumptive/possible healthcare, assisted living, and senior living [</w:t>
                      </w:r>
                      <w:hyperlink r:id="rId27" w:history="1">
                        <w:r>
                          <w:rPr>
                            <w:rStyle w:val="Hyperlink"/>
                            <w:rFonts w:ascii="Arial" w:hAnsi="Arial" w:cs="Arial"/>
                            <w:sz w:val="18"/>
                            <w:szCs w:val="18"/>
                          </w:rPr>
                          <w:t>https://www.cdc.gov/legionella/health-depts/surv-reporting/surveillance-classifications.html</w:t>
                        </w:r>
                      </w:hyperlink>
                      <w:r>
                        <w:rPr>
                          <w:rFonts w:ascii="Arial" w:hAnsi="Arial" w:cs="Arial"/>
                          <w:sz w:val="18"/>
                          <w:szCs w:val="18"/>
                        </w:rPr>
                        <w:t>]</w:t>
                      </w:r>
                    </w:p>
                    <w:p w14:paraId="7A28BAFC" w14:textId="77777777" w:rsidR="00A318FA" w:rsidRDefault="00A318FA" w:rsidP="00CD741D">
                      <w:pPr>
                        <w:rPr>
                          <w:rFonts w:ascii="Arial" w:hAnsi="Arial" w:cs="Arial"/>
                          <w:sz w:val="18"/>
                          <w:szCs w:val="18"/>
                        </w:rPr>
                      </w:pPr>
                    </w:p>
                    <w:p w14:paraId="079A3DB3" w14:textId="77777777" w:rsidR="00A318FA" w:rsidRDefault="00A318FA" w:rsidP="00CD741D">
                      <w:pPr>
                        <w:pStyle w:val="ListParagraph"/>
                        <w:numPr>
                          <w:ilvl w:val="0"/>
                          <w:numId w:val="20"/>
                        </w:numPr>
                        <w:spacing w:after="60"/>
                        <w:rPr>
                          <w:rFonts w:ascii="Arial" w:hAnsi="Arial" w:cs="Arial"/>
                          <w:sz w:val="18"/>
                          <w:szCs w:val="18"/>
                        </w:rPr>
                      </w:pPr>
                      <w:r>
                        <w:rPr>
                          <w:rFonts w:ascii="Arial" w:hAnsi="Arial" w:cs="Arial"/>
                          <w:i/>
                          <w:iCs/>
                          <w:sz w:val="18"/>
                          <w:szCs w:val="18"/>
                        </w:rPr>
                        <w:t>How to Report Cases</w:t>
                      </w:r>
                      <w:r>
                        <w:rPr>
                          <w:rFonts w:ascii="Arial" w:hAnsi="Arial" w:cs="Arial"/>
                          <w:sz w:val="18"/>
                          <w:szCs w:val="18"/>
                        </w:rPr>
                        <w:t xml:space="preserve"> – Methods of surveillance and surveillance systems:</w:t>
                      </w:r>
                    </w:p>
                    <w:p w14:paraId="433DC216" w14:textId="77777777" w:rsidR="00A318FA" w:rsidRDefault="00A318FA" w:rsidP="00CD741D">
                      <w:pPr>
                        <w:pStyle w:val="ListParagraph"/>
                        <w:numPr>
                          <w:ilvl w:val="1"/>
                          <w:numId w:val="20"/>
                        </w:numPr>
                        <w:spacing w:after="120"/>
                        <w:rPr>
                          <w:rFonts w:ascii="Arial" w:hAnsi="Arial" w:cs="Arial"/>
                          <w:sz w:val="18"/>
                          <w:szCs w:val="18"/>
                        </w:rPr>
                      </w:pPr>
                      <w:r>
                        <w:rPr>
                          <w:rFonts w:ascii="Arial" w:hAnsi="Arial" w:cs="Arial"/>
                          <w:i/>
                          <w:iCs/>
                          <w:sz w:val="18"/>
                          <w:szCs w:val="18"/>
                        </w:rPr>
                        <w:t>National Notifiable Diseases Surveillance System</w:t>
                      </w:r>
                      <w:r>
                        <w:rPr>
                          <w:rFonts w:ascii="Arial" w:hAnsi="Arial" w:cs="Arial"/>
                          <w:sz w:val="18"/>
                          <w:szCs w:val="18"/>
                        </w:rPr>
                        <w:t xml:space="preserve"> </w:t>
                      </w:r>
                      <w:r>
                        <w:rPr>
                          <w:rFonts w:ascii="Arial" w:hAnsi="Arial" w:cs="Arial"/>
                          <w:i/>
                          <w:iCs/>
                          <w:sz w:val="18"/>
                          <w:szCs w:val="18"/>
                        </w:rPr>
                        <w:t xml:space="preserve">(NNDSS) </w:t>
                      </w:r>
                      <w:r>
                        <w:rPr>
                          <w:rFonts w:ascii="Arial" w:hAnsi="Arial" w:cs="Arial"/>
                          <w:sz w:val="18"/>
                          <w:szCs w:val="18"/>
                        </w:rPr>
                        <w:t>[</w:t>
                      </w:r>
                      <w:hyperlink r:id="rId28" w:history="1">
                        <w:r>
                          <w:rPr>
                            <w:rStyle w:val="Hyperlink"/>
                            <w:rFonts w:ascii="Arial" w:hAnsi="Arial" w:cs="Arial"/>
                            <w:sz w:val="18"/>
                            <w:szCs w:val="18"/>
                          </w:rPr>
                          <w:t>https://wwwn.cdc.gov/nndss/conditions/legionellosis/case-definition/2020/</w:t>
                        </w:r>
                      </w:hyperlink>
                      <w:r>
                        <w:rPr>
                          <w:rFonts w:ascii="Arial" w:hAnsi="Arial" w:cs="Arial"/>
                          <w:sz w:val="18"/>
                          <w:szCs w:val="18"/>
                        </w:rPr>
                        <w:t>]</w:t>
                      </w:r>
                    </w:p>
                    <w:p w14:paraId="334B9977" w14:textId="77777777" w:rsidR="00A318FA" w:rsidRDefault="00A318FA" w:rsidP="00CD741D">
                      <w:pPr>
                        <w:pStyle w:val="ListParagraph"/>
                        <w:numPr>
                          <w:ilvl w:val="1"/>
                          <w:numId w:val="20"/>
                        </w:numPr>
                        <w:spacing w:after="120"/>
                        <w:rPr>
                          <w:rFonts w:ascii="Arial" w:hAnsi="Arial" w:cs="Arial"/>
                          <w:sz w:val="18"/>
                          <w:szCs w:val="18"/>
                        </w:rPr>
                      </w:pPr>
                      <w:r>
                        <w:rPr>
                          <w:rFonts w:ascii="Arial" w:hAnsi="Arial" w:cs="Arial"/>
                          <w:i/>
                          <w:iCs/>
                          <w:sz w:val="18"/>
                          <w:szCs w:val="18"/>
                        </w:rPr>
                        <w:t>Supplemental Legionnaires’ Disease Surveillance System (SLDSS)</w:t>
                      </w:r>
                      <w:r>
                        <w:rPr>
                          <w:rFonts w:ascii="Arial" w:hAnsi="Arial" w:cs="Arial"/>
                          <w:sz w:val="18"/>
                          <w:szCs w:val="18"/>
                        </w:rPr>
                        <w:t xml:space="preserve"> – SLDSS is used to collect extended information on legionellosis cases, such as exposure history and method of diagnosis, beyond the information CDC receives in NNDSS. Reports to SLDSS are made via email, fax, or mail to CDC’s Respiratory Diseases Branch Legionnaires’ Disease Program within 7 days for travel-associated cases and within 30 days for non-travel cases [</w:t>
                      </w:r>
                      <w:hyperlink r:id="rId29" w:history="1">
                        <w:r>
                          <w:rPr>
                            <w:rStyle w:val="Hyperlink"/>
                            <w:rFonts w:ascii="Arial" w:hAnsi="Arial" w:cs="Arial"/>
                            <w:sz w:val="18"/>
                            <w:szCs w:val="18"/>
                          </w:rPr>
                          <w:t>https://www.cdc.gov/legionella/health-depts/surv-reporting/form-instructions.html</w:t>
                        </w:r>
                      </w:hyperlink>
                      <w:r>
                        <w:rPr>
                          <w:rFonts w:ascii="Arial" w:hAnsi="Arial" w:cs="Arial"/>
                          <w:sz w:val="18"/>
                          <w:szCs w:val="18"/>
                        </w:rPr>
                        <w:t>]</w:t>
                      </w:r>
                    </w:p>
                    <w:p w14:paraId="764B2B0A" w14:textId="77777777" w:rsidR="00A318FA" w:rsidRDefault="00A318FA" w:rsidP="00CD741D">
                      <w:pPr>
                        <w:pStyle w:val="ListParagraph"/>
                        <w:numPr>
                          <w:ilvl w:val="1"/>
                          <w:numId w:val="20"/>
                        </w:numPr>
                        <w:rPr>
                          <w:rFonts w:ascii="Arial" w:hAnsi="Arial" w:cs="Arial"/>
                          <w:sz w:val="18"/>
                          <w:szCs w:val="18"/>
                        </w:rPr>
                      </w:pPr>
                      <w:r>
                        <w:rPr>
                          <w:rFonts w:ascii="Arial" w:hAnsi="Arial" w:cs="Arial"/>
                          <w:i/>
                          <w:iCs/>
                          <w:sz w:val="18"/>
                          <w:szCs w:val="18"/>
                        </w:rPr>
                        <w:t>Waterborne Disease Outbreak Surveillance System (WBDOSS)</w:t>
                      </w:r>
                      <w:r>
                        <w:rPr>
                          <w:rFonts w:ascii="Arial" w:hAnsi="Arial" w:cs="Arial"/>
                          <w:sz w:val="18"/>
                          <w:szCs w:val="18"/>
                        </w:rPr>
                        <w:t xml:space="preserve"> [</w:t>
                      </w:r>
                      <w:hyperlink r:id="rId30" w:history="1">
                        <w:r>
                          <w:rPr>
                            <w:rStyle w:val="Hyperlink"/>
                            <w:rFonts w:ascii="Arial" w:hAnsi="Arial" w:cs="Arial"/>
                            <w:sz w:val="18"/>
                            <w:szCs w:val="18"/>
                          </w:rPr>
                          <w:t>https://www.cdc.gov/healthywater/surveillance/index.html</w:t>
                        </w:r>
                      </w:hyperlink>
                      <w:r>
                        <w:rPr>
                          <w:rFonts w:ascii="Arial" w:hAnsi="Arial" w:cs="Arial"/>
                          <w:sz w:val="18"/>
                          <w:szCs w:val="18"/>
                        </w:rPr>
                        <w:t>] of the National Outbreak Reporting System (NORS) [</w:t>
                      </w:r>
                      <w:hyperlink r:id="rId31" w:history="1">
                        <w:r>
                          <w:rPr>
                            <w:rStyle w:val="Hyperlink"/>
                            <w:rFonts w:ascii="Arial" w:hAnsi="Arial" w:cs="Arial"/>
                            <w:sz w:val="18"/>
                            <w:szCs w:val="18"/>
                          </w:rPr>
                          <w:t>https://www.cdc.gov/nors/</w:t>
                        </w:r>
                      </w:hyperlink>
                      <w:r>
                        <w:rPr>
                          <w:rFonts w:ascii="Arial" w:hAnsi="Arial" w:cs="Arial"/>
                          <w:sz w:val="18"/>
                          <w:szCs w:val="18"/>
                        </w:rPr>
                        <w:t>]</w:t>
                      </w:r>
                    </w:p>
                    <w:p w14:paraId="3CBF2368" w14:textId="77777777" w:rsidR="00A318FA" w:rsidRDefault="00A318FA" w:rsidP="00CD741D">
                      <w:pPr>
                        <w:rPr>
                          <w:rFonts w:ascii="Arial" w:hAnsi="Arial" w:cs="Arial"/>
                          <w:sz w:val="18"/>
                          <w:szCs w:val="18"/>
                        </w:rPr>
                      </w:pPr>
                    </w:p>
                    <w:p w14:paraId="0BBE2187" w14:textId="77777777" w:rsidR="00A318FA" w:rsidRDefault="00A318FA" w:rsidP="00CD741D">
                      <w:pPr>
                        <w:pStyle w:val="ListParagraph"/>
                        <w:numPr>
                          <w:ilvl w:val="0"/>
                          <w:numId w:val="20"/>
                        </w:numPr>
                        <w:rPr>
                          <w:rFonts w:ascii="Arial" w:hAnsi="Arial" w:cs="Arial"/>
                          <w:sz w:val="18"/>
                          <w:szCs w:val="18"/>
                        </w:rPr>
                      </w:pPr>
                      <w:r>
                        <w:rPr>
                          <w:rFonts w:ascii="Arial" w:hAnsi="Arial" w:cs="Arial"/>
                          <w:i/>
                          <w:iCs/>
                          <w:sz w:val="18"/>
                          <w:szCs w:val="18"/>
                        </w:rPr>
                        <w:t>Instructions for Legionellosis Case Report Forms</w:t>
                      </w:r>
                      <w:r>
                        <w:rPr>
                          <w:rFonts w:ascii="Arial" w:hAnsi="Arial" w:cs="Arial"/>
                          <w:sz w:val="18"/>
                          <w:szCs w:val="18"/>
                        </w:rPr>
                        <w:t xml:space="preserve"> – Addresses methods for submitting forms and instructions for providing information </w:t>
                      </w:r>
                      <w:proofErr w:type="gramStart"/>
                      <w:r>
                        <w:rPr>
                          <w:rFonts w:ascii="Arial" w:hAnsi="Arial" w:cs="Arial"/>
                          <w:sz w:val="18"/>
                          <w:szCs w:val="18"/>
                        </w:rPr>
                        <w:t>on:</w:t>
                      </w:r>
                      <w:proofErr w:type="gramEnd"/>
                      <w:r>
                        <w:rPr>
                          <w:rFonts w:ascii="Arial" w:hAnsi="Arial" w:cs="Arial"/>
                          <w:sz w:val="18"/>
                          <w:szCs w:val="18"/>
                        </w:rPr>
                        <w:t xml:space="preserve"> patient information and demographics; clinical information and outcome; travel, healthcare, and other exposure information; and laboratory data [</w:t>
                      </w:r>
                      <w:hyperlink r:id="rId32" w:history="1">
                        <w:r>
                          <w:rPr>
                            <w:rStyle w:val="Hyperlink"/>
                            <w:rFonts w:ascii="Arial" w:hAnsi="Arial" w:cs="Arial"/>
                            <w:sz w:val="18"/>
                            <w:szCs w:val="18"/>
                          </w:rPr>
                          <w:t>https://www.cdc.gov/legionella/health-depts/surv-reporting/form-instructions.html</w:t>
                        </w:r>
                      </w:hyperlink>
                      <w:r>
                        <w:rPr>
                          <w:rFonts w:ascii="Arial" w:hAnsi="Arial" w:cs="Arial"/>
                          <w:sz w:val="18"/>
                          <w:szCs w:val="18"/>
                        </w:rPr>
                        <w:t>]</w:t>
                      </w:r>
                    </w:p>
                    <w:p w14:paraId="1818FC3B" w14:textId="77777777" w:rsidR="00A318FA" w:rsidRDefault="00A318FA" w:rsidP="00CD741D">
                      <w:pPr>
                        <w:rPr>
                          <w:rFonts w:ascii="Arial" w:hAnsi="Arial" w:cs="Arial"/>
                          <w:sz w:val="18"/>
                          <w:szCs w:val="18"/>
                        </w:rPr>
                      </w:pPr>
                    </w:p>
                    <w:p w14:paraId="11912227" w14:textId="77777777" w:rsidR="00A318FA" w:rsidRDefault="00A318FA" w:rsidP="00CD741D">
                      <w:pPr>
                        <w:pStyle w:val="ListParagraph"/>
                        <w:numPr>
                          <w:ilvl w:val="0"/>
                          <w:numId w:val="21"/>
                        </w:numPr>
                        <w:rPr>
                          <w:rFonts w:ascii="Arial" w:hAnsi="Arial" w:cs="Arial"/>
                          <w:sz w:val="18"/>
                          <w:szCs w:val="18"/>
                        </w:rPr>
                      </w:pPr>
                      <w:r>
                        <w:rPr>
                          <w:rFonts w:ascii="Arial" w:hAnsi="Arial" w:cs="Arial"/>
                          <w:i/>
                          <w:iCs/>
                          <w:sz w:val="18"/>
                          <w:szCs w:val="18"/>
                        </w:rPr>
                        <w:t>Surveillance Reports</w:t>
                      </w:r>
                      <w:r>
                        <w:rPr>
                          <w:rFonts w:ascii="Arial" w:hAnsi="Arial" w:cs="Arial"/>
                          <w:sz w:val="18"/>
                          <w:szCs w:val="18"/>
                        </w:rPr>
                        <w:t xml:space="preserve"> – A descriptive annual summary of the reporting and burden of Legionnaires’ disease in the US [</w:t>
                      </w:r>
                      <w:hyperlink r:id="rId33" w:history="1">
                        <w:r>
                          <w:rPr>
                            <w:rStyle w:val="Hyperlink"/>
                            <w:rFonts w:ascii="Arial" w:hAnsi="Arial" w:cs="Arial"/>
                            <w:sz w:val="18"/>
                            <w:szCs w:val="18"/>
                          </w:rPr>
                          <w:t>https://www.cdc.gov/legionella/health-depts/surv-reporting/surveillance-reports.html</w:t>
                        </w:r>
                      </w:hyperlink>
                      <w:r>
                        <w:rPr>
                          <w:rFonts w:ascii="Arial" w:hAnsi="Arial" w:cs="Arial"/>
                          <w:sz w:val="18"/>
                          <w:szCs w:val="18"/>
                        </w:rPr>
                        <w:t>]</w:t>
                      </w:r>
                    </w:p>
                    <w:p w14:paraId="07D7E6EC" w14:textId="77777777" w:rsidR="00A318FA" w:rsidRDefault="00A318FA" w:rsidP="00CD741D">
                      <w:pPr>
                        <w:rPr>
                          <w:rFonts w:ascii="Arial" w:hAnsi="Arial" w:cs="Arial"/>
                          <w:sz w:val="18"/>
                          <w:szCs w:val="18"/>
                        </w:rPr>
                      </w:pPr>
                    </w:p>
                    <w:p w14:paraId="00C29A6B" w14:textId="77777777" w:rsidR="00A318FA" w:rsidRDefault="00A318FA" w:rsidP="00CD741D">
                      <w:pPr>
                        <w:rPr>
                          <w:rFonts w:ascii="Arial" w:hAnsi="Arial" w:cs="Arial"/>
                          <w:sz w:val="18"/>
                          <w:szCs w:val="18"/>
                        </w:rPr>
                      </w:pPr>
                    </w:p>
                    <w:p w14:paraId="44AAB491" w14:textId="77777777" w:rsidR="00A318FA" w:rsidRDefault="00A318FA" w:rsidP="00CD741D">
                      <w:pPr>
                        <w:spacing w:after="120"/>
                        <w:rPr>
                          <w:rFonts w:ascii="Arial" w:hAnsi="Arial" w:cs="Arial"/>
                          <w:sz w:val="16"/>
                          <w:szCs w:val="16"/>
                        </w:rPr>
                      </w:pPr>
                      <w:proofErr w:type="spellStart"/>
                      <w:r>
                        <w:rPr>
                          <w:rFonts w:ascii="Arial" w:hAnsi="Arial" w:cs="Arial"/>
                          <w:sz w:val="16"/>
                          <w:szCs w:val="16"/>
                        </w:rPr>
                        <w:t>i</w:t>
                      </w:r>
                      <w:proofErr w:type="spellEnd"/>
                      <w:r>
                        <w:rPr>
                          <w:rFonts w:ascii="Arial" w:hAnsi="Arial" w:cs="Arial"/>
                          <w:sz w:val="16"/>
                          <w:szCs w:val="16"/>
                        </w:rPr>
                        <w:t xml:space="preserve">. CDC. Legionella (Legionnaires' Disease and Pontiac Fever) Surveillance and Reporting Resources. Webpage last updated by CDC March 5, 2020. Retrieved from </w:t>
                      </w:r>
                      <w:hyperlink r:id="rId34" w:history="1">
                        <w:r>
                          <w:rPr>
                            <w:rStyle w:val="Hyperlink"/>
                            <w:rFonts w:ascii="Arial" w:hAnsi="Arial" w:cs="Arial"/>
                            <w:sz w:val="16"/>
                            <w:szCs w:val="16"/>
                          </w:rPr>
                          <w:t>https://www.cdc.gov/legionella/health-depts/surv-reporting/index.html</w:t>
                        </w:r>
                      </w:hyperlink>
                      <w:r>
                        <w:rPr>
                          <w:rFonts w:ascii="Arial" w:hAnsi="Arial" w:cs="Arial"/>
                          <w:sz w:val="16"/>
                          <w:szCs w:val="16"/>
                        </w:rPr>
                        <w:t xml:space="preserve"> (accessed December 14, 2020).</w:t>
                      </w:r>
                    </w:p>
                    <w:p w14:paraId="63DDF345" w14:textId="77777777" w:rsidR="00A318FA" w:rsidRDefault="00A318FA" w:rsidP="00CD741D">
                      <w:pPr>
                        <w:rPr>
                          <w:rFonts w:ascii="Arial" w:hAnsi="Arial" w:cs="Arial"/>
                          <w:sz w:val="16"/>
                          <w:szCs w:val="16"/>
                        </w:rPr>
                      </w:pPr>
                      <w:r>
                        <w:rPr>
                          <w:rFonts w:ascii="Arial" w:hAnsi="Arial" w:cs="Arial"/>
                          <w:sz w:val="16"/>
                          <w:szCs w:val="16"/>
                        </w:rPr>
                        <w:t>ii. Id.</w:t>
                      </w:r>
                    </w:p>
                  </w:txbxContent>
                </v:textbox>
                <w10:wrap type="topAndBottom" anchorx="margin" anchory="margin"/>
              </v:shape>
            </w:pict>
          </mc:Fallback>
        </mc:AlternateContent>
      </w:r>
    </w:p>
    <w:p w14:paraId="2D0CD4E4" w14:textId="77777777" w:rsidR="00CD741D" w:rsidRPr="00CD741D" w:rsidRDefault="00CD741D" w:rsidP="00CD741D">
      <w:pPr>
        <w:rPr>
          <w:rFonts w:ascii="Calibri" w:eastAsia="Calibri" w:hAnsi="Calibri" w:cs="Times New Roman"/>
        </w:rPr>
      </w:pPr>
    </w:p>
    <w:p w14:paraId="31A31F2F" w14:textId="77777777" w:rsidR="001C2915" w:rsidRDefault="001C2915" w:rsidP="00D757F9">
      <w:pPr>
        <w:spacing w:after="80" w:line="360" w:lineRule="auto"/>
        <w:rPr>
          <w:rFonts w:ascii="Calibri Light" w:eastAsia="Calibri" w:hAnsi="Calibri Light" w:cs="Times New Roman"/>
        </w:rPr>
        <w:sectPr w:rsidR="001C2915" w:rsidSect="00A318FA">
          <w:footnotePr>
            <w:numRestart w:val="eachSect"/>
          </w:footnotePr>
          <w:pgSz w:w="12240" w:h="15840"/>
          <w:pgMar w:top="1440" w:right="1440" w:bottom="1440" w:left="1440" w:header="720" w:footer="720" w:gutter="0"/>
          <w:cols w:space="720"/>
          <w:docGrid w:linePitch="360"/>
        </w:sectPr>
      </w:pPr>
    </w:p>
    <w:p w14:paraId="54C0439F" w14:textId="77777777" w:rsidR="00031DE8" w:rsidRPr="00724A3D" w:rsidRDefault="00031DE8" w:rsidP="00031DE8">
      <w:pPr>
        <w:spacing w:after="120"/>
        <w:jc w:val="center"/>
        <w:rPr>
          <w:rFonts w:ascii="Arial" w:hAnsi="Arial" w:cs="Arial"/>
          <w:b/>
          <w:bCs/>
          <w:sz w:val="24"/>
          <w:szCs w:val="24"/>
        </w:rPr>
      </w:pPr>
      <w:r w:rsidRPr="00724A3D">
        <w:rPr>
          <w:rFonts w:ascii="Arial" w:hAnsi="Arial" w:cs="Arial"/>
          <w:b/>
          <w:bCs/>
          <w:sz w:val="24"/>
          <w:szCs w:val="24"/>
        </w:rPr>
        <w:lastRenderedPageBreak/>
        <w:t xml:space="preserve">Chapter </w:t>
      </w:r>
      <w:r>
        <w:rPr>
          <w:rFonts w:ascii="Arial" w:hAnsi="Arial" w:cs="Arial"/>
          <w:b/>
          <w:bCs/>
          <w:sz w:val="24"/>
          <w:szCs w:val="24"/>
        </w:rPr>
        <w:t>2</w:t>
      </w:r>
    </w:p>
    <w:p w14:paraId="6EEF18E7" w14:textId="77777777" w:rsidR="00031DE8" w:rsidRPr="001A3AB0" w:rsidRDefault="00031DE8" w:rsidP="00031DE8">
      <w:pPr>
        <w:spacing w:line="360" w:lineRule="auto"/>
        <w:jc w:val="center"/>
        <w:rPr>
          <w:rFonts w:ascii="Arial" w:hAnsi="Arial" w:cs="Arial"/>
          <w:sz w:val="24"/>
          <w:szCs w:val="24"/>
        </w:rPr>
      </w:pPr>
      <w:r w:rsidRPr="009252AC">
        <w:rPr>
          <w:rFonts w:ascii="Arial" w:hAnsi="Arial" w:cs="Arial"/>
          <w:b/>
          <w:bCs/>
          <w:sz w:val="24"/>
          <w:szCs w:val="24"/>
        </w:rPr>
        <w:t>Legal Authorities for Legionnaires’ Disease Activities</w:t>
      </w:r>
    </w:p>
    <w:p w14:paraId="659B5691" w14:textId="77777777" w:rsidR="00031DE8" w:rsidRPr="001A3AB0" w:rsidRDefault="00031DE8" w:rsidP="00031DE8">
      <w:pPr>
        <w:tabs>
          <w:tab w:val="left" w:pos="8573"/>
        </w:tabs>
        <w:spacing w:line="360" w:lineRule="auto"/>
        <w:rPr>
          <w:rFonts w:ascii="Arial" w:hAnsi="Arial" w:cs="Arial"/>
          <w:sz w:val="24"/>
          <w:szCs w:val="24"/>
        </w:rPr>
      </w:pPr>
    </w:p>
    <w:p w14:paraId="1354F43C" w14:textId="77777777" w:rsidR="00031DE8" w:rsidRDefault="00031DE8" w:rsidP="00031DE8">
      <w:pPr>
        <w:spacing w:after="120" w:line="360" w:lineRule="auto"/>
        <w:rPr>
          <w:rFonts w:asciiTheme="majorHAnsi" w:hAnsiTheme="majorHAnsi" w:cstheme="majorHAnsi"/>
        </w:rPr>
      </w:pPr>
      <w:r w:rsidRPr="004A2552">
        <w:rPr>
          <w:rFonts w:asciiTheme="majorHAnsi" w:hAnsiTheme="majorHAnsi" w:cstheme="majorHAnsi"/>
          <w:noProof/>
        </w:rPr>
        <mc:AlternateContent>
          <mc:Choice Requires="wps">
            <w:drawing>
              <wp:anchor distT="45720" distB="45720" distL="114300" distR="114300" simplePos="0" relativeHeight="251668480" behindDoc="0" locked="0" layoutInCell="1" allowOverlap="1" wp14:anchorId="2A1DC73F" wp14:editId="53718D08">
                <wp:simplePos x="0" y="0"/>
                <wp:positionH relativeFrom="margin">
                  <wp:align>right</wp:align>
                </wp:positionH>
                <wp:positionV relativeFrom="paragraph">
                  <wp:posOffset>1303655</wp:posOffset>
                </wp:positionV>
                <wp:extent cx="2322576" cy="1591056"/>
                <wp:effectExtent l="0" t="0" r="2095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576" cy="1591056"/>
                        </a:xfrm>
                        <a:prstGeom prst="rect">
                          <a:avLst/>
                        </a:prstGeom>
                        <a:solidFill>
                          <a:srgbClr val="FFFFFF"/>
                        </a:solidFill>
                        <a:ln w="9525">
                          <a:solidFill>
                            <a:srgbClr val="000000"/>
                          </a:solidFill>
                          <a:miter lim="800000"/>
                          <a:headEnd/>
                          <a:tailEnd/>
                        </a:ln>
                      </wps:spPr>
                      <wps:txbx>
                        <w:txbxContent>
                          <w:p w14:paraId="351E258D" w14:textId="77777777" w:rsidR="00A318FA" w:rsidRPr="003C4E18" w:rsidRDefault="00A318FA" w:rsidP="00031DE8">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w:t>
                            </w:r>
                            <w:r>
                              <w:rPr>
                                <w:rFonts w:ascii="Arial" w:hAnsi="Arial" w:cs="Arial"/>
                                <w:sz w:val="18"/>
                                <w:szCs w:val="18"/>
                              </w:rPr>
                              <w:t>.</w:t>
                            </w:r>
                            <w:r w:rsidRPr="005A3218">
                              <w:rPr>
                                <w:rFonts w:ascii="Arial" w:hAnsi="Arial" w:cs="Arial"/>
                                <w:sz w:val="18"/>
                                <w:szCs w:val="18"/>
                              </w:rPr>
                              <w:t xml:space="preserve"> </w:t>
                            </w:r>
                            <w:r w:rsidRPr="005A3218">
                              <w:rPr>
                                <w:rFonts w:ascii="Arial" w:hAnsi="Arial" w:cs="Arial"/>
                                <w:b/>
                                <w:bCs/>
                                <w:i/>
                                <w:iCs/>
                                <w:sz w:val="18"/>
                                <w:szCs w:val="18"/>
                              </w:rPr>
                              <w:t>Information about laws and legal theories discussed in this section and the toolkit are for information only and are not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DC73F" id="_x0000_s1029" type="#_x0000_t202" style="position:absolute;margin-left:131.7pt;margin-top:102.65pt;width:182.9pt;height:125.3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">
                <v:textbox>
                  <w:txbxContent>
                    <w:p w14:paraId="351E258D" w14:textId="77777777" w:rsidR="00A318FA" w:rsidRPr="003C4E18" w:rsidRDefault="00A318FA" w:rsidP="00031DE8">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w:t>
                      </w:r>
                      <w:r>
                        <w:rPr>
                          <w:rFonts w:ascii="Arial" w:hAnsi="Arial" w:cs="Arial"/>
                          <w:sz w:val="18"/>
                          <w:szCs w:val="18"/>
                        </w:rPr>
                        <w:t>.</w:t>
                      </w:r>
                      <w:r w:rsidRPr="005A3218">
                        <w:rPr>
                          <w:rFonts w:ascii="Arial" w:hAnsi="Arial" w:cs="Arial"/>
                          <w:sz w:val="18"/>
                          <w:szCs w:val="18"/>
                        </w:rPr>
                        <w:t xml:space="preserve"> </w:t>
                      </w:r>
                      <w:r w:rsidRPr="005A3218">
                        <w:rPr>
                          <w:rFonts w:ascii="Arial" w:hAnsi="Arial"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sidRPr="00577CFC">
        <w:rPr>
          <w:rFonts w:asciiTheme="majorHAnsi" w:hAnsiTheme="majorHAnsi" w:cstheme="majorHAnsi"/>
        </w:rPr>
        <w:t xml:space="preserve">While </w:t>
      </w:r>
      <w:r>
        <w:rPr>
          <w:rFonts w:asciiTheme="majorHAnsi" w:hAnsiTheme="majorHAnsi" w:cstheme="majorHAnsi"/>
        </w:rPr>
        <w:t xml:space="preserve">this toolkit focuses on the variety of settings in which Legionnaires’ Disease (LD) events occur, </w:t>
      </w:r>
      <w:r w:rsidRPr="00577CFC">
        <w:rPr>
          <w:rFonts w:asciiTheme="majorHAnsi" w:hAnsiTheme="majorHAnsi" w:cstheme="majorHAnsi"/>
        </w:rPr>
        <w:t xml:space="preserve">there are </w:t>
      </w:r>
      <w:r>
        <w:rPr>
          <w:rFonts w:asciiTheme="majorHAnsi" w:hAnsiTheme="majorHAnsi" w:cstheme="majorHAnsi"/>
        </w:rPr>
        <w:t xml:space="preserve">foundational legal authorities that empower public health and other agencies to act </w:t>
      </w:r>
      <w:r w:rsidRPr="00577CFC">
        <w:rPr>
          <w:rFonts w:asciiTheme="majorHAnsi" w:hAnsiTheme="majorHAnsi" w:cstheme="majorHAnsi"/>
        </w:rPr>
        <w:t xml:space="preserve">across </w:t>
      </w:r>
      <w:r>
        <w:rPr>
          <w:rFonts w:asciiTheme="majorHAnsi" w:hAnsiTheme="majorHAnsi" w:cstheme="majorHAnsi"/>
        </w:rPr>
        <w:t xml:space="preserve">a range of </w:t>
      </w:r>
      <w:r w:rsidRPr="00577CFC">
        <w:rPr>
          <w:rFonts w:asciiTheme="majorHAnsi" w:hAnsiTheme="majorHAnsi" w:cstheme="majorHAnsi"/>
        </w:rPr>
        <w:t xml:space="preserve">settings. </w:t>
      </w:r>
      <w:r>
        <w:rPr>
          <w:rFonts w:asciiTheme="majorHAnsi" w:hAnsiTheme="majorHAnsi" w:cstheme="majorHAnsi"/>
        </w:rPr>
        <w:t xml:space="preserve">These public health legal authorities are furthered by statutes and regulations governing the operations of specific facility types (e.g., hotels, hospitals) and systems (e.g., pools, spas) that can give rise to LD. This chapter gives a brief overview of: </w:t>
      </w:r>
    </w:p>
    <w:p w14:paraId="3D2A696E" w14:textId="77777777" w:rsidR="00031DE8" w:rsidRPr="00C70011" w:rsidRDefault="00031DE8" w:rsidP="00031DE8">
      <w:pPr>
        <w:pStyle w:val="ListParagraph"/>
        <w:numPr>
          <w:ilvl w:val="0"/>
          <w:numId w:val="23"/>
        </w:numPr>
        <w:spacing w:after="120" w:line="360" w:lineRule="auto"/>
        <w:contextualSpacing w:val="0"/>
        <w:rPr>
          <w:rFonts w:asciiTheme="majorHAnsi" w:hAnsiTheme="majorHAnsi" w:cstheme="majorHAnsi"/>
        </w:rPr>
      </w:pPr>
      <w:r>
        <w:rPr>
          <w:rFonts w:asciiTheme="majorHAnsi" w:hAnsiTheme="majorHAnsi" w:cstheme="majorHAnsi"/>
        </w:rPr>
        <w:t>The s</w:t>
      </w:r>
      <w:r w:rsidRPr="00C70011">
        <w:rPr>
          <w:rFonts w:asciiTheme="majorHAnsi" w:hAnsiTheme="majorHAnsi" w:cstheme="majorHAnsi"/>
        </w:rPr>
        <w:t xml:space="preserve">ources of </w:t>
      </w:r>
      <w:r>
        <w:rPr>
          <w:rFonts w:asciiTheme="majorHAnsi" w:hAnsiTheme="majorHAnsi" w:cstheme="majorHAnsi"/>
        </w:rPr>
        <w:t xml:space="preserve">public health </w:t>
      </w:r>
      <w:r w:rsidRPr="00C70011">
        <w:rPr>
          <w:rFonts w:asciiTheme="majorHAnsi" w:hAnsiTheme="majorHAnsi" w:cstheme="majorHAnsi"/>
        </w:rPr>
        <w:t>legal authority</w:t>
      </w:r>
      <w:r>
        <w:rPr>
          <w:rFonts w:asciiTheme="majorHAnsi" w:hAnsiTheme="majorHAnsi" w:cstheme="majorHAnsi"/>
        </w:rPr>
        <w:t>.</w:t>
      </w:r>
    </w:p>
    <w:p w14:paraId="1F1B6D51" w14:textId="77777777" w:rsidR="00031DE8" w:rsidRDefault="00031DE8" w:rsidP="00031DE8">
      <w:pPr>
        <w:pStyle w:val="ListParagraph"/>
        <w:numPr>
          <w:ilvl w:val="0"/>
          <w:numId w:val="23"/>
        </w:numPr>
        <w:spacing w:after="120" w:line="360" w:lineRule="auto"/>
        <w:contextualSpacing w:val="0"/>
        <w:rPr>
          <w:rFonts w:asciiTheme="majorHAnsi" w:hAnsiTheme="majorHAnsi" w:cstheme="majorHAnsi"/>
        </w:rPr>
      </w:pPr>
      <w:r w:rsidRPr="00C70011">
        <w:rPr>
          <w:rFonts w:asciiTheme="majorHAnsi" w:hAnsiTheme="majorHAnsi" w:cstheme="majorHAnsi"/>
        </w:rPr>
        <w:t>T</w:t>
      </w:r>
      <w:r>
        <w:rPr>
          <w:rFonts w:asciiTheme="majorHAnsi" w:hAnsiTheme="majorHAnsi" w:cstheme="majorHAnsi"/>
        </w:rPr>
        <w:t>he t</w:t>
      </w:r>
      <w:r w:rsidRPr="00C70011">
        <w:rPr>
          <w:rFonts w:asciiTheme="majorHAnsi" w:hAnsiTheme="majorHAnsi" w:cstheme="majorHAnsi"/>
        </w:rPr>
        <w:t xml:space="preserve">ypes of authorities available to public health </w:t>
      </w:r>
      <w:r>
        <w:rPr>
          <w:rFonts w:asciiTheme="majorHAnsi" w:hAnsiTheme="majorHAnsi" w:cstheme="majorHAnsi"/>
        </w:rPr>
        <w:t>and other agencies to address LD.</w:t>
      </w:r>
    </w:p>
    <w:p w14:paraId="7A3D736C" w14:textId="77777777" w:rsidR="00031DE8" w:rsidRDefault="00031DE8" w:rsidP="00031DE8">
      <w:pPr>
        <w:spacing w:line="360" w:lineRule="auto"/>
        <w:rPr>
          <w:rFonts w:asciiTheme="majorHAnsi" w:hAnsiTheme="majorHAnsi" w:cstheme="majorHAnsi"/>
        </w:rPr>
      </w:pPr>
    </w:p>
    <w:p w14:paraId="2281DC83" w14:textId="77777777" w:rsidR="00031DE8" w:rsidRPr="002424DF" w:rsidRDefault="00031DE8" w:rsidP="00031DE8">
      <w:pPr>
        <w:spacing w:after="120" w:line="360" w:lineRule="auto"/>
        <w:rPr>
          <w:rFonts w:ascii="Arial" w:hAnsi="Arial" w:cs="Arial"/>
          <w:b/>
          <w:bCs/>
        </w:rPr>
      </w:pPr>
      <w:r w:rsidRPr="002424DF">
        <w:rPr>
          <w:rFonts w:ascii="Arial" w:hAnsi="Arial" w:cs="Arial"/>
          <w:b/>
          <w:bCs/>
        </w:rPr>
        <w:t>Sources of Public Health Authority</w:t>
      </w:r>
    </w:p>
    <w:p w14:paraId="6AF5652E" w14:textId="77777777" w:rsidR="00031DE8" w:rsidRDefault="00031DE8" w:rsidP="00031DE8">
      <w:pPr>
        <w:spacing w:line="360" w:lineRule="auto"/>
        <w:rPr>
          <w:rFonts w:asciiTheme="majorHAnsi" w:hAnsiTheme="majorHAnsi" w:cstheme="majorHAnsi"/>
        </w:rPr>
      </w:pPr>
      <w:r>
        <w:rPr>
          <w:rFonts w:asciiTheme="majorHAnsi" w:hAnsiTheme="majorHAnsi" w:cstheme="majorHAnsi"/>
        </w:rPr>
        <w:t>The authority of state, tribal, local, and territorial (STLT) public health officials and departments is both established in and constrained by several types of legal sources, including constitutions, statutes, regulations, and judicial decisions. (See Box 1) The ultimate authority for state public health action arises from the Tenth Amendment to the U.S. Constitution which grants states the powers and rights not specifically delegated to the U.S. government in the Constitution. Known as “state police power”, states (and localities through delegation) are empowered to make and enforce laws that promote the health, safety, and welfare of the public.</w:t>
      </w:r>
      <w:r>
        <w:rPr>
          <w:rStyle w:val="FootnoteReference"/>
          <w:rFonts w:asciiTheme="majorHAnsi" w:hAnsiTheme="majorHAnsi" w:cstheme="majorHAnsi"/>
        </w:rPr>
        <w:footnoteReference w:id="44"/>
      </w:r>
      <w:r>
        <w:rPr>
          <w:rFonts w:asciiTheme="majorHAnsi" w:hAnsiTheme="majorHAnsi" w:cstheme="majorHAnsi"/>
        </w:rPr>
        <w:t xml:space="preserve"> Tribal nations are sovereign entities and therefore have inherent rights of self-governance.</w:t>
      </w:r>
      <w:r>
        <w:rPr>
          <w:rStyle w:val="FootnoteReference"/>
          <w:rFonts w:asciiTheme="majorHAnsi" w:hAnsiTheme="majorHAnsi" w:cstheme="majorHAnsi"/>
        </w:rPr>
        <w:footnoteReference w:id="45"/>
      </w:r>
      <w:r>
        <w:rPr>
          <w:rFonts w:asciiTheme="majorHAnsi" w:hAnsiTheme="majorHAnsi" w:cstheme="majorHAnsi"/>
        </w:rPr>
        <w:t xml:space="preserve"> Territories are granted self-governance authorities by the U.S. Congress under the Constitution.</w:t>
      </w:r>
      <w:r>
        <w:rPr>
          <w:rStyle w:val="FootnoteReference"/>
          <w:rFonts w:asciiTheme="majorHAnsi" w:hAnsiTheme="majorHAnsi" w:cstheme="majorHAnsi"/>
        </w:rPr>
        <w:footnoteReference w:id="46"/>
      </w:r>
      <w:r>
        <w:rPr>
          <w:rFonts w:asciiTheme="majorHAnsi" w:hAnsiTheme="majorHAnsi" w:cstheme="majorHAnsi"/>
        </w:rPr>
        <w:t xml:space="preserve"> The legal authorities of STLT governments are </w:t>
      </w:r>
      <w:r>
        <w:rPr>
          <w:rFonts w:asciiTheme="majorHAnsi" w:hAnsiTheme="majorHAnsi" w:cstheme="majorHAnsi"/>
        </w:rPr>
        <w:lastRenderedPageBreak/>
        <w:t xml:space="preserve">further contained in state, tribal, and territorial constitutions. Thus, these collective legal authorities support the primary mission </w:t>
      </w:r>
      <w:r w:rsidRPr="00C1203E">
        <w:rPr>
          <w:rFonts w:asciiTheme="majorHAnsi" w:hAnsiTheme="majorHAnsi" w:cstheme="majorHAnsi"/>
          <w:noProof/>
        </w:rPr>
        <mc:AlternateContent>
          <mc:Choice Requires="wps">
            <w:drawing>
              <wp:anchor distT="45720" distB="45720" distL="114300" distR="114300" simplePos="0" relativeHeight="251667456" behindDoc="0" locked="0" layoutInCell="1" allowOverlap="1" wp14:anchorId="463C613E" wp14:editId="156B7299">
                <wp:simplePos x="0" y="0"/>
                <wp:positionH relativeFrom="margin">
                  <wp:align>right</wp:align>
                </wp:positionH>
                <wp:positionV relativeFrom="paragraph">
                  <wp:posOffset>55245</wp:posOffset>
                </wp:positionV>
                <wp:extent cx="2669540" cy="3217545"/>
                <wp:effectExtent l="0" t="0" r="16510" b="2095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3217545"/>
                        </a:xfrm>
                        <a:prstGeom prst="rect">
                          <a:avLst/>
                        </a:prstGeom>
                        <a:solidFill>
                          <a:srgbClr val="FFFFFF"/>
                        </a:solidFill>
                        <a:ln w="9525">
                          <a:solidFill>
                            <a:srgbClr val="000000"/>
                          </a:solidFill>
                          <a:miter lim="800000"/>
                          <a:headEnd/>
                          <a:tailEnd/>
                        </a:ln>
                      </wps:spPr>
                      <wps:txbx>
                        <w:txbxContent>
                          <w:p w14:paraId="10582E00" w14:textId="77777777" w:rsidR="00A318FA" w:rsidRPr="007F478E" w:rsidRDefault="00A318FA" w:rsidP="00031DE8">
                            <w:pPr>
                              <w:spacing w:after="120"/>
                              <w:ind w:left="360" w:hanging="360"/>
                              <w:jc w:val="center"/>
                              <w:rPr>
                                <w:rFonts w:ascii="Arial Nova Light" w:hAnsi="Arial Nova Light"/>
                                <w:b/>
                                <w:bCs/>
                                <w:sz w:val="20"/>
                                <w:szCs w:val="20"/>
                              </w:rPr>
                            </w:pPr>
                            <w:r w:rsidRPr="007F478E">
                              <w:rPr>
                                <w:rFonts w:ascii="Arial Nova Light" w:hAnsi="Arial Nova Light"/>
                                <w:b/>
                                <w:bCs/>
                                <w:sz w:val="20"/>
                                <w:szCs w:val="20"/>
                              </w:rPr>
                              <w:t>BOX 1: Sources of Legal Authority</w:t>
                            </w:r>
                          </w:p>
                          <w:p w14:paraId="21E969DA"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Constitutions</w:t>
                            </w:r>
                            <w:r w:rsidRPr="00C1203E">
                              <w:rPr>
                                <w:rFonts w:ascii="Arial Nova Light" w:hAnsi="Arial Nova Light" w:cstheme="majorHAnsi"/>
                                <w:sz w:val="18"/>
                                <w:szCs w:val="18"/>
                              </w:rPr>
                              <w:t xml:space="preserve"> – The U.S. Constitution, state and territorial constitutions, and tribal constitutions or similar foundational documents.</w:t>
                            </w:r>
                          </w:p>
                          <w:p w14:paraId="128E9E59"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Statutes—</w:t>
                            </w:r>
                            <w:r w:rsidRPr="00C1203E">
                              <w:rPr>
                                <w:rFonts w:ascii="Arial Nova Light" w:hAnsi="Arial Nova Light" w:cstheme="majorHAnsi"/>
                                <w:sz w:val="18"/>
                                <w:szCs w:val="18"/>
                              </w:rPr>
                              <w:t>Laws passed by legislative bodies in states, territories, and Tribal nations.</w:t>
                            </w:r>
                          </w:p>
                          <w:p w14:paraId="045D811F"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Regulations</w:t>
                            </w:r>
                            <w:r w:rsidRPr="00C1203E">
                              <w:rPr>
                                <w:rFonts w:ascii="Arial Nova Light" w:hAnsi="Arial Nova Light" w:cstheme="majorHAnsi"/>
                                <w:sz w:val="18"/>
                                <w:szCs w:val="18"/>
                              </w:rPr>
                              <w:t xml:space="preserve"> – Administrative rules adopted by states, territories, and Tribal nations to implement programs and actions authorized by statutes.</w:t>
                            </w:r>
                          </w:p>
                          <w:p w14:paraId="122F2C00"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Local Charters and Ordinances</w:t>
                            </w:r>
                            <w:r w:rsidRPr="00C1203E">
                              <w:rPr>
                                <w:rFonts w:ascii="Arial Nova Light" w:hAnsi="Arial Nova Light" w:cstheme="majorHAnsi"/>
                                <w:sz w:val="18"/>
                                <w:szCs w:val="18"/>
                              </w:rPr>
                              <w:t xml:space="preserve"> – Laws and rules adopted by local governments.</w:t>
                            </w:r>
                          </w:p>
                          <w:p w14:paraId="36B7B625" w14:textId="77777777" w:rsidR="00A318FA" w:rsidRDefault="00A318FA" w:rsidP="00031DE8">
                            <w:pPr>
                              <w:pStyle w:val="ListParagraph"/>
                              <w:numPr>
                                <w:ilvl w:val="0"/>
                                <w:numId w:val="22"/>
                              </w:numPr>
                              <w:ind w:left="360"/>
                              <w:rPr>
                                <w:rFonts w:ascii="Arial Nova Light" w:hAnsi="Arial Nova Light" w:cstheme="majorHAnsi"/>
                                <w:sz w:val="18"/>
                                <w:szCs w:val="18"/>
                              </w:rPr>
                            </w:pPr>
                            <w:r w:rsidRPr="00C1203E">
                              <w:rPr>
                                <w:rFonts w:ascii="Arial Nova Light" w:hAnsi="Arial Nova Light" w:cstheme="majorHAnsi"/>
                                <w:b/>
                                <w:bCs/>
                                <w:sz w:val="18"/>
                                <w:szCs w:val="18"/>
                              </w:rPr>
                              <w:t>Judicial Decisions</w:t>
                            </w:r>
                            <w:r w:rsidRPr="00C1203E">
                              <w:rPr>
                                <w:rFonts w:ascii="Arial Nova Light" w:hAnsi="Arial Nova Light" w:cstheme="majorHAnsi"/>
                                <w:sz w:val="18"/>
                                <w:szCs w:val="18"/>
                              </w:rPr>
                              <w:t xml:space="preserve"> – Interpretations of federal, state, and local laws and </w:t>
                            </w:r>
                            <w:r w:rsidRPr="00C20895">
                              <w:rPr>
                                <w:rFonts w:ascii="Arial Nova Light" w:hAnsi="Arial Nova Light" w:cstheme="majorHAnsi"/>
                                <w:sz w:val="18"/>
                                <w:szCs w:val="18"/>
                              </w:rPr>
                              <w:t xml:space="preserve">rules </w:t>
                            </w:r>
                            <w:r>
                              <w:rPr>
                                <w:rFonts w:ascii="Arial Nova Light" w:hAnsi="Arial Nova Light" w:cstheme="majorHAnsi"/>
                                <w:sz w:val="18"/>
                                <w:szCs w:val="18"/>
                              </w:rPr>
                              <w:t>by the courts.</w:t>
                            </w:r>
                          </w:p>
                          <w:p w14:paraId="40D3817C" w14:textId="77777777" w:rsidR="00A318FA" w:rsidRPr="00C1203E" w:rsidRDefault="00A318FA" w:rsidP="00031DE8">
                            <w:pPr>
                              <w:pStyle w:val="ListParagraph"/>
                              <w:ind w:left="360"/>
                              <w:rPr>
                                <w:rFonts w:ascii="Arial Nova Light" w:hAnsi="Arial Nova Light" w:cstheme="majorHAnsi"/>
                                <w:sz w:val="18"/>
                                <w:szCs w:val="18"/>
                              </w:rPr>
                            </w:pPr>
                          </w:p>
                          <w:p w14:paraId="0D1B35EF" w14:textId="77777777" w:rsidR="00A318FA" w:rsidRPr="00C1203E" w:rsidRDefault="00A318FA" w:rsidP="00031DE8">
                            <w:pPr>
                              <w:pStyle w:val="ListParagraph"/>
                              <w:numPr>
                                <w:ilvl w:val="0"/>
                                <w:numId w:val="22"/>
                              </w:numPr>
                              <w:ind w:left="360"/>
                              <w:rPr>
                                <w:rFonts w:ascii="Arial Nova Light" w:hAnsi="Arial Nova Light" w:cstheme="majorHAnsi"/>
                                <w:sz w:val="18"/>
                                <w:szCs w:val="18"/>
                              </w:rPr>
                            </w:pPr>
                            <w:r w:rsidRPr="00C1203E">
                              <w:rPr>
                                <w:rFonts w:ascii="Arial Nova Light" w:hAnsi="Arial Nova Light" w:cstheme="majorHAnsi"/>
                                <w:b/>
                                <w:bCs/>
                                <w:sz w:val="18"/>
                                <w:szCs w:val="18"/>
                              </w:rPr>
                              <w:t>Executive Order</w:t>
                            </w:r>
                            <w:r w:rsidRPr="00AB31A4">
                              <w:rPr>
                                <w:rFonts w:ascii="Arial Nova Light" w:hAnsi="Arial Nova Light" w:cstheme="majorHAnsi"/>
                                <w:b/>
                                <w:bCs/>
                                <w:sz w:val="18"/>
                                <w:szCs w:val="18"/>
                              </w:rPr>
                              <w:t>s—</w:t>
                            </w:r>
                            <w:r>
                              <w:rPr>
                                <w:rFonts w:ascii="Arial Nova Light" w:hAnsi="Arial Nova Light" w:cstheme="majorHAnsi"/>
                                <w:b/>
                                <w:bCs/>
                                <w:sz w:val="18"/>
                                <w:szCs w:val="18"/>
                              </w:rPr>
                              <w:t>Orders</w:t>
                            </w:r>
                            <w:r w:rsidRPr="00A254C7">
                              <w:rPr>
                                <w:rFonts w:ascii="Arial Nova Light" w:hAnsi="Arial Nova Light" w:cstheme="majorHAnsi"/>
                                <w:b/>
                                <w:bCs/>
                                <w:sz w:val="18"/>
                                <w:szCs w:val="18"/>
                              </w:rPr>
                              <w:t xml:space="preserve"> issued by </w:t>
                            </w:r>
                            <w:r>
                              <w:rPr>
                                <w:rFonts w:ascii="Arial Nova Light" w:hAnsi="Arial Nova Light" w:cstheme="majorHAnsi"/>
                                <w:b/>
                                <w:bCs/>
                                <w:sz w:val="18"/>
                                <w:szCs w:val="18"/>
                              </w:rPr>
                              <w:t>the chief executive of a government (e.g., P</w:t>
                            </w:r>
                            <w:r w:rsidRPr="00A254C7">
                              <w:rPr>
                                <w:rFonts w:ascii="Arial Nova Light" w:hAnsi="Arial Nova Light" w:cstheme="majorHAnsi"/>
                                <w:b/>
                                <w:bCs/>
                                <w:sz w:val="18"/>
                                <w:szCs w:val="18"/>
                              </w:rPr>
                              <w:t>resident</w:t>
                            </w:r>
                            <w:r>
                              <w:rPr>
                                <w:rFonts w:ascii="Arial Nova Light" w:hAnsi="Arial Nova Light" w:cstheme="majorHAnsi"/>
                                <w:b/>
                                <w:bCs/>
                                <w:sz w:val="18"/>
                                <w:szCs w:val="18"/>
                              </w:rPr>
                              <w:t xml:space="preserve">, governor) that </w:t>
                            </w:r>
                            <w:r w:rsidRPr="00A254C7">
                              <w:rPr>
                                <w:rFonts w:ascii="Arial Nova Light" w:hAnsi="Arial Nova Light" w:cstheme="majorHAnsi"/>
                                <w:b/>
                                <w:bCs/>
                                <w:sz w:val="18"/>
                                <w:szCs w:val="18"/>
                              </w:rPr>
                              <w:t>hav</w:t>
                            </w:r>
                            <w:r>
                              <w:rPr>
                                <w:rFonts w:ascii="Arial Nova Light" w:hAnsi="Arial Nova Light" w:cstheme="majorHAnsi"/>
                                <w:b/>
                                <w:bCs/>
                                <w:sz w:val="18"/>
                                <w:szCs w:val="18"/>
                              </w:rPr>
                              <w:t xml:space="preserve">e </w:t>
                            </w:r>
                            <w:r w:rsidRPr="00A254C7">
                              <w:rPr>
                                <w:rFonts w:ascii="Arial Nova Light" w:hAnsi="Arial Nova Light" w:cstheme="majorHAnsi"/>
                                <w:b/>
                                <w:bCs/>
                                <w:sz w:val="18"/>
                                <w:szCs w:val="18"/>
                              </w:rPr>
                              <w:t>the force of law.</w:t>
                            </w:r>
                          </w:p>
                          <w:p w14:paraId="67F0DB07" w14:textId="77777777" w:rsidR="00A318FA" w:rsidRPr="00C1203E" w:rsidRDefault="00A318FA" w:rsidP="00031DE8">
                            <w:pPr>
                              <w:rPr>
                                <w:rFonts w:ascii="Arial Nova Light" w:hAnsi="Arial Nova Light"/>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C613E" id="Text Box 6" o:spid="_x0000_s1030" type="#_x0000_t202" style="position:absolute;margin-left:159pt;margin-top:4.35pt;width:210.2pt;height:253.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">
                <v:textbox>
                  <w:txbxContent>
                    <w:p w14:paraId="10582E00" w14:textId="77777777" w:rsidR="00A318FA" w:rsidRPr="007F478E" w:rsidRDefault="00A318FA" w:rsidP="00031DE8">
                      <w:pPr>
                        <w:spacing w:after="120"/>
                        <w:ind w:left="360" w:hanging="360"/>
                        <w:jc w:val="center"/>
                        <w:rPr>
                          <w:rFonts w:ascii="Arial Nova Light" w:hAnsi="Arial Nova Light"/>
                          <w:b/>
                          <w:bCs/>
                          <w:sz w:val="20"/>
                          <w:szCs w:val="20"/>
                        </w:rPr>
                      </w:pPr>
                      <w:r w:rsidRPr="007F478E">
                        <w:rPr>
                          <w:rFonts w:ascii="Arial Nova Light" w:hAnsi="Arial Nova Light"/>
                          <w:b/>
                          <w:bCs/>
                          <w:sz w:val="20"/>
                          <w:szCs w:val="20"/>
                        </w:rPr>
                        <w:t>BOX 1: Sources of Legal Authority</w:t>
                      </w:r>
                    </w:p>
                    <w:p w14:paraId="21E969DA"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Constitutions</w:t>
                      </w:r>
                      <w:r w:rsidRPr="00C1203E">
                        <w:rPr>
                          <w:rFonts w:ascii="Arial Nova Light" w:hAnsi="Arial Nova Light" w:cstheme="majorHAnsi"/>
                          <w:sz w:val="18"/>
                          <w:szCs w:val="18"/>
                        </w:rPr>
                        <w:t xml:space="preserve"> – The U.S. Constitution, state and territorial constitutions, and tribal constitutions or similar foundational documents.</w:t>
                      </w:r>
                    </w:p>
                    <w:p w14:paraId="128E9E59"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Statutes—</w:t>
                      </w:r>
                      <w:r w:rsidRPr="00C1203E">
                        <w:rPr>
                          <w:rFonts w:ascii="Arial Nova Light" w:hAnsi="Arial Nova Light" w:cstheme="majorHAnsi"/>
                          <w:sz w:val="18"/>
                          <w:szCs w:val="18"/>
                        </w:rPr>
                        <w:t>Laws passed by legislative bodies in states, territories, and Tribal nations.</w:t>
                      </w:r>
                    </w:p>
                    <w:p w14:paraId="045D811F"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Regulations</w:t>
                      </w:r>
                      <w:r w:rsidRPr="00C1203E">
                        <w:rPr>
                          <w:rFonts w:ascii="Arial Nova Light" w:hAnsi="Arial Nova Light" w:cstheme="majorHAnsi"/>
                          <w:sz w:val="18"/>
                          <w:szCs w:val="18"/>
                        </w:rPr>
                        <w:t xml:space="preserve"> – Administrative rules adopted by states, territories, and Tribal nations to implement programs and actions authorized by statutes.</w:t>
                      </w:r>
                    </w:p>
                    <w:p w14:paraId="122F2C00" w14:textId="77777777" w:rsidR="00A318FA" w:rsidRPr="00C1203E" w:rsidRDefault="00A318FA" w:rsidP="00031DE8">
                      <w:pPr>
                        <w:pStyle w:val="ListParagraph"/>
                        <w:numPr>
                          <w:ilvl w:val="0"/>
                          <w:numId w:val="22"/>
                        </w:numPr>
                        <w:spacing w:after="120"/>
                        <w:ind w:left="360"/>
                        <w:contextualSpacing w:val="0"/>
                        <w:rPr>
                          <w:rFonts w:ascii="Arial Nova Light" w:hAnsi="Arial Nova Light" w:cstheme="majorHAnsi"/>
                          <w:sz w:val="18"/>
                          <w:szCs w:val="18"/>
                        </w:rPr>
                      </w:pPr>
                      <w:r w:rsidRPr="00C1203E">
                        <w:rPr>
                          <w:rFonts w:ascii="Arial Nova Light" w:hAnsi="Arial Nova Light" w:cstheme="majorHAnsi"/>
                          <w:b/>
                          <w:bCs/>
                          <w:sz w:val="18"/>
                          <w:szCs w:val="18"/>
                        </w:rPr>
                        <w:t>Local Charters and Ordinances</w:t>
                      </w:r>
                      <w:r w:rsidRPr="00C1203E">
                        <w:rPr>
                          <w:rFonts w:ascii="Arial Nova Light" w:hAnsi="Arial Nova Light" w:cstheme="majorHAnsi"/>
                          <w:sz w:val="18"/>
                          <w:szCs w:val="18"/>
                        </w:rPr>
                        <w:t xml:space="preserve"> – Laws and rules adopted by local governments.</w:t>
                      </w:r>
                    </w:p>
                    <w:p w14:paraId="36B7B625" w14:textId="77777777" w:rsidR="00A318FA" w:rsidRDefault="00A318FA" w:rsidP="00031DE8">
                      <w:pPr>
                        <w:pStyle w:val="ListParagraph"/>
                        <w:numPr>
                          <w:ilvl w:val="0"/>
                          <w:numId w:val="22"/>
                        </w:numPr>
                        <w:ind w:left="360"/>
                        <w:rPr>
                          <w:rFonts w:ascii="Arial Nova Light" w:hAnsi="Arial Nova Light" w:cstheme="majorHAnsi"/>
                          <w:sz w:val="18"/>
                          <w:szCs w:val="18"/>
                        </w:rPr>
                      </w:pPr>
                      <w:r w:rsidRPr="00C1203E">
                        <w:rPr>
                          <w:rFonts w:ascii="Arial Nova Light" w:hAnsi="Arial Nova Light" w:cstheme="majorHAnsi"/>
                          <w:b/>
                          <w:bCs/>
                          <w:sz w:val="18"/>
                          <w:szCs w:val="18"/>
                        </w:rPr>
                        <w:t>Judicial Decisions</w:t>
                      </w:r>
                      <w:r w:rsidRPr="00C1203E">
                        <w:rPr>
                          <w:rFonts w:ascii="Arial Nova Light" w:hAnsi="Arial Nova Light" w:cstheme="majorHAnsi"/>
                          <w:sz w:val="18"/>
                          <w:szCs w:val="18"/>
                        </w:rPr>
                        <w:t xml:space="preserve"> – Interpretations of federal, state, and local laws and </w:t>
                      </w:r>
                      <w:r w:rsidRPr="00C20895">
                        <w:rPr>
                          <w:rFonts w:ascii="Arial Nova Light" w:hAnsi="Arial Nova Light" w:cstheme="majorHAnsi"/>
                          <w:sz w:val="18"/>
                          <w:szCs w:val="18"/>
                        </w:rPr>
                        <w:t xml:space="preserve">rules </w:t>
                      </w:r>
                      <w:r>
                        <w:rPr>
                          <w:rFonts w:ascii="Arial Nova Light" w:hAnsi="Arial Nova Light" w:cstheme="majorHAnsi"/>
                          <w:sz w:val="18"/>
                          <w:szCs w:val="18"/>
                        </w:rPr>
                        <w:t>by the courts.</w:t>
                      </w:r>
                    </w:p>
                    <w:p w14:paraId="40D3817C" w14:textId="77777777" w:rsidR="00A318FA" w:rsidRPr="00C1203E" w:rsidRDefault="00A318FA" w:rsidP="00031DE8">
                      <w:pPr>
                        <w:pStyle w:val="ListParagraph"/>
                        <w:ind w:left="360"/>
                        <w:rPr>
                          <w:rFonts w:ascii="Arial Nova Light" w:hAnsi="Arial Nova Light" w:cstheme="majorHAnsi"/>
                          <w:sz w:val="18"/>
                          <w:szCs w:val="18"/>
                        </w:rPr>
                      </w:pPr>
                    </w:p>
                    <w:p w14:paraId="0D1B35EF" w14:textId="77777777" w:rsidR="00A318FA" w:rsidRPr="00C1203E" w:rsidRDefault="00A318FA" w:rsidP="00031DE8">
                      <w:pPr>
                        <w:pStyle w:val="ListParagraph"/>
                        <w:numPr>
                          <w:ilvl w:val="0"/>
                          <w:numId w:val="22"/>
                        </w:numPr>
                        <w:ind w:left="360"/>
                        <w:rPr>
                          <w:rFonts w:ascii="Arial Nova Light" w:hAnsi="Arial Nova Light" w:cstheme="majorHAnsi"/>
                          <w:sz w:val="18"/>
                          <w:szCs w:val="18"/>
                        </w:rPr>
                      </w:pPr>
                      <w:r w:rsidRPr="00C1203E">
                        <w:rPr>
                          <w:rFonts w:ascii="Arial Nova Light" w:hAnsi="Arial Nova Light" w:cstheme="majorHAnsi"/>
                          <w:b/>
                          <w:bCs/>
                          <w:sz w:val="18"/>
                          <w:szCs w:val="18"/>
                        </w:rPr>
                        <w:t>Executive Order</w:t>
                      </w:r>
                      <w:r w:rsidRPr="00AB31A4">
                        <w:rPr>
                          <w:rFonts w:ascii="Arial Nova Light" w:hAnsi="Arial Nova Light" w:cstheme="majorHAnsi"/>
                          <w:b/>
                          <w:bCs/>
                          <w:sz w:val="18"/>
                          <w:szCs w:val="18"/>
                        </w:rPr>
                        <w:t>s—</w:t>
                      </w:r>
                      <w:r>
                        <w:rPr>
                          <w:rFonts w:ascii="Arial Nova Light" w:hAnsi="Arial Nova Light" w:cstheme="majorHAnsi"/>
                          <w:b/>
                          <w:bCs/>
                          <w:sz w:val="18"/>
                          <w:szCs w:val="18"/>
                        </w:rPr>
                        <w:t>Orders</w:t>
                      </w:r>
                      <w:r w:rsidRPr="00A254C7">
                        <w:rPr>
                          <w:rFonts w:ascii="Arial Nova Light" w:hAnsi="Arial Nova Light" w:cstheme="majorHAnsi"/>
                          <w:b/>
                          <w:bCs/>
                          <w:sz w:val="18"/>
                          <w:szCs w:val="18"/>
                        </w:rPr>
                        <w:t xml:space="preserve"> issued by </w:t>
                      </w:r>
                      <w:r>
                        <w:rPr>
                          <w:rFonts w:ascii="Arial Nova Light" w:hAnsi="Arial Nova Light" w:cstheme="majorHAnsi"/>
                          <w:b/>
                          <w:bCs/>
                          <w:sz w:val="18"/>
                          <w:szCs w:val="18"/>
                        </w:rPr>
                        <w:t>the chief executive of a government (e.g., P</w:t>
                      </w:r>
                      <w:r w:rsidRPr="00A254C7">
                        <w:rPr>
                          <w:rFonts w:ascii="Arial Nova Light" w:hAnsi="Arial Nova Light" w:cstheme="majorHAnsi"/>
                          <w:b/>
                          <w:bCs/>
                          <w:sz w:val="18"/>
                          <w:szCs w:val="18"/>
                        </w:rPr>
                        <w:t>resident</w:t>
                      </w:r>
                      <w:r>
                        <w:rPr>
                          <w:rFonts w:ascii="Arial Nova Light" w:hAnsi="Arial Nova Light" w:cstheme="majorHAnsi"/>
                          <w:b/>
                          <w:bCs/>
                          <w:sz w:val="18"/>
                          <w:szCs w:val="18"/>
                        </w:rPr>
                        <w:t xml:space="preserve">, governor) that </w:t>
                      </w:r>
                      <w:r w:rsidRPr="00A254C7">
                        <w:rPr>
                          <w:rFonts w:ascii="Arial Nova Light" w:hAnsi="Arial Nova Light" w:cstheme="majorHAnsi"/>
                          <w:b/>
                          <w:bCs/>
                          <w:sz w:val="18"/>
                          <w:szCs w:val="18"/>
                        </w:rPr>
                        <w:t>hav</w:t>
                      </w:r>
                      <w:r>
                        <w:rPr>
                          <w:rFonts w:ascii="Arial Nova Light" w:hAnsi="Arial Nova Light" w:cstheme="majorHAnsi"/>
                          <w:b/>
                          <w:bCs/>
                          <w:sz w:val="18"/>
                          <w:szCs w:val="18"/>
                        </w:rPr>
                        <w:t xml:space="preserve">e </w:t>
                      </w:r>
                      <w:r w:rsidRPr="00A254C7">
                        <w:rPr>
                          <w:rFonts w:ascii="Arial Nova Light" w:hAnsi="Arial Nova Light" w:cstheme="majorHAnsi"/>
                          <w:b/>
                          <w:bCs/>
                          <w:sz w:val="18"/>
                          <w:szCs w:val="18"/>
                        </w:rPr>
                        <w:t>the force of law.</w:t>
                      </w:r>
                    </w:p>
                    <w:p w14:paraId="67F0DB07" w14:textId="77777777" w:rsidR="00A318FA" w:rsidRPr="00C1203E" w:rsidRDefault="00A318FA" w:rsidP="00031DE8">
                      <w:pPr>
                        <w:rPr>
                          <w:rFonts w:ascii="Arial Nova Light" w:hAnsi="Arial Nova Light"/>
                          <w:sz w:val="18"/>
                          <w:szCs w:val="18"/>
                        </w:rPr>
                      </w:pPr>
                    </w:p>
                  </w:txbxContent>
                </v:textbox>
                <w10:wrap type="square" anchorx="margin"/>
              </v:shape>
            </w:pict>
          </mc:Fallback>
        </mc:AlternateContent>
      </w:r>
      <w:r>
        <w:rPr>
          <w:rFonts w:asciiTheme="majorHAnsi" w:hAnsiTheme="majorHAnsi" w:cstheme="majorHAnsi"/>
        </w:rPr>
        <w:t xml:space="preserve">of public health agencies: to protect and promote the public’s health. </w:t>
      </w:r>
    </w:p>
    <w:p w14:paraId="63377C83" w14:textId="77777777" w:rsidR="00031DE8" w:rsidRDefault="00031DE8" w:rsidP="00031DE8">
      <w:pPr>
        <w:spacing w:line="360" w:lineRule="auto"/>
        <w:rPr>
          <w:rFonts w:asciiTheme="majorHAnsi" w:hAnsiTheme="majorHAnsi" w:cstheme="majorHAnsi"/>
        </w:rPr>
      </w:pPr>
    </w:p>
    <w:p w14:paraId="62B08F85" w14:textId="77777777" w:rsidR="00031DE8" w:rsidRDefault="00031DE8" w:rsidP="00031DE8">
      <w:pPr>
        <w:spacing w:after="120" w:line="360" w:lineRule="auto"/>
        <w:rPr>
          <w:rFonts w:asciiTheme="majorHAnsi" w:hAnsiTheme="majorHAnsi" w:cstheme="majorHAnsi"/>
        </w:rPr>
      </w:pPr>
      <w:r>
        <w:rPr>
          <w:rFonts w:asciiTheme="majorHAnsi" w:hAnsiTheme="majorHAnsi" w:cstheme="majorHAnsi"/>
        </w:rPr>
        <w:t xml:space="preserve">Although public health legal authorities are significant, they are not without limitation. The U.S. Supreme Court has established that courts will defer to the authorities granted to public health agencies through legislation but that these powers must be exercised based on persuasive public health and medical evidence, and </w:t>
      </w:r>
      <w:r w:rsidRPr="00541A31">
        <w:rPr>
          <w:rFonts w:asciiTheme="majorHAnsi" w:hAnsiTheme="majorHAnsi" w:cstheme="majorHAnsi"/>
        </w:rPr>
        <w:t xml:space="preserve">agencies cannot act in an arbitrary manner </w:t>
      </w:r>
      <w:r>
        <w:rPr>
          <w:rFonts w:asciiTheme="majorHAnsi" w:hAnsiTheme="majorHAnsi" w:cstheme="majorHAnsi"/>
        </w:rPr>
        <w:t>o</w:t>
      </w:r>
      <w:r w:rsidRPr="00541A31">
        <w:rPr>
          <w:rFonts w:asciiTheme="majorHAnsi" w:hAnsiTheme="majorHAnsi" w:cstheme="majorHAnsi"/>
        </w:rPr>
        <w:t xml:space="preserve">r </w:t>
      </w:r>
      <w:r>
        <w:rPr>
          <w:rFonts w:asciiTheme="majorHAnsi" w:hAnsiTheme="majorHAnsi" w:cstheme="majorHAnsi"/>
        </w:rPr>
        <w:t xml:space="preserve">in a way that </w:t>
      </w:r>
      <w:r w:rsidRPr="00541A31">
        <w:rPr>
          <w:rFonts w:asciiTheme="majorHAnsi" w:hAnsiTheme="majorHAnsi" w:cstheme="majorHAnsi"/>
        </w:rPr>
        <w:t>pose</w:t>
      </w:r>
      <w:r>
        <w:rPr>
          <w:rFonts w:asciiTheme="majorHAnsi" w:hAnsiTheme="majorHAnsi" w:cstheme="majorHAnsi"/>
        </w:rPr>
        <w:t>s</w:t>
      </w:r>
      <w:r w:rsidRPr="00541A31">
        <w:rPr>
          <w:rFonts w:asciiTheme="majorHAnsi" w:hAnsiTheme="majorHAnsi" w:cstheme="majorHAnsi"/>
        </w:rPr>
        <w:t xml:space="preserve"> unreasonable risk for harm</w:t>
      </w:r>
      <w:r>
        <w:rPr>
          <w:rFonts w:asciiTheme="majorHAnsi" w:hAnsiTheme="majorHAnsi" w:cstheme="majorHAnsi"/>
        </w:rPr>
        <w:t>.</w:t>
      </w:r>
      <w:r>
        <w:rPr>
          <w:rStyle w:val="FootnoteReference"/>
          <w:rFonts w:asciiTheme="majorHAnsi" w:hAnsiTheme="majorHAnsi" w:cstheme="majorHAnsi"/>
        </w:rPr>
        <w:footnoteReference w:id="47"/>
      </w:r>
    </w:p>
    <w:p w14:paraId="2A7ECAAB" w14:textId="77777777" w:rsidR="00031DE8" w:rsidRDefault="00031DE8" w:rsidP="00031DE8">
      <w:pPr>
        <w:spacing w:line="360" w:lineRule="auto"/>
        <w:rPr>
          <w:rFonts w:asciiTheme="majorHAnsi" w:hAnsiTheme="majorHAnsi" w:cstheme="majorHAnsi"/>
          <w:b/>
          <w:bCs/>
        </w:rPr>
      </w:pPr>
    </w:p>
    <w:p w14:paraId="5D31C46E" w14:textId="77777777" w:rsidR="00031DE8" w:rsidRPr="008E2026" w:rsidRDefault="00031DE8" w:rsidP="00031DE8">
      <w:pPr>
        <w:spacing w:after="120" w:line="360" w:lineRule="auto"/>
        <w:rPr>
          <w:rFonts w:ascii="Arial" w:hAnsi="Arial" w:cs="Arial"/>
          <w:b/>
          <w:bCs/>
        </w:rPr>
      </w:pPr>
      <w:r w:rsidRPr="008E2026">
        <w:rPr>
          <w:rFonts w:ascii="Arial" w:hAnsi="Arial" w:cs="Arial"/>
          <w:b/>
          <w:bCs/>
        </w:rPr>
        <w:t xml:space="preserve">Types of Legal Authorities Available to Public Health </w:t>
      </w:r>
    </w:p>
    <w:p w14:paraId="5949A6A5" w14:textId="77777777" w:rsidR="00031DE8" w:rsidRPr="00044328" w:rsidRDefault="00031DE8" w:rsidP="00031DE8">
      <w:pPr>
        <w:spacing w:line="360" w:lineRule="auto"/>
        <w:rPr>
          <w:rFonts w:asciiTheme="majorHAnsi" w:hAnsiTheme="majorHAnsi" w:cs="Arial"/>
        </w:rPr>
      </w:pPr>
      <w:r>
        <w:rPr>
          <w:rFonts w:asciiTheme="majorHAnsi" w:hAnsiTheme="majorHAnsi" w:cstheme="majorHAnsi"/>
        </w:rPr>
        <w:t xml:space="preserve">The authority of public health agencies to identify, investigate, and order mitigation of facilities colonized by </w:t>
      </w:r>
      <w:r w:rsidRPr="003B3AC8">
        <w:rPr>
          <w:rFonts w:asciiTheme="majorHAnsi" w:hAnsiTheme="majorHAnsi" w:cstheme="majorHAnsi"/>
          <w:i/>
          <w:iCs/>
        </w:rPr>
        <w:t>Legionella</w:t>
      </w:r>
      <w:r>
        <w:rPr>
          <w:rFonts w:asciiTheme="majorHAnsi" w:hAnsiTheme="majorHAnsi" w:cstheme="majorHAnsi"/>
          <w:i/>
          <w:iCs/>
        </w:rPr>
        <w:t xml:space="preserve"> </w:t>
      </w:r>
      <w:r>
        <w:rPr>
          <w:rFonts w:asciiTheme="majorHAnsi" w:hAnsiTheme="majorHAnsi" w:cstheme="majorHAnsi"/>
        </w:rPr>
        <w:t>is supported by several types of laws. Collectively, these laws simultaneously empower and constrain public health activities. These laws fall into the categories described below.</w:t>
      </w:r>
    </w:p>
    <w:p w14:paraId="798AFD5A" w14:textId="77777777" w:rsidR="00031DE8" w:rsidRPr="00F31757" w:rsidRDefault="00031DE8" w:rsidP="00031DE8">
      <w:pPr>
        <w:spacing w:after="120" w:line="360" w:lineRule="auto"/>
        <w:rPr>
          <w:rFonts w:asciiTheme="majorHAnsi" w:hAnsiTheme="majorHAnsi" w:cs="Arial"/>
        </w:rPr>
      </w:pPr>
    </w:p>
    <w:p w14:paraId="642657BC" w14:textId="77777777" w:rsidR="00031DE8" w:rsidRDefault="00031DE8" w:rsidP="00031DE8">
      <w:pPr>
        <w:spacing w:after="120" w:line="360" w:lineRule="auto"/>
        <w:rPr>
          <w:rFonts w:asciiTheme="majorHAnsi" w:hAnsiTheme="majorHAnsi" w:cs="Arial"/>
          <w:b/>
          <w:bCs/>
        </w:rPr>
      </w:pPr>
      <w:r w:rsidRPr="009D1BD3">
        <w:rPr>
          <w:rFonts w:asciiTheme="majorHAnsi" w:hAnsiTheme="majorHAnsi" w:cs="Arial"/>
          <w:b/>
          <w:bCs/>
        </w:rPr>
        <w:t>General Governmental Laws</w:t>
      </w:r>
    </w:p>
    <w:p w14:paraId="2E00B2D2" w14:textId="77777777" w:rsidR="00031DE8" w:rsidRDefault="00031DE8" w:rsidP="00031DE8">
      <w:pPr>
        <w:spacing w:line="360" w:lineRule="auto"/>
        <w:rPr>
          <w:rFonts w:asciiTheme="majorHAnsi" w:hAnsiTheme="majorHAnsi" w:cs="Arial"/>
        </w:rPr>
      </w:pPr>
      <w:r w:rsidRPr="009D1BD3">
        <w:rPr>
          <w:rFonts w:asciiTheme="majorHAnsi" w:hAnsiTheme="majorHAnsi" w:cs="Arial"/>
        </w:rPr>
        <w:t>These laws apply generally to any governmental agency. Laws such as administrative procedures or government records retention laws are examples of general governmental laws. As will be discussed in Chapter 3, freedom of information/open records and confidentiality laws are other examples of these types of laws.</w:t>
      </w:r>
      <w:r>
        <w:rPr>
          <w:rFonts w:asciiTheme="majorHAnsi" w:hAnsiTheme="majorHAnsi" w:cs="Arial"/>
        </w:rPr>
        <w:t xml:space="preserve"> These laws also establish the relationship of localities to the state and the powers granted to local governments. </w:t>
      </w:r>
    </w:p>
    <w:p w14:paraId="6BD8EEDD" w14:textId="77777777" w:rsidR="00031DE8" w:rsidRDefault="00031DE8" w:rsidP="00031DE8">
      <w:pPr>
        <w:spacing w:line="360" w:lineRule="auto"/>
        <w:rPr>
          <w:rFonts w:asciiTheme="majorHAnsi" w:hAnsiTheme="majorHAnsi" w:cs="Arial"/>
          <w:b/>
          <w:bCs/>
        </w:rPr>
      </w:pPr>
    </w:p>
    <w:p w14:paraId="7C50868C" w14:textId="77777777" w:rsidR="00031DE8" w:rsidRDefault="00031DE8" w:rsidP="00031DE8">
      <w:pPr>
        <w:keepNext/>
        <w:spacing w:after="120" w:line="360" w:lineRule="auto"/>
        <w:rPr>
          <w:rFonts w:asciiTheme="majorHAnsi" w:hAnsiTheme="majorHAnsi" w:cs="Arial"/>
          <w:b/>
          <w:bCs/>
        </w:rPr>
      </w:pPr>
      <w:r w:rsidRPr="009D1BD3">
        <w:rPr>
          <w:rFonts w:asciiTheme="majorHAnsi" w:hAnsiTheme="majorHAnsi" w:cs="Arial"/>
          <w:b/>
          <w:bCs/>
        </w:rPr>
        <w:lastRenderedPageBreak/>
        <w:t>Broad Public Health Laws</w:t>
      </w:r>
    </w:p>
    <w:p w14:paraId="3846A936" w14:textId="77777777" w:rsidR="00031DE8" w:rsidRDefault="00031DE8" w:rsidP="00031DE8">
      <w:pPr>
        <w:spacing w:line="360" w:lineRule="auto"/>
        <w:rPr>
          <w:rFonts w:asciiTheme="majorHAnsi" w:hAnsiTheme="majorHAnsi" w:cs="Arial"/>
        </w:rPr>
      </w:pPr>
      <w:r w:rsidRPr="009D1BD3">
        <w:rPr>
          <w:rFonts w:asciiTheme="majorHAnsi" w:hAnsiTheme="majorHAnsi" w:cs="Arial"/>
        </w:rPr>
        <w:t>These laws authorize public health and other agencies, as well as specific officials (e.g., state health agency director, local health officer), to take actions necessary to prevent and respond to public health threats.</w:t>
      </w:r>
      <w:r>
        <w:rPr>
          <w:rFonts w:asciiTheme="majorHAnsi" w:hAnsiTheme="majorHAnsi" w:cs="Arial"/>
        </w:rPr>
        <w:t xml:space="preserve"> </w:t>
      </w:r>
      <w:r w:rsidRPr="006305A1">
        <w:rPr>
          <w:rFonts w:asciiTheme="majorHAnsi" w:hAnsiTheme="majorHAnsi" w:cs="Arial"/>
        </w:rPr>
        <w:t xml:space="preserve">Local agencies and </w:t>
      </w:r>
      <w:r>
        <w:rPr>
          <w:rFonts w:asciiTheme="majorHAnsi" w:hAnsiTheme="majorHAnsi" w:cs="Arial"/>
        </w:rPr>
        <w:t>officials</w:t>
      </w:r>
      <w:r w:rsidRPr="006305A1">
        <w:rPr>
          <w:rFonts w:asciiTheme="majorHAnsi" w:hAnsiTheme="majorHAnsi" w:cs="Arial"/>
        </w:rPr>
        <w:t xml:space="preserve"> can be granted specific powers to protect public health in state law.</w:t>
      </w:r>
      <w:r>
        <w:rPr>
          <w:rFonts w:asciiTheme="majorHAnsi" w:hAnsiTheme="majorHAnsi" w:cs="Arial"/>
        </w:rPr>
        <w:t xml:space="preserve"> T</w:t>
      </w:r>
      <w:r w:rsidRPr="002268BE">
        <w:rPr>
          <w:rFonts w:asciiTheme="majorHAnsi" w:hAnsiTheme="majorHAnsi" w:cs="Arial"/>
        </w:rPr>
        <w:t>he</w:t>
      </w:r>
      <w:r>
        <w:rPr>
          <w:rFonts w:asciiTheme="majorHAnsi" w:hAnsiTheme="majorHAnsi" w:cs="Arial"/>
        </w:rPr>
        <w:t xml:space="preserve"> kinds and extent of local public </w:t>
      </w:r>
      <w:r w:rsidRPr="002268BE">
        <w:rPr>
          <w:rFonts w:asciiTheme="majorHAnsi" w:hAnsiTheme="majorHAnsi" w:cs="Arial"/>
        </w:rPr>
        <w:t xml:space="preserve">health authorities </w:t>
      </w:r>
      <w:r>
        <w:rPr>
          <w:rFonts w:asciiTheme="majorHAnsi" w:hAnsiTheme="majorHAnsi" w:cs="Arial"/>
        </w:rPr>
        <w:t xml:space="preserve">are also a function of the </w:t>
      </w:r>
      <w:r w:rsidRPr="002268BE">
        <w:rPr>
          <w:rFonts w:asciiTheme="majorHAnsi" w:hAnsiTheme="majorHAnsi" w:cs="Arial"/>
        </w:rPr>
        <w:t>structural relationship between the state health agency and local health agencies (i.e.,</w:t>
      </w:r>
      <w:r>
        <w:rPr>
          <w:rFonts w:asciiTheme="majorHAnsi" w:hAnsiTheme="majorHAnsi" w:cs="Arial"/>
        </w:rPr>
        <w:t xml:space="preserve"> </w:t>
      </w:r>
      <w:r w:rsidRPr="002268BE">
        <w:rPr>
          <w:rFonts w:asciiTheme="majorHAnsi" w:hAnsiTheme="majorHAnsi" w:cs="Arial"/>
        </w:rPr>
        <w:t>centralized, decentralized, shared/mixed</w:t>
      </w:r>
      <w:r>
        <w:rPr>
          <w:rStyle w:val="FootnoteReference"/>
          <w:rFonts w:asciiTheme="majorHAnsi" w:hAnsiTheme="majorHAnsi" w:cs="Arial"/>
        </w:rPr>
        <w:footnoteReference w:id="48"/>
      </w:r>
      <w:r w:rsidRPr="002268BE">
        <w:rPr>
          <w:rFonts w:asciiTheme="majorHAnsi" w:hAnsiTheme="majorHAnsi" w:cs="Arial"/>
        </w:rPr>
        <w:t xml:space="preserve">), which </w:t>
      </w:r>
      <w:r>
        <w:rPr>
          <w:rFonts w:asciiTheme="majorHAnsi" w:hAnsiTheme="majorHAnsi" w:cs="Arial"/>
        </w:rPr>
        <w:t>m</w:t>
      </w:r>
      <w:r w:rsidRPr="002268BE">
        <w:rPr>
          <w:rFonts w:asciiTheme="majorHAnsi" w:hAnsiTheme="majorHAnsi" w:cs="Arial"/>
        </w:rPr>
        <w:t>ay be defined in state law.</w:t>
      </w:r>
    </w:p>
    <w:p w14:paraId="09D65C4E" w14:textId="77777777" w:rsidR="00031DE8" w:rsidRPr="009D1BD3" w:rsidRDefault="00031DE8" w:rsidP="00031DE8">
      <w:pPr>
        <w:spacing w:line="360" w:lineRule="auto"/>
        <w:rPr>
          <w:rFonts w:asciiTheme="majorHAnsi" w:hAnsiTheme="majorHAnsi" w:cs="Arial"/>
        </w:rPr>
      </w:pPr>
    </w:p>
    <w:p w14:paraId="7F9FCE16" w14:textId="77777777" w:rsidR="00031DE8" w:rsidRDefault="00031DE8" w:rsidP="00031DE8">
      <w:pPr>
        <w:spacing w:after="120" w:line="360" w:lineRule="auto"/>
        <w:rPr>
          <w:rFonts w:asciiTheme="majorHAnsi" w:hAnsiTheme="majorHAnsi" w:cs="Arial"/>
          <w:b/>
          <w:bCs/>
        </w:rPr>
      </w:pPr>
      <w:r w:rsidRPr="009E1766">
        <w:rPr>
          <w:rFonts w:asciiTheme="majorHAnsi" w:hAnsiTheme="majorHAnsi" w:cs="Arial"/>
          <w:b/>
          <w:bCs/>
        </w:rPr>
        <w:t>Communicable Disease Laws</w:t>
      </w:r>
    </w:p>
    <w:p w14:paraId="30B21336" w14:textId="77777777" w:rsidR="00031DE8" w:rsidRPr="00625ADB" w:rsidRDefault="00031DE8" w:rsidP="00031DE8">
      <w:pPr>
        <w:spacing w:line="360" w:lineRule="auto"/>
        <w:rPr>
          <w:rFonts w:asciiTheme="majorHAnsi" w:hAnsiTheme="majorHAnsi" w:cs="Arial"/>
        </w:rPr>
      </w:pPr>
      <w:r w:rsidRPr="009E1766">
        <w:rPr>
          <w:rFonts w:asciiTheme="majorHAnsi" w:hAnsiTheme="majorHAnsi" w:cs="Arial"/>
        </w:rPr>
        <w:t xml:space="preserve">These laws define the authority of public health officials to undertake surveillance, investigation, and control measures to address communicable diseases and conditions. </w:t>
      </w:r>
      <w:r>
        <w:rPr>
          <w:rFonts w:asciiTheme="majorHAnsi" w:hAnsiTheme="majorHAnsi" w:cs="Arial"/>
        </w:rPr>
        <w:t xml:space="preserve">Public health agencies are generally given </w:t>
      </w:r>
      <w:r w:rsidRPr="00625ADB">
        <w:rPr>
          <w:rFonts w:asciiTheme="majorHAnsi" w:hAnsiTheme="majorHAnsi" w:cs="Arial"/>
        </w:rPr>
        <w:t>broad statutory authorit</w:t>
      </w:r>
      <w:r>
        <w:rPr>
          <w:rFonts w:asciiTheme="majorHAnsi" w:hAnsiTheme="majorHAnsi" w:cs="Arial"/>
        </w:rPr>
        <w:t xml:space="preserve">ies by the legislature </w:t>
      </w:r>
      <w:r w:rsidRPr="00625ADB">
        <w:rPr>
          <w:rFonts w:asciiTheme="majorHAnsi" w:hAnsiTheme="majorHAnsi" w:cs="Arial"/>
        </w:rPr>
        <w:t>to collect information and require reports of diseases, conditions</w:t>
      </w:r>
      <w:r>
        <w:rPr>
          <w:rFonts w:asciiTheme="majorHAnsi" w:hAnsiTheme="majorHAnsi" w:cs="Arial"/>
        </w:rPr>
        <w:t>,</w:t>
      </w:r>
      <w:r w:rsidRPr="00625ADB">
        <w:rPr>
          <w:rFonts w:asciiTheme="majorHAnsi" w:hAnsiTheme="majorHAnsi" w:cs="Arial"/>
        </w:rPr>
        <w:t xml:space="preserve"> and outbreaks</w:t>
      </w:r>
      <w:r>
        <w:rPr>
          <w:rFonts w:asciiTheme="majorHAnsi" w:hAnsiTheme="majorHAnsi" w:cs="Arial"/>
        </w:rPr>
        <w:t xml:space="preserve">. Legislatures also typically grant public health agencies with </w:t>
      </w:r>
      <w:r w:rsidRPr="00625ADB">
        <w:rPr>
          <w:rFonts w:asciiTheme="majorHAnsi" w:hAnsiTheme="majorHAnsi" w:cs="Arial"/>
        </w:rPr>
        <w:t xml:space="preserve">the authority to adopt regulations </w:t>
      </w:r>
      <w:r>
        <w:rPr>
          <w:rFonts w:asciiTheme="majorHAnsi" w:hAnsiTheme="majorHAnsi" w:cs="Arial"/>
        </w:rPr>
        <w:t xml:space="preserve">identifying the specific </w:t>
      </w:r>
      <w:r w:rsidRPr="00625ADB">
        <w:rPr>
          <w:rFonts w:asciiTheme="majorHAnsi" w:hAnsiTheme="majorHAnsi" w:cs="Arial"/>
        </w:rPr>
        <w:t xml:space="preserve">diseases or conditions </w:t>
      </w:r>
      <w:r>
        <w:rPr>
          <w:rFonts w:asciiTheme="majorHAnsi" w:hAnsiTheme="majorHAnsi" w:cs="Arial"/>
        </w:rPr>
        <w:t xml:space="preserve">that </w:t>
      </w:r>
      <w:r w:rsidRPr="00625ADB">
        <w:rPr>
          <w:rFonts w:asciiTheme="majorHAnsi" w:hAnsiTheme="majorHAnsi" w:cs="Arial"/>
        </w:rPr>
        <w:t xml:space="preserve">must be reported, who must report them, and how to report. </w:t>
      </w:r>
      <w:r>
        <w:rPr>
          <w:rFonts w:asciiTheme="majorHAnsi" w:hAnsiTheme="majorHAnsi" w:cs="Arial"/>
        </w:rPr>
        <w:t>As discussed in Chapter 1, l</w:t>
      </w:r>
      <w:r w:rsidRPr="00E61ABC">
        <w:rPr>
          <w:rFonts w:asciiTheme="majorHAnsi" w:hAnsiTheme="majorHAnsi" w:cs="Arial"/>
        </w:rPr>
        <w:t>egionellosis is a nationally notifiable disease as determined by CSTE</w:t>
      </w:r>
      <w:r w:rsidRPr="00E61ABC">
        <w:rPr>
          <w:rFonts w:asciiTheme="majorHAnsi" w:hAnsiTheme="majorHAnsi" w:cs="Arial"/>
          <w:vertAlign w:val="superscript"/>
        </w:rPr>
        <w:footnoteReference w:id="49"/>
      </w:r>
      <w:r w:rsidRPr="00E61ABC">
        <w:rPr>
          <w:rFonts w:asciiTheme="majorHAnsi" w:hAnsiTheme="majorHAnsi" w:cs="Arial"/>
        </w:rPr>
        <w:t xml:space="preserve"> and designated in the National Notifiable Diseases Surveillance System (NNDSS) at CDC.</w:t>
      </w:r>
      <w:r w:rsidRPr="00E61ABC">
        <w:rPr>
          <w:rFonts w:asciiTheme="majorHAnsi" w:hAnsiTheme="majorHAnsi" w:cs="Arial"/>
          <w:vertAlign w:val="superscript"/>
        </w:rPr>
        <w:footnoteReference w:id="50"/>
      </w:r>
    </w:p>
    <w:p w14:paraId="3A97C3C7" w14:textId="77777777" w:rsidR="00031DE8" w:rsidRDefault="00031DE8" w:rsidP="00031DE8">
      <w:pPr>
        <w:spacing w:line="360" w:lineRule="auto"/>
        <w:rPr>
          <w:rFonts w:asciiTheme="majorHAnsi" w:hAnsiTheme="majorHAnsi" w:cs="Arial"/>
        </w:rPr>
      </w:pPr>
    </w:p>
    <w:p w14:paraId="6B3E75DE" w14:textId="77777777" w:rsidR="00031DE8" w:rsidRDefault="00031DE8" w:rsidP="00031DE8">
      <w:pPr>
        <w:spacing w:after="120" w:line="360" w:lineRule="auto"/>
        <w:rPr>
          <w:rFonts w:asciiTheme="majorHAnsi" w:hAnsiTheme="majorHAnsi" w:cs="Arial"/>
          <w:b/>
          <w:bCs/>
        </w:rPr>
      </w:pPr>
      <w:r w:rsidRPr="009E1766">
        <w:rPr>
          <w:rFonts w:asciiTheme="majorHAnsi" w:hAnsiTheme="majorHAnsi" w:cs="Arial"/>
          <w:b/>
          <w:bCs/>
        </w:rPr>
        <w:t>Laws Governing Specific Facility and System Types</w:t>
      </w:r>
    </w:p>
    <w:p w14:paraId="563CB7EA" w14:textId="77777777" w:rsidR="00031DE8" w:rsidRPr="009E1766" w:rsidRDefault="00031DE8" w:rsidP="00031DE8">
      <w:pPr>
        <w:spacing w:line="360" w:lineRule="auto"/>
        <w:rPr>
          <w:rFonts w:asciiTheme="majorHAnsi" w:hAnsiTheme="majorHAnsi" w:cs="Arial"/>
        </w:rPr>
      </w:pPr>
      <w:r w:rsidRPr="009E1766">
        <w:rPr>
          <w:rFonts w:asciiTheme="majorHAnsi" w:hAnsiTheme="majorHAnsi" w:cs="Arial"/>
        </w:rPr>
        <w:t xml:space="preserve">These laws govern the range of facility types and systems that can be implicated in LD outbreaks. The topics include, but are not limited to building, plumbing, and HVAC; </w:t>
      </w:r>
      <w:r>
        <w:rPr>
          <w:rFonts w:asciiTheme="majorHAnsi" w:hAnsiTheme="majorHAnsi" w:cs="Arial"/>
        </w:rPr>
        <w:t xml:space="preserve">supplemental disinfection systems; </w:t>
      </w:r>
      <w:r w:rsidRPr="009E1766">
        <w:rPr>
          <w:rFonts w:asciiTheme="majorHAnsi" w:hAnsiTheme="majorHAnsi" w:cs="Arial"/>
        </w:rPr>
        <w:t>commercial and multi-unit dwellings; pools and recreational water features; hospitals and healthcare facilities</w:t>
      </w:r>
      <w:r>
        <w:rPr>
          <w:rFonts w:asciiTheme="majorHAnsi" w:hAnsiTheme="majorHAnsi" w:cs="Arial"/>
        </w:rPr>
        <w:t>; and occupational and labor</w:t>
      </w:r>
      <w:r w:rsidRPr="009E1766">
        <w:rPr>
          <w:rFonts w:asciiTheme="majorHAnsi" w:hAnsiTheme="majorHAnsi" w:cs="Arial"/>
        </w:rPr>
        <w:t>.</w:t>
      </w:r>
      <w:r>
        <w:rPr>
          <w:rFonts w:asciiTheme="majorHAnsi" w:hAnsiTheme="majorHAnsi" w:cs="Arial"/>
        </w:rPr>
        <w:t xml:space="preserve"> Responsibility for enforcing these various laws can reside in other agencies/divisions in addition to public health agencies/divisions, such as healthcare licensing, housing, </w:t>
      </w:r>
      <w:r>
        <w:rPr>
          <w:rFonts w:asciiTheme="majorHAnsi" w:hAnsiTheme="majorHAnsi" w:cs="Arial"/>
        </w:rPr>
        <w:lastRenderedPageBreak/>
        <w:t>building code enforcement, and environment. These particular types of laws are also addressed in the setting-specific modules in the toolkit.</w:t>
      </w:r>
    </w:p>
    <w:p w14:paraId="726865FE" w14:textId="77777777" w:rsidR="00031DE8" w:rsidRDefault="00031DE8" w:rsidP="00031DE8"/>
    <w:p w14:paraId="1B5BF2D2" w14:textId="77777777" w:rsidR="00031DE8" w:rsidRDefault="00031DE8">
      <w:pPr>
        <w:sectPr w:rsidR="00031DE8" w:rsidSect="000E77D6">
          <w:footnotePr>
            <w:numRestart w:val="eachSect"/>
          </w:footnotePr>
          <w:pgSz w:w="12240" w:h="15840"/>
          <w:pgMar w:top="1440" w:right="1440" w:bottom="1440" w:left="1440" w:header="720" w:footer="720" w:gutter="0"/>
          <w:cols w:space="720"/>
          <w:titlePg/>
          <w:docGrid w:linePitch="360"/>
        </w:sectPr>
      </w:pPr>
    </w:p>
    <w:p w14:paraId="7E1F2FE5" w14:textId="77777777" w:rsidR="00CE1B38" w:rsidRDefault="00CE1B38" w:rsidP="00CE1B38">
      <w:pPr>
        <w:spacing w:after="120"/>
        <w:jc w:val="center"/>
        <w:rPr>
          <w:rFonts w:ascii="Arial" w:hAnsi="Arial" w:cs="Arial"/>
          <w:b/>
          <w:bCs/>
          <w:sz w:val="24"/>
          <w:szCs w:val="24"/>
        </w:rPr>
      </w:pPr>
      <w:r>
        <w:rPr>
          <w:rFonts w:ascii="Arial" w:hAnsi="Arial" w:cs="Arial"/>
          <w:b/>
          <w:bCs/>
          <w:sz w:val="24"/>
          <w:szCs w:val="24"/>
        </w:rPr>
        <w:lastRenderedPageBreak/>
        <w:t>Chapter 3</w:t>
      </w:r>
    </w:p>
    <w:p w14:paraId="0D7D6C90" w14:textId="77777777" w:rsidR="00CE1B38" w:rsidRDefault="00CE1B38" w:rsidP="00CE1B38">
      <w:pPr>
        <w:jc w:val="center"/>
        <w:rPr>
          <w:rFonts w:ascii="Arial" w:hAnsi="Arial" w:cs="Arial"/>
          <w:b/>
          <w:bCs/>
          <w:sz w:val="24"/>
          <w:szCs w:val="24"/>
        </w:rPr>
      </w:pPr>
      <w:r>
        <w:rPr>
          <w:rFonts w:ascii="Arial" w:hAnsi="Arial" w:cs="Arial"/>
          <w:b/>
          <w:bCs/>
          <w:sz w:val="24"/>
          <w:szCs w:val="24"/>
        </w:rPr>
        <w:t>Access to Information and Confidentiality</w:t>
      </w:r>
    </w:p>
    <w:p w14:paraId="1FBA9A45" w14:textId="77777777" w:rsidR="00CE1B38" w:rsidRDefault="00CE1B38" w:rsidP="00CE1B38"/>
    <w:p w14:paraId="54BD0742" w14:textId="77777777" w:rsidR="00CE1B38" w:rsidRDefault="00CE1B38" w:rsidP="00CE1B38">
      <w:pPr>
        <w:spacing w:line="360" w:lineRule="auto"/>
        <w:rPr>
          <w:rFonts w:asciiTheme="majorHAnsi" w:hAnsiTheme="majorHAnsi" w:cstheme="majorHAnsi"/>
          <w:b/>
          <w:bCs/>
          <w:sz w:val="24"/>
          <w:szCs w:val="24"/>
        </w:rPr>
      </w:pPr>
    </w:p>
    <w:p w14:paraId="72CC3FAC" w14:textId="77777777" w:rsidR="00CE1B38" w:rsidRDefault="00CE1B38" w:rsidP="00CE1B38">
      <w:pPr>
        <w:spacing w:after="120" w:line="360" w:lineRule="auto"/>
        <w:rPr>
          <w:rFonts w:asciiTheme="majorHAnsi" w:hAnsiTheme="majorHAnsi" w:cstheme="majorHAnsi"/>
        </w:rPr>
      </w:pPr>
      <w:r>
        <w:rPr>
          <w:rFonts w:asciiTheme="majorHAnsi" w:hAnsiTheme="majorHAnsi" w:cstheme="majorHAnsi"/>
        </w:rPr>
        <w:t>Public health officials understand that the need to inform other agencies, individuals, and the public about an LD outbreak must be balanced with the privacy rights of the people and locations involved. Public health officials also need access to confidential information as part of their investigation into a suspected or confirmed LD case or outbreak. The dual issues of access to information and confidentiality are governed by federal and applicable state, tribal, local, and territorial (STLT) laws and court decisions interpreting them. But where there are uncertainties in these laws—or they are silent on an issue—public health officials must make a defensible decision that either strikes a balance between information and confidentiality or why one takes precedence over the other. This chapter addresses the following topics:</w:t>
      </w:r>
    </w:p>
    <w:p w14:paraId="20B39B61" w14:textId="77777777" w:rsidR="00CE1B38" w:rsidRDefault="00CE1B38" w:rsidP="00CE1B38">
      <w:pPr>
        <w:pStyle w:val="ListParagraph"/>
        <w:numPr>
          <w:ilvl w:val="0"/>
          <w:numId w:val="28"/>
        </w:numPr>
        <w:spacing w:line="360" w:lineRule="auto"/>
        <w:rPr>
          <w:rFonts w:asciiTheme="majorHAnsi" w:hAnsiTheme="majorHAnsi" w:cstheme="majorHAnsi"/>
        </w:rPr>
      </w:pPr>
      <w:r>
        <w:rPr>
          <w:rFonts w:asciiTheme="majorHAnsi" w:hAnsiTheme="majorHAnsi" w:cstheme="majorHAnsi"/>
        </w:rPr>
        <w:t>Balancing information disclosure with privacy</w:t>
      </w:r>
    </w:p>
    <w:p w14:paraId="255C8F50" w14:textId="77777777" w:rsidR="00CE1B38" w:rsidRDefault="00CE1B38" w:rsidP="00CE1B38">
      <w:pPr>
        <w:pStyle w:val="ListParagraph"/>
        <w:numPr>
          <w:ilvl w:val="0"/>
          <w:numId w:val="28"/>
        </w:numPr>
        <w:spacing w:after="120" w:line="360" w:lineRule="auto"/>
        <w:rPr>
          <w:rFonts w:asciiTheme="majorHAnsi" w:hAnsiTheme="majorHAnsi" w:cstheme="majorHAnsi"/>
        </w:rPr>
      </w:pPr>
      <w:r>
        <w:rPr>
          <w:rFonts w:asciiTheme="majorHAnsi" w:hAnsiTheme="majorHAnsi" w:cstheme="majorHAnsi"/>
        </w:rPr>
        <w:t>Freedom of information laws and instances in which information is protected from disclosure</w:t>
      </w:r>
    </w:p>
    <w:p w14:paraId="6AF2B6F1" w14:textId="77777777" w:rsidR="00CE1B38" w:rsidRDefault="00CE1B38" w:rsidP="00CE1B38">
      <w:pPr>
        <w:pStyle w:val="ListParagraph"/>
        <w:numPr>
          <w:ilvl w:val="0"/>
          <w:numId w:val="28"/>
        </w:numPr>
        <w:spacing w:after="120" w:line="360" w:lineRule="auto"/>
        <w:rPr>
          <w:rFonts w:asciiTheme="majorHAnsi" w:hAnsiTheme="majorHAnsi" w:cstheme="majorHAnsi"/>
        </w:rPr>
      </w:pPr>
      <w:r>
        <w:rPr>
          <w:rFonts w:asciiTheme="majorHAnsi" w:hAnsiTheme="majorHAnsi" w:cstheme="majorHAnsi"/>
        </w:rPr>
        <w:t>Circumstances under which information disclosure is permitted under freedom of information laws</w:t>
      </w:r>
    </w:p>
    <w:p w14:paraId="7C61354E" w14:textId="77777777" w:rsidR="00CE1B38" w:rsidRDefault="00CE1B38" w:rsidP="00CE1B38">
      <w:pPr>
        <w:pStyle w:val="ListParagraph"/>
        <w:numPr>
          <w:ilvl w:val="0"/>
          <w:numId w:val="28"/>
        </w:numPr>
        <w:spacing w:after="120" w:line="360" w:lineRule="auto"/>
        <w:rPr>
          <w:rFonts w:asciiTheme="majorHAnsi" w:hAnsiTheme="majorHAnsi" w:cstheme="majorHAnsi"/>
        </w:rPr>
      </w:pPr>
      <w:r>
        <w:rPr>
          <w:rFonts w:asciiTheme="majorHAnsi" w:hAnsiTheme="majorHAnsi" w:cstheme="majorHAnsi"/>
        </w:rPr>
        <w:t>Select federal and state confidentiality laws</w:t>
      </w:r>
    </w:p>
    <w:p w14:paraId="3846F7FC" w14:textId="77777777" w:rsidR="00CE1B38" w:rsidRDefault="00CE1B38" w:rsidP="00CE1B38">
      <w:pPr>
        <w:spacing w:line="360" w:lineRule="auto"/>
        <w:rPr>
          <w:rFonts w:ascii="Calibri" w:eastAsia="Calibri" w:hAnsi="Calibri" w:cs="Times New Roman"/>
        </w:rPr>
      </w:pPr>
    </w:p>
    <w:p w14:paraId="15A441C3" w14:textId="77777777" w:rsidR="00CE1B38" w:rsidRDefault="00CE1B38" w:rsidP="00CE1B38">
      <w:pPr>
        <w:spacing w:after="120" w:line="360" w:lineRule="auto"/>
        <w:rPr>
          <w:rFonts w:ascii="Arial" w:eastAsia="Times New Roman" w:hAnsi="Arial" w:cs="Arial"/>
          <w:b/>
          <w:bCs/>
        </w:rPr>
      </w:pPr>
      <w:r>
        <w:rPr>
          <w:rFonts w:ascii="Arial" w:eastAsia="Times New Roman" w:hAnsi="Arial" w:cs="Arial"/>
          <w:b/>
          <w:bCs/>
        </w:rPr>
        <w:t>Balancing Disclosure with Privacy</w:t>
      </w:r>
    </w:p>
    <w:p w14:paraId="597B86B1" w14:textId="566CE49E" w:rsidR="00CE1B38" w:rsidRDefault="00CE1B38" w:rsidP="00CE1B38">
      <w:pPr>
        <w:spacing w:line="360" w:lineRule="auto"/>
        <w:rPr>
          <w:rFonts w:ascii="Calibri Light" w:eastAsia="Times New Roman" w:hAnsi="Calibri Light" w:cs="Calibri Light"/>
        </w:rPr>
      </w:pPr>
      <w:r>
        <w:rPr>
          <w:noProof/>
        </w:rPr>
        <mc:AlternateContent>
          <mc:Choice Requires="wps">
            <w:drawing>
              <wp:anchor distT="45720" distB="45720" distL="114300" distR="114300" simplePos="0" relativeHeight="251676672" behindDoc="0" locked="0" layoutInCell="1" allowOverlap="1" wp14:anchorId="06D55A33" wp14:editId="70B7CE29">
                <wp:simplePos x="0" y="0"/>
                <wp:positionH relativeFrom="margin">
                  <wp:align>right</wp:align>
                </wp:positionH>
                <wp:positionV relativeFrom="paragraph">
                  <wp:posOffset>1596390</wp:posOffset>
                </wp:positionV>
                <wp:extent cx="2889250" cy="1183640"/>
                <wp:effectExtent l="0" t="0" r="25400" b="1651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1183640"/>
                        </a:xfrm>
                        <a:prstGeom prst="rect">
                          <a:avLst/>
                        </a:prstGeom>
                        <a:solidFill>
                          <a:srgbClr val="FFFFFF"/>
                        </a:solidFill>
                        <a:ln w="9525">
                          <a:solidFill>
                            <a:srgbClr val="000000"/>
                          </a:solidFill>
                          <a:miter lim="800000"/>
                          <a:headEnd/>
                          <a:tailEnd/>
                        </a:ln>
                      </wps:spPr>
                      <wps:txbx>
                        <w:txbxContent>
                          <w:p w14:paraId="207AF4EE" w14:textId="77777777" w:rsidR="00A318FA" w:rsidRDefault="00A318FA" w:rsidP="00CE1B38">
                            <w:pPr>
                              <w:rPr>
                                <w:rFonts w:ascii="Arial" w:hAnsi="Arial" w:cs="Arial"/>
                                <w:b/>
                                <w:bCs/>
                                <w:sz w:val="18"/>
                                <w:szCs w:val="18"/>
                              </w:rPr>
                            </w:pPr>
                            <w:r>
                              <w:rPr>
                                <w:rFonts w:ascii="Arial" w:hAnsi="Arial" w:cs="Arial"/>
                                <w:b/>
                                <w:bCs/>
                                <w:sz w:val="18"/>
                                <w:szCs w:val="18"/>
                              </w:rPr>
                              <w:t>Please Note:</w:t>
                            </w:r>
                            <w:r>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Pr>
                                <w:rFonts w:ascii="Arial" w:hAnsi="Arial" w:cs="Arial"/>
                                <w:b/>
                                <w:bCs/>
                                <w:i/>
                                <w:iCs/>
                                <w:sz w:val="18"/>
                                <w:szCs w:val="18"/>
                              </w:rPr>
                              <w:t>Information about laws and legal theories discussed in this section and the toolkit are for information only and are not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55A33" id="Text Box 12" o:spid="_x0000_s1031" type="#_x0000_t202" style="position:absolute;margin-left:176.3pt;margin-top:125.7pt;width:227.5pt;height:93.2pt;z-index:2516766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">
                <v:textbox>
                  <w:txbxContent>
                    <w:p w14:paraId="207AF4EE" w14:textId="77777777" w:rsidR="00A318FA" w:rsidRDefault="00A318FA" w:rsidP="00CE1B38">
                      <w:pPr>
                        <w:rPr>
                          <w:rFonts w:ascii="Arial" w:hAnsi="Arial" w:cs="Arial"/>
                          <w:b/>
                          <w:bCs/>
                          <w:sz w:val="18"/>
                          <w:szCs w:val="18"/>
                        </w:rPr>
                      </w:pPr>
                      <w:r>
                        <w:rPr>
                          <w:rFonts w:ascii="Arial" w:hAnsi="Arial" w:cs="Arial"/>
                          <w:b/>
                          <w:bCs/>
                          <w:sz w:val="18"/>
                          <w:szCs w:val="18"/>
                        </w:rPr>
                        <w:t>Please Note:</w:t>
                      </w:r>
                      <w:r>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 </w:t>
                      </w:r>
                      <w:r>
                        <w:rPr>
                          <w:rFonts w:ascii="Arial" w:hAnsi="Arial"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Pr>
          <w:rFonts w:ascii="Calibri Light" w:eastAsia="Times New Roman" w:hAnsi="Calibri Light" w:cs="Calibri Light"/>
        </w:rPr>
        <w:t xml:space="preserve">The Chapter 2 discussed the legal authorities of public health officials to undertake key public health functions, such as conducting investigations, accessing records, and collecting samples. However, health officials are also required to comply with federal and state laws that dictate what types of information can be made public and what must be kept confidential. During a suspected or confirmed LD outbreak, public health officials must decide what information to share with the public and when to share it. This can be especially difficult if it is early in the investigation and the available information is incomplete or preliminary. </w:t>
      </w:r>
      <w:r>
        <w:rPr>
          <w:rFonts w:asciiTheme="majorHAnsi" w:eastAsia="Times New Roman" w:hAnsiTheme="majorHAnsi" w:cstheme="majorHAnsi"/>
        </w:rPr>
        <w:t>Thus, meeting the competing legal requirements of protecting an individual’s or facility’s private information while also furthering the equally compelling legal mandates to protect public health and be transparent with public information is a challenging balancing act.</w:t>
      </w:r>
    </w:p>
    <w:p w14:paraId="72EB1E9F" w14:textId="77777777" w:rsidR="00CE1B38" w:rsidRDefault="00CE1B38" w:rsidP="00CE1B38">
      <w:pPr>
        <w:spacing w:line="360" w:lineRule="auto"/>
        <w:rPr>
          <w:rFonts w:asciiTheme="majorHAnsi" w:eastAsia="Times New Roman" w:hAnsiTheme="majorHAnsi" w:cstheme="majorHAnsi"/>
        </w:rPr>
      </w:pPr>
      <w:r>
        <w:rPr>
          <w:rFonts w:ascii="Calibri Light" w:eastAsia="Times New Roman" w:hAnsi="Calibri Light" w:cs="Calibri Light"/>
        </w:rPr>
        <w:lastRenderedPageBreak/>
        <w:t xml:space="preserve">Given that LD outbreaks can become high profile events, public health agencies typically face requests from media, the public, and affected individuals and businesses to answer questions and release information as soon as possible. Individuals and organizations involved in an LD outbreak—or those possessing information relevant to an LD outbreak—may raise real or perceived concerns about breaching confidentiality by providing information to a health agency. </w:t>
      </w:r>
      <w:r>
        <w:rPr>
          <w:rFonts w:asciiTheme="majorHAnsi" w:eastAsia="Times New Roman" w:hAnsiTheme="majorHAnsi" w:cstheme="majorHAnsi"/>
        </w:rPr>
        <w:t xml:space="preserve">In addition to observing their legal obligations, public health officials are also the responsibility to ensure the public’s overall trust in how a public health agency handles confidential and sensitive information while informing the public about health threats to the community. </w:t>
      </w:r>
    </w:p>
    <w:p w14:paraId="4102B04C" w14:textId="77777777" w:rsidR="00CE1B38" w:rsidRDefault="00CE1B38" w:rsidP="00CE1B38">
      <w:pPr>
        <w:spacing w:line="360" w:lineRule="auto"/>
        <w:rPr>
          <w:rFonts w:ascii="Calibri Light" w:eastAsia="Times New Roman" w:hAnsi="Calibri Light" w:cs="Calibri Light"/>
        </w:rPr>
      </w:pPr>
    </w:p>
    <w:p w14:paraId="1F323B3D" w14:textId="77777777" w:rsidR="00CE1B38" w:rsidRDefault="00CE1B38" w:rsidP="00CE1B38">
      <w:pPr>
        <w:spacing w:line="360" w:lineRule="auto"/>
        <w:rPr>
          <w:rFonts w:asciiTheme="majorHAnsi" w:eastAsia="Times New Roman" w:hAnsiTheme="majorHAnsi" w:cstheme="majorHAnsi"/>
        </w:rPr>
      </w:pPr>
      <w:r>
        <w:rPr>
          <w:rFonts w:asciiTheme="majorHAnsi" w:eastAsia="Times New Roman" w:hAnsiTheme="majorHAnsi" w:cstheme="majorHAnsi"/>
        </w:rPr>
        <w:t>Public health officials must also determine what information can or should be shared with other parties in the process of investigating and controlling an LD outbreak. These other parties can range from government agencies, law enforcement, healthcare providers, exposed or potentially affected individuals and businesses, media, and the general public. While some jurisdictions may have laws or regulations that require them to share information as part of the investigation and mitigation process, other jurisdictions may be able to achieve this by relying on their general authority to protect the public’s health.</w:t>
      </w:r>
      <w:r>
        <w:rPr>
          <w:rFonts w:ascii="Calibri" w:eastAsia="Times New Roman" w:hAnsi="Calibri" w:cs="Calibri"/>
        </w:rPr>
        <w:t xml:space="preserve"> </w:t>
      </w:r>
      <w:r>
        <w:rPr>
          <w:rFonts w:asciiTheme="majorHAnsi" w:eastAsia="Times New Roman" w:hAnsiTheme="majorHAnsi" w:cstheme="majorHAnsi"/>
        </w:rPr>
        <w:t xml:space="preserve"> </w:t>
      </w:r>
    </w:p>
    <w:p w14:paraId="65174EA7" w14:textId="77777777" w:rsidR="00CE1B38" w:rsidRDefault="00CE1B38" w:rsidP="00CE1B38">
      <w:pPr>
        <w:spacing w:line="360" w:lineRule="auto"/>
        <w:rPr>
          <w:rFonts w:asciiTheme="majorHAnsi" w:eastAsia="Times New Roman" w:hAnsiTheme="majorHAnsi" w:cstheme="majorHAnsi"/>
        </w:rPr>
      </w:pPr>
    </w:p>
    <w:p w14:paraId="4A313F0C" w14:textId="77777777" w:rsidR="00CE1B38" w:rsidRDefault="00CE1B38" w:rsidP="00CE1B38">
      <w:pPr>
        <w:spacing w:line="360" w:lineRule="auto"/>
        <w:rPr>
          <w:rFonts w:asciiTheme="majorHAnsi" w:eastAsia="Times New Roman" w:hAnsiTheme="majorHAnsi" w:cstheme="majorHAnsi"/>
        </w:rPr>
      </w:pPr>
      <w:r>
        <w:rPr>
          <w:rFonts w:asciiTheme="majorHAnsi" w:eastAsia="Times New Roman" w:hAnsiTheme="majorHAnsi" w:cstheme="majorHAnsi"/>
        </w:rPr>
        <w:t>Where a public health official is uncertain about how to achieve the balance of disclosure and privacy, they should consult with their legal counsel to identify the legal parameters affecting the disclosure decision. (See Box 1 “Practice Tips” for areas to discuss with legal counsel and to develop guidelines for privacy and disclosure based on the law a particular jurisdiction.)</w:t>
      </w:r>
    </w:p>
    <w:p w14:paraId="5E4C9C27" w14:textId="77777777" w:rsidR="00CE1B38" w:rsidRDefault="00CE1B38" w:rsidP="00CE1B38">
      <w:pPr>
        <w:spacing w:line="360" w:lineRule="auto"/>
        <w:rPr>
          <w:rFonts w:ascii="Calibri" w:eastAsia="Calibri" w:hAnsi="Calibri" w:cs="Times New Roman"/>
        </w:rPr>
      </w:pPr>
    </w:p>
    <w:p w14:paraId="3C0F7A7B" w14:textId="77777777" w:rsidR="00CE1B38" w:rsidRDefault="00CE1B38" w:rsidP="00CE1B38">
      <w:pPr>
        <w:spacing w:after="120" w:line="360" w:lineRule="auto"/>
        <w:rPr>
          <w:rFonts w:ascii="Arial" w:eastAsia="Times New Roman" w:hAnsi="Arial" w:cs="Arial"/>
          <w:b/>
          <w:bCs/>
        </w:rPr>
      </w:pPr>
      <w:r>
        <w:rPr>
          <w:rFonts w:ascii="Arial" w:eastAsia="Calibri" w:hAnsi="Arial" w:cs="Arial"/>
          <w:b/>
          <w:bCs/>
        </w:rPr>
        <w:t>Freedom of Information/Open Records Requirements</w:t>
      </w:r>
    </w:p>
    <w:p w14:paraId="38DA9341" w14:textId="77777777" w:rsidR="00CE1B38" w:rsidRDefault="00CE1B38" w:rsidP="00CE1B38">
      <w:pPr>
        <w:spacing w:line="360" w:lineRule="auto"/>
        <w:rPr>
          <w:rFonts w:ascii="Calibri Light" w:eastAsia="Times New Roman" w:hAnsi="Calibri Light" w:cs="Calibri Light"/>
        </w:rPr>
      </w:pPr>
      <w:r>
        <w:rPr>
          <w:rFonts w:ascii="Calibri Light" w:eastAsia="Times New Roman" w:hAnsi="Calibri Light" w:cs="Calibri Light"/>
        </w:rPr>
        <w:t>Each state has its own freedom of information (FOI) and/or open records laws that govern the kinds of information held by a governmental agency that officials are allowed to release or required to release upon a request from the public.</w:t>
      </w:r>
      <w:r>
        <w:rPr>
          <w:rFonts w:ascii="Calibri Light" w:eastAsia="Times New Roman" w:hAnsi="Calibri Light" w:cs="Calibri Light"/>
          <w:vertAlign w:val="superscript"/>
        </w:rPr>
        <w:t xml:space="preserve"> </w:t>
      </w:r>
      <w:r>
        <w:rPr>
          <w:rFonts w:ascii="Calibri Light" w:eastAsia="Times New Roman" w:hAnsi="Calibri Light" w:cs="Calibri Light"/>
          <w:vertAlign w:val="superscript"/>
        </w:rPr>
        <w:footnoteReference w:id="51"/>
      </w:r>
      <w:r>
        <w:rPr>
          <w:rFonts w:ascii="Calibri Light" w:eastAsia="Times New Roman" w:hAnsi="Calibri Light" w:cs="Calibri Light"/>
        </w:rPr>
        <w:t xml:space="preserve"> The federal Freedom of Information Act (FOIA)</w:t>
      </w:r>
      <w:r>
        <w:rPr>
          <w:rFonts w:ascii="Calibri Light" w:eastAsia="Times New Roman" w:hAnsi="Calibri Light" w:cs="Calibri Light"/>
          <w:vertAlign w:val="superscript"/>
        </w:rPr>
        <w:footnoteReference w:id="52"/>
      </w:r>
      <w:r>
        <w:rPr>
          <w:rFonts w:ascii="Calibri Light" w:eastAsia="Times New Roman" w:hAnsi="Calibri Light" w:cs="Calibri Light"/>
        </w:rPr>
        <w:t xml:space="preserve"> governs the release of </w:t>
      </w:r>
      <w:r>
        <w:rPr>
          <w:rFonts w:ascii="Calibri Light" w:eastAsia="Times New Roman" w:hAnsi="Calibri Light" w:cs="Calibri Light"/>
        </w:rPr>
        <w:lastRenderedPageBreak/>
        <w:t>information by federal agencies.</w:t>
      </w:r>
      <w:r>
        <w:rPr>
          <w:rFonts w:ascii="Calibri Light" w:eastAsia="Times New Roman" w:hAnsi="Calibri Light" w:cs="Calibri Light"/>
          <w:vertAlign w:val="superscript"/>
        </w:rPr>
        <w:footnoteReference w:id="53"/>
      </w:r>
      <w:r>
        <w:rPr>
          <w:rFonts w:ascii="Calibri Light" w:eastAsia="Times New Roman" w:hAnsi="Calibri Light" w:cs="Calibri Light"/>
        </w:rPr>
        <w:t xml:space="preserve"> While the states are not bound by FOIA, the federal law’s scope, exceptions, and administrative and judicial interpretations of its parameters have informed states’ laws or are explicitly referenced in some states’ laws.</w:t>
      </w:r>
      <w:r>
        <w:rPr>
          <w:rFonts w:ascii="Calibri Light" w:eastAsia="Times New Roman" w:hAnsi="Calibri Light" w:cs="Calibri Light"/>
          <w:vertAlign w:val="superscript"/>
        </w:rPr>
        <w:footnoteReference w:id="54"/>
      </w:r>
      <w:r>
        <w:rPr>
          <w:rFonts w:ascii="Calibri Light" w:eastAsia="Times New Roman" w:hAnsi="Calibri Light" w:cs="Calibri Light"/>
        </w:rPr>
        <w:t xml:space="preserve"> FOI/open records laws require public agencies to release the information requested unless the information falls into a specific exception stated in the law or in another statute (e.g., regulation of health providers/facilities, hotels, pools, etc.). Generally, if an exception applies, the agency must identify the exception supporting the redaction of specific information or in denying a request for documents outright. </w:t>
      </w:r>
    </w:p>
    <w:p w14:paraId="345004E6" w14:textId="77777777" w:rsidR="00CE1B38" w:rsidRDefault="00CE1B38" w:rsidP="00CE1B38">
      <w:pPr>
        <w:spacing w:line="360" w:lineRule="auto"/>
        <w:rPr>
          <w:rFonts w:ascii="Calibri Light" w:eastAsia="Times New Roman" w:hAnsi="Calibri Light" w:cs="Calibri Light"/>
        </w:rPr>
      </w:pPr>
    </w:p>
    <w:p w14:paraId="7CD8AEB0" w14:textId="77777777" w:rsidR="00CE1B38" w:rsidRDefault="00CE1B38" w:rsidP="00CE1B38">
      <w:pPr>
        <w:spacing w:line="360" w:lineRule="auto"/>
        <w:rPr>
          <w:rFonts w:ascii="Calibri Light" w:eastAsia="Times New Roman" w:hAnsi="Calibri Light" w:cs="Calibri Light"/>
          <w:b/>
          <w:bCs/>
        </w:rPr>
      </w:pPr>
      <w:r>
        <w:rPr>
          <w:rFonts w:ascii="Calibri Light" w:eastAsia="Times New Roman" w:hAnsi="Calibri Light" w:cs="Calibri Light"/>
          <w:b/>
          <w:bCs/>
        </w:rPr>
        <w:t>Exceptions to FOI/Open Records Requirements</w:t>
      </w:r>
    </w:p>
    <w:p w14:paraId="1FB28C8D" w14:textId="77777777" w:rsidR="00CE1B38" w:rsidRDefault="00CE1B38" w:rsidP="00CE1B38">
      <w:pPr>
        <w:spacing w:after="120" w:line="360" w:lineRule="auto"/>
        <w:rPr>
          <w:rFonts w:ascii="Calibri Light" w:eastAsia="Times New Roman" w:hAnsi="Calibri Light" w:cs="Calibri Light"/>
        </w:rPr>
      </w:pPr>
      <w:r>
        <w:rPr>
          <w:rFonts w:ascii="Calibri Light" w:eastAsia="Times New Roman" w:hAnsi="Calibri Light" w:cs="Calibri Light"/>
        </w:rPr>
        <w:t>The FOI/open records exceptions most relevant to public health agencies fall into several categories. (</w:t>
      </w:r>
      <w:r>
        <w:rPr>
          <w:rFonts w:ascii="Calibri Light" w:eastAsia="Times New Roman" w:hAnsi="Calibri Light" w:cs="Calibri Light"/>
          <w:b/>
          <w:bCs/>
        </w:rPr>
        <w:t>Note that each jurisdiction’s exceptions will vary and may be different than described here. Check with agency legal counsel in the jurisdiction.</w:t>
      </w:r>
      <w:r>
        <w:rPr>
          <w:rFonts w:ascii="Calibri Light" w:eastAsia="Times New Roman" w:hAnsi="Calibri Light" w:cs="Calibri Light"/>
        </w:rPr>
        <w:t xml:space="preserve"> Also note that there are multiple exceptions to state FOI/open records law in addition to those identified below.) Ultimately, the exceptions allowed and the extent to which disclosure is limited in a specific jurisdiction depends on its laws and any court decision interpreting the jurisdiction’s laws. </w:t>
      </w:r>
    </w:p>
    <w:p w14:paraId="1FC6C562" w14:textId="77777777" w:rsidR="00CE1B38" w:rsidRDefault="00CE1B38" w:rsidP="00CE1B38">
      <w:pPr>
        <w:numPr>
          <w:ilvl w:val="0"/>
          <w:numId w:val="29"/>
        </w:numPr>
        <w:spacing w:after="120" w:line="360" w:lineRule="auto"/>
        <w:rPr>
          <w:rFonts w:ascii="Calibri Light" w:eastAsia="Times New Roman" w:hAnsi="Calibri Light" w:cs="Calibri Light"/>
        </w:rPr>
      </w:pPr>
      <w:proofErr w:type="gramStart"/>
      <w:r>
        <w:rPr>
          <w:rFonts w:ascii="Calibri Light" w:eastAsia="Times New Roman" w:hAnsi="Calibri Light" w:cs="Calibri Light"/>
          <w:b/>
          <w:bCs/>
        </w:rPr>
        <w:t>Personally</w:t>
      </w:r>
      <w:proofErr w:type="gramEnd"/>
      <w:r>
        <w:rPr>
          <w:rFonts w:ascii="Calibri Light" w:eastAsia="Times New Roman" w:hAnsi="Calibri Light" w:cs="Calibri Light"/>
          <w:b/>
          <w:bCs/>
        </w:rPr>
        <w:t xml:space="preserve"> identifying information—</w:t>
      </w:r>
      <w:r>
        <w:rPr>
          <w:rFonts w:ascii="Calibri Light" w:eastAsia="Times New Roman" w:hAnsi="Calibri Light" w:cs="Calibri Light"/>
        </w:rPr>
        <w:t>Outside of medical and other specific contexts defined by state statute (e.g., education records, human services, public safety), records that contain personally identifiable information (PII) may or may not be</w:t>
      </w:r>
      <w:r>
        <w:rPr>
          <w:rFonts w:ascii="Calibri Light" w:eastAsia="Times New Roman" w:hAnsi="Calibri Light" w:cs="Calibri Light"/>
          <w:b/>
          <w:bCs/>
        </w:rPr>
        <w:t xml:space="preserve"> </w:t>
      </w:r>
      <w:r>
        <w:rPr>
          <w:rFonts w:ascii="Calibri Light" w:eastAsia="Times New Roman" w:hAnsi="Calibri Light" w:cs="Calibri Light"/>
        </w:rPr>
        <w:t>considered confidential information either within FOI/open records laws or in another statute.</w:t>
      </w:r>
      <w:r>
        <w:rPr>
          <w:rFonts w:ascii="Calibri Light" w:eastAsia="Times New Roman" w:hAnsi="Calibri Light" w:cs="Calibri Light"/>
          <w:vertAlign w:val="superscript"/>
        </w:rPr>
        <w:t xml:space="preserve"> </w:t>
      </w:r>
      <w:r>
        <w:rPr>
          <w:rFonts w:ascii="Calibri Light" w:eastAsia="Times New Roman" w:hAnsi="Calibri Light" w:cs="Calibri Light"/>
          <w:vertAlign w:val="superscript"/>
        </w:rPr>
        <w:footnoteReference w:id="55"/>
      </w:r>
      <w:r>
        <w:rPr>
          <w:rFonts w:ascii="Calibri Light" w:eastAsia="Times New Roman" w:hAnsi="Calibri Light" w:cs="Calibri Light"/>
        </w:rPr>
        <w:t xml:space="preserve"> If disclosure is not expressly prohibited in these laws, then it may be possible to release PII unless the information is of such a private nature that an individual’s privacy interest outweighs the public’s right to know. The exception for PII is generally </w:t>
      </w:r>
      <w:r>
        <w:rPr>
          <w:rFonts w:ascii="Calibri Light" w:eastAsia="Times New Roman" w:hAnsi="Calibri Light" w:cs="Calibri Light"/>
        </w:rPr>
        <w:lastRenderedPageBreak/>
        <w:t>limited to people and does not apply to corporations or organizations</w:t>
      </w:r>
      <w:r>
        <w:rPr>
          <w:rFonts w:ascii="Calibri Light" w:eastAsia="Times New Roman" w:hAnsi="Calibri Light" w:cs="Calibri Light"/>
          <w:vertAlign w:val="superscript"/>
        </w:rPr>
        <w:footnoteReference w:id="56"/>
      </w:r>
      <w:r>
        <w:rPr>
          <w:rFonts w:ascii="Calibri Light" w:eastAsia="Times New Roman" w:hAnsi="Calibri Light" w:cs="Calibri Light"/>
        </w:rPr>
        <w:t xml:space="preserve">, but this may vary in a specific jurisdiction. </w:t>
      </w:r>
    </w:p>
    <w:p w14:paraId="278EF102" w14:textId="77777777" w:rsidR="00CE1B38" w:rsidRDefault="00CE1B38" w:rsidP="00CE1B38">
      <w:pPr>
        <w:numPr>
          <w:ilvl w:val="0"/>
          <w:numId w:val="29"/>
        </w:numPr>
        <w:spacing w:after="120" w:line="360" w:lineRule="auto"/>
        <w:rPr>
          <w:rFonts w:ascii="Calibri Light" w:eastAsia="Times New Roman" w:hAnsi="Calibri Light" w:cs="Calibri Light"/>
        </w:rPr>
      </w:pPr>
      <w:r>
        <w:rPr>
          <w:rFonts w:ascii="Calibri Light" w:eastAsia="Times New Roman" w:hAnsi="Calibri Light" w:cs="Calibri Light"/>
          <w:b/>
          <w:bCs/>
        </w:rPr>
        <w:t>Medical records—</w:t>
      </w:r>
      <w:r>
        <w:rPr>
          <w:rFonts w:ascii="Calibri Light" w:eastAsia="Times New Roman" w:hAnsi="Calibri Light" w:cs="Calibri Light"/>
        </w:rPr>
        <w:t>Patient medical records possessed by state or local health agencies, as well as records created or maintained by healthcare facilities or providers related to admission, treatment, payment information, and discharge are generally excluded from release.</w:t>
      </w:r>
      <w:r>
        <w:rPr>
          <w:rFonts w:ascii="Calibri Light" w:eastAsia="Times New Roman" w:hAnsi="Calibri Light" w:cs="Calibri Light"/>
          <w:vertAlign w:val="superscript"/>
        </w:rPr>
        <w:t xml:space="preserve"> </w:t>
      </w:r>
      <w:r>
        <w:rPr>
          <w:rFonts w:ascii="Calibri Light" w:eastAsia="Times New Roman" w:hAnsi="Calibri Light" w:cs="Calibri Light"/>
          <w:vertAlign w:val="superscript"/>
        </w:rPr>
        <w:footnoteReference w:id="57"/>
      </w:r>
      <w:r>
        <w:rPr>
          <w:rFonts w:ascii="Calibri Light" w:eastAsia="Times New Roman" w:hAnsi="Calibri Light" w:cs="Calibri Light"/>
        </w:rPr>
        <w:t xml:space="preserve"> Medical records may be released if written consent is given by the patient or guardian. These records may also be released if identifying information can be redacted. In redacting information, other PII contained in a record beyond name and address may also need to be removed if the remaining information can be used alone or in conjunction with other information to identify a person.</w:t>
      </w:r>
    </w:p>
    <w:p w14:paraId="31C09A3E" w14:textId="77777777" w:rsidR="00CE1B38" w:rsidRDefault="00CE1B38" w:rsidP="00CE1B38">
      <w:pPr>
        <w:numPr>
          <w:ilvl w:val="0"/>
          <w:numId w:val="29"/>
        </w:numPr>
        <w:spacing w:after="120" w:line="360" w:lineRule="auto"/>
        <w:rPr>
          <w:rFonts w:ascii="Calibri Light" w:eastAsia="Times New Roman" w:hAnsi="Calibri Light" w:cs="Calibri Light"/>
        </w:rPr>
      </w:pPr>
      <w:r>
        <w:rPr>
          <w:rFonts w:ascii="Calibri Light" w:eastAsia="Times New Roman" w:hAnsi="Calibri Light" w:cs="Calibri Light"/>
          <w:b/>
          <w:bCs/>
        </w:rPr>
        <w:t>Infectious disease and health epidemics—</w:t>
      </w:r>
      <w:r>
        <w:rPr>
          <w:rFonts w:ascii="Calibri Light" w:eastAsia="Times New Roman" w:hAnsi="Calibri Light" w:cs="Calibri Light"/>
        </w:rPr>
        <w:t>FOI/open records statutes can exclude information from disclosure that could identify persons with specified infectious diseases (e.g., HIV, AIDS, tuberculosis) and/or with infectious diseases generally.</w:t>
      </w:r>
      <w:r>
        <w:rPr>
          <w:rFonts w:ascii="Calibri Light" w:eastAsia="Times New Roman" w:hAnsi="Calibri Light" w:cs="Calibri Light"/>
          <w:vertAlign w:val="superscript"/>
        </w:rPr>
        <w:footnoteReference w:id="58"/>
      </w:r>
      <w:r>
        <w:rPr>
          <w:rFonts w:ascii="Calibri Light" w:eastAsia="Times New Roman" w:hAnsi="Calibri Light" w:cs="Calibri Light"/>
        </w:rPr>
        <w:t xml:space="preserve"> Some jurisdictions authorize health agencies to release specified information about a case or outbreak to inform the public about a risk to public health. However, many jurisdictions do not have a clear or comprehensive statutory framework that addresses public health disclosures and privacy considerations.</w:t>
      </w:r>
      <w:r>
        <w:rPr>
          <w:rFonts w:ascii="Calibri Light" w:eastAsia="Times New Roman" w:hAnsi="Calibri Light" w:cs="Calibri Light"/>
          <w:vertAlign w:val="superscript"/>
        </w:rPr>
        <w:footnoteReference w:id="59"/>
      </w:r>
      <w:r>
        <w:rPr>
          <w:rFonts w:ascii="Calibri Light" w:eastAsia="Times New Roman" w:hAnsi="Calibri Light" w:cs="Calibri Light"/>
        </w:rPr>
        <w:t xml:space="preserve">  </w:t>
      </w:r>
    </w:p>
    <w:p w14:paraId="44E9FF0F" w14:textId="77777777" w:rsidR="00CE1B38" w:rsidRDefault="00CE1B38" w:rsidP="00CE1B38">
      <w:pPr>
        <w:numPr>
          <w:ilvl w:val="0"/>
          <w:numId w:val="29"/>
        </w:numPr>
        <w:spacing w:after="120" w:line="360" w:lineRule="auto"/>
        <w:rPr>
          <w:rFonts w:ascii="Calibri Light" w:eastAsia="Times New Roman" w:hAnsi="Calibri Light" w:cs="Calibri Light"/>
        </w:rPr>
      </w:pPr>
      <w:r>
        <w:rPr>
          <w:rFonts w:ascii="Calibri Light" w:eastAsia="Times New Roman" w:hAnsi="Calibri Light" w:cs="Calibri Light"/>
          <w:b/>
          <w:bCs/>
        </w:rPr>
        <w:t>Trade secrets or confidential business and financial information—</w:t>
      </w:r>
      <w:r>
        <w:rPr>
          <w:rFonts w:ascii="Calibri Light" w:eastAsia="Times New Roman" w:hAnsi="Calibri Light" w:cs="Calibri Light"/>
        </w:rPr>
        <w:t xml:space="preserve">These types of records from private businesses and organizations are generally exempt from disclosure unless they have been submitted to a public agency and become part of the public record of the agency. However, there can be </w:t>
      </w:r>
      <w:r>
        <w:rPr>
          <w:rFonts w:ascii="Calibri Light" w:eastAsia="Times New Roman" w:hAnsi="Calibri Light" w:cs="Calibri Light"/>
        </w:rPr>
        <w:lastRenderedPageBreak/>
        <w:t>multiple exceptions to disclosure, such information submitted to an agency for the purpose of regulatory oversight.</w:t>
      </w:r>
      <w:r>
        <w:rPr>
          <w:rFonts w:ascii="Calibri Light" w:eastAsia="Times New Roman" w:hAnsi="Calibri Light" w:cs="Calibri Light"/>
          <w:vertAlign w:val="superscript"/>
        </w:rPr>
        <w:footnoteReference w:id="60"/>
      </w:r>
      <w:r>
        <w:rPr>
          <w:rFonts w:ascii="Calibri Light" w:eastAsia="Times New Roman" w:hAnsi="Calibri Light" w:cs="Calibri Light"/>
        </w:rPr>
        <w:t xml:space="preserve">  </w:t>
      </w:r>
    </w:p>
    <w:p w14:paraId="5FEAC7AD" w14:textId="77777777" w:rsidR="00CE1B38" w:rsidRDefault="00CE1B38" w:rsidP="00CE1B38">
      <w:pPr>
        <w:numPr>
          <w:ilvl w:val="0"/>
          <w:numId w:val="29"/>
        </w:numPr>
        <w:spacing w:after="120" w:line="360" w:lineRule="auto"/>
        <w:rPr>
          <w:rFonts w:ascii="Calibri Light" w:eastAsia="Times New Roman" w:hAnsi="Calibri Light" w:cs="Calibri Light"/>
        </w:rPr>
      </w:pPr>
      <w:r>
        <w:rPr>
          <w:rFonts w:ascii="Calibri Light" w:eastAsia="Times New Roman" w:hAnsi="Calibri Light" w:cs="Calibri Light"/>
          <w:b/>
          <w:bCs/>
        </w:rPr>
        <w:t>Information submitted to regulatory agencies—</w:t>
      </w:r>
      <w:r>
        <w:rPr>
          <w:rFonts w:ascii="Calibri Light" w:eastAsia="Times New Roman" w:hAnsi="Calibri Light" w:cs="Calibri Light"/>
        </w:rPr>
        <w:t>Information submitted to a health or other agency as part of the regulatory oversight or inspection process of those facilities may be exempt from release. Facilities exempt from release can include hospitals, other healthcare facilities like ambulatory surgical centers, and congregate living facilities like nursing homes and in-patient rehabilitation centers. However, data such as the results of regulatory decisions, final inspection reports, or administrative penalties may be considered public records.</w:t>
      </w:r>
      <w:r>
        <w:rPr>
          <w:rFonts w:ascii="Calibri Light" w:eastAsia="Times New Roman" w:hAnsi="Calibri Light" w:cs="Calibri Light"/>
          <w:b/>
          <w:bCs/>
          <w:vertAlign w:val="superscript"/>
        </w:rPr>
        <w:footnoteReference w:id="61"/>
      </w:r>
      <w:r>
        <w:rPr>
          <w:rFonts w:ascii="Calibri Light" w:eastAsia="Times New Roman" w:hAnsi="Calibri Light" w:cs="Calibri Light"/>
        </w:rPr>
        <w:t xml:space="preserve"> </w:t>
      </w:r>
    </w:p>
    <w:p w14:paraId="4CFB20E6" w14:textId="77777777" w:rsidR="00CE1B38" w:rsidRDefault="00CE1B38" w:rsidP="00CE1B38">
      <w:pPr>
        <w:numPr>
          <w:ilvl w:val="0"/>
          <w:numId w:val="29"/>
        </w:numPr>
        <w:spacing w:after="120" w:line="360" w:lineRule="auto"/>
        <w:rPr>
          <w:rFonts w:ascii="Calibri Light" w:eastAsia="Times New Roman" w:hAnsi="Calibri Light" w:cs="Calibri Light"/>
          <w:b/>
          <w:bCs/>
        </w:rPr>
      </w:pPr>
      <w:r>
        <w:rPr>
          <w:rFonts w:ascii="Calibri Light" w:eastAsia="Times New Roman" w:hAnsi="Calibri Light" w:cs="Calibri Light"/>
          <w:b/>
          <w:bCs/>
        </w:rPr>
        <w:t>Administrative enforcement records—</w:t>
      </w:r>
      <w:r>
        <w:rPr>
          <w:rFonts w:ascii="Calibri Light" w:eastAsia="Times New Roman" w:hAnsi="Calibri Light" w:cs="Calibri Light"/>
        </w:rPr>
        <w:t>Records of inspections and enforcement actions (e.g., worker safety and health inspections, or accident investigations) are generally considered agency records subject to release.</w:t>
      </w:r>
      <w:r>
        <w:rPr>
          <w:rFonts w:ascii="Calibri Light" w:eastAsia="Times New Roman" w:hAnsi="Calibri Light" w:cs="Calibri Light"/>
          <w:b/>
          <w:bCs/>
          <w:vertAlign w:val="superscript"/>
        </w:rPr>
        <w:t xml:space="preserve"> </w:t>
      </w:r>
      <w:r>
        <w:rPr>
          <w:rFonts w:ascii="Calibri Light" w:eastAsia="Times New Roman" w:hAnsi="Calibri Light" w:cs="Calibri Light"/>
          <w:b/>
          <w:bCs/>
          <w:vertAlign w:val="superscript"/>
        </w:rPr>
        <w:footnoteReference w:id="62"/>
      </w:r>
      <w:r>
        <w:rPr>
          <w:rFonts w:ascii="Calibri Light" w:eastAsia="Times New Roman" w:hAnsi="Calibri Light" w:cs="Calibri Light"/>
        </w:rPr>
        <w:t xml:space="preserve"> However, there may be elements within those records that contain PII that are exempt from disclosure.</w:t>
      </w:r>
    </w:p>
    <w:p w14:paraId="5929E45B" w14:textId="77777777" w:rsidR="00CE1B38" w:rsidRDefault="00CE1B38" w:rsidP="00CE1B38">
      <w:pPr>
        <w:numPr>
          <w:ilvl w:val="0"/>
          <w:numId w:val="29"/>
        </w:numPr>
        <w:spacing w:line="360" w:lineRule="auto"/>
        <w:contextualSpacing/>
        <w:rPr>
          <w:rFonts w:ascii="Calibri Light" w:eastAsia="Times New Roman" w:hAnsi="Calibri Light" w:cs="Calibri Light"/>
        </w:rPr>
      </w:pPr>
      <w:r>
        <w:rPr>
          <w:rFonts w:ascii="Calibri Light" w:eastAsia="Times New Roman" w:hAnsi="Calibri Light" w:cs="Calibri Light"/>
          <w:b/>
          <w:bCs/>
        </w:rPr>
        <w:t>Certain professional licensure records—</w:t>
      </w:r>
      <w:r>
        <w:rPr>
          <w:rFonts w:ascii="Calibri Light" w:eastAsia="Times New Roman" w:hAnsi="Calibri Light" w:cs="Calibri Light"/>
        </w:rPr>
        <w:t>Records submitted by persons licensed by a jurisdiction are generally closed, but data such as business directory information or educational and occupational background information may be open for access. Access to information about complaints and disciplinary actions vary by jurisdiction.</w:t>
      </w:r>
      <w:r>
        <w:rPr>
          <w:rFonts w:ascii="Calibri Light" w:eastAsia="Times New Roman" w:hAnsi="Calibri Light" w:cs="Calibri Light"/>
          <w:vertAlign w:val="superscript"/>
        </w:rPr>
        <w:footnoteReference w:id="63"/>
      </w:r>
    </w:p>
    <w:p w14:paraId="372A57DE" w14:textId="77777777" w:rsidR="00CE1B38" w:rsidRDefault="00CE1B38" w:rsidP="00CE1B38">
      <w:pPr>
        <w:spacing w:line="360" w:lineRule="auto"/>
        <w:rPr>
          <w:rFonts w:ascii="Calibri Light" w:eastAsia="Times New Roman" w:hAnsi="Calibri Light" w:cs="Calibri Light"/>
        </w:rPr>
      </w:pPr>
    </w:p>
    <w:p w14:paraId="6E79AD32" w14:textId="77777777" w:rsidR="00CE1B38" w:rsidRDefault="00CE1B38" w:rsidP="00CE1B38">
      <w:pPr>
        <w:spacing w:after="120" w:line="360" w:lineRule="auto"/>
        <w:rPr>
          <w:rFonts w:ascii="Calibri Light" w:eastAsia="Times New Roman" w:hAnsi="Calibri Light" w:cs="Calibri Light"/>
        </w:rPr>
      </w:pPr>
      <w:r>
        <w:rPr>
          <w:rFonts w:ascii="Calibri Light" w:eastAsia="Times New Roman" w:hAnsi="Calibri Light" w:cs="Calibri Light"/>
        </w:rPr>
        <w:t>In addition to listing specific exceptions to disclosure, state FIO/open records laws also have broader directives about what information may or may not be subject to public release, such as:</w:t>
      </w:r>
    </w:p>
    <w:p w14:paraId="4CF6574A" w14:textId="77777777" w:rsidR="00CE1B38" w:rsidRDefault="00CE1B38" w:rsidP="00CE1B38">
      <w:pPr>
        <w:numPr>
          <w:ilvl w:val="0"/>
          <w:numId w:val="30"/>
        </w:numPr>
        <w:spacing w:after="120" w:line="360" w:lineRule="auto"/>
        <w:rPr>
          <w:rFonts w:ascii="Calibri Light" w:eastAsia="Times New Roman" w:hAnsi="Calibri Light" w:cs="Calibri Light"/>
        </w:rPr>
      </w:pPr>
      <w:r>
        <w:rPr>
          <w:rFonts w:ascii="Calibri Light" w:eastAsia="Times New Roman" w:hAnsi="Calibri Light" w:cs="Calibri Light"/>
          <w:b/>
          <w:bCs/>
        </w:rPr>
        <w:t>Another statute explicitly makes particular types of information/records confidential—</w:t>
      </w:r>
      <w:r>
        <w:rPr>
          <w:rFonts w:ascii="Calibri Light" w:eastAsia="Times New Roman" w:hAnsi="Calibri Light" w:cs="Calibri Light"/>
        </w:rPr>
        <w:t xml:space="preserve">As noted above, this type of exception includes other laws in a jurisdiction as well as federal statutes and regulations. </w:t>
      </w:r>
    </w:p>
    <w:p w14:paraId="217FA31A" w14:textId="77777777" w:rsidR="00CE1B38" w:rsidRDefault="00CE1B38" w:rsidP="00CE1B38">
      <w:pPr>
        <w:numPr>
          <w:ilvl w:val="0"/>
          <w:numId w:val="30"/>
        </w:numPr>
        <w:spacing w:line="360" w:lineRule="auto"/>
        <w:contextualSpacing/>
        <w:rPr>
          <w:rFonts w:ascii="Calibri Light" w:eastAsia="Times New Roman" w:hAnsi="Calibri Light" w:cs="Calibri Light"/>
        </w:rPr>
      </w:pPr>
      <w:r>
        <w:rPr>
          <w:rFonts w:ascii="Calibri Light" w:eastAsia="Times New Roman" w:hAnsi="Calibri Light" w:cs="Calibri Light"/>
          <w:b/>
          <w:bCs/>
        </w:rPr>
        <w:lastRenderedPageBreak/>
        <w:t>Releases that would be detrimental to public safety or welfare—</w:t>
      </w:r>
      <w:r>
        <w:rPr>
          <w:rFonts w:ascii="Calibri Light" w:eastAsia="Times New Roman" w:hAnsi="Calibri Light" w:cs="Calibri Light"/>
        </w:rPr>
        <w:t>This is commonly used in the law enforcement or homeland security areas but can be applied to other situations based on the facts of a case.</w:t>
      </w:r>
      <w:r>
        <w:rPr>
          <w:rFonts w:ascii="Calibri Light" w:eastAsia="Times New Roman" w:hAnsi="Calibri Light" w:cs="Calibri Light"/>
          <w:vertAlign w:val="superscript"/>
        </w:rPr>
        <w:t xml:space="preserve"> </w:t>
      </w:r>
      <w:r>
        <w:rPr>
          <w:rFonts w:ascii="Calibri Light" w:eastAsia="Times New Roman" w:hAnsi="Calibri Light" w:cs="Calibri Light"/>
          <w:vertAlign w:val="superscript"/>
        </w:rPr>
        <w:footnoteReference w:id="64"/>
      </w:r>
      <w:r>
        <w:rPr>
          <w:rFonts w:ascii="Calibri Light" w:eastAsia="Times New Roman" w:hAnsi="Calibri Light" w:cs="Calibri Light"/>
        </w:rPr>
        <w:t xml:space="preserve"> This could also apply to public health emergencies, including infectious disease outbreaks.</w:t>
      </w:r>
    </w:p>
    <w:p w14:paraId="38A0E188" w14:textId="77777777" w:rsidR="00CE1B38" w:rsidRDefault="00CE1B38" w:rsidP="00CE1B38">
      <w:pPr>
        <w:spacing w:line="360" w:lineRule="auto"/>
        <w:rPr>
          <w:rFonts w:ascii="Calibri Light" w:eastAsia="Times New Roman" w:hAnsi="Calibri Light" w:cs="Calibri Light"/>
        </w:rPr>
      </w:pPr>
    </w:p>
    <w:p w14:paraId="0EF8E405" w14:textId="77777777" w:rsidR="00CE1B38" w:rsidRDefault="00CE1B38" w:rsidP="00CE1B38">
      <w:pPr>
        <w:spacing w:line="360" w:lineRule="auto"/>
        <w:rPr>
          <w:rFonts w:ascii="Calibri Light" w:eastAsia="Times New Roman" w:hAnsi="Calibri Light" w:cs="Calibri Light"/>
        </w:rPr>
      </w:pPr>
      <w:r>
        <w:rPr>
          <w:rFonts w:ascii="Calibri Light" w:eastAsia="Times New Roman" w:hAnsi="Calibri Light" w:cs="Calibri Light"/>
        </w:rPr>
        <w:t>Finally, a FOI/open records law may also contain provisions that allow the agency some discretion in determining to what extent an individual's/organization’s privacy interest should be balanced against the public's interest in disclosure. However, an agency should be prepared to articulate how the privacy interest outweighs the public disclosure requirement if the decision not to disclose is challenged.</w:t>
      </w:r>
    </w:p>
    <w:p w14:paraId="7D503D79" w14:textId="77777777" w:rsidR="00CE1B38" w:rsidRDefault="00CE1B38" w:rsidP="00CE1B38">
      <w:pPr>
        <w:spacing w:line="360" w:lineRule="auto"/>
        <w:rPr>
          <w:rFonts w:ascii="Calibri Light" w:eastAsia="Times New Roman" w:hAnsi="Calibri Light" w:cs="Calibri Light"/>
        </w:rPr>
      </w:pPr>
    </w:p>
    <w:p w14:paraId="0A534ADD" w14:textId="77777777" w:rsidR="00CE1B38" w:rsidRDefault="00CE1B38" w:rsidP="00CE1B38">
      <w:pPr>
        <w:keepNext/>
        <w:spacing w:after="120" w:line="360" w:lineRule="auto"/>
        <w:rPr>
          <w:rFonts w:ascii="Calibri Light" w:eastAsia="Times New Roman" w:hAnsi="Calibri Light" w:cs="Calibri Light"/>
          <w:b/>
          <w:bCs/>
        </w:rPr>
      </w:pPr>
      <w:r>
        <w:rPr>
          <w:rFonts w:ascii="Calibri Light" w:eastAsia="Times New Roman" w:hAnsi="Calibri Light" w:cs="Calibri Light"/>
          <w:b/>
          <w:bCs/>
        </w:rPr>
        <w:t>Circumstances in which Information Release is Permitted</w:t>
      </w:r>
    </w:p>
    <w:p w14:paraId="386BB629" w14:textId="77777777" w:rsidR="00CE1B38" w:rsidRDefault="00CE1B38" w:rsidP="00CE1B38">
      <w:pPr>
        <w:spacing w:after="120" w:line="360" w:lineRule="auto"/>
        <w:rPr>
          <w:rFonts w:ascii="Calibri Light" w:eastAsia="Times New Roman" w:hAnsi="Calibri Light" w:cs="Calibri Light"/>
        </w:rPr>
      </w:pPr>
      <w:r>
        <w:rPr>
          <w:rFonts w:ascii="Calibri Light" w:eastAsia="Times New Roman" w:hAnsi="Calibri Light" w:cs="Calibri Light"/>
        </w:rPr>
        <w:t>Despite the exceptions that can limit public health officials in releasing information to the public under FOI/open records laws, these laws can also explicitly authorize public health agencies to release information otherwise covered by the law if certain conditions apply, such as:</w:t>
      </w:r>
    </w:p>
    <w:p w14:paraId="17380D60" w14:textId="77777777" w:rsidR="00CE1B38" w:rsidRDefault="00CE1B38" w:rsidP="00CE1B38">
      <w:pPr>
        <w:numPr>
          <w:ilvl w:val="0"/>
          <w:numId w:val="31"/>
        </w:numPr>
        <w:spacing w:after="120" w:line="360" w:lineRule="auto"/>
        <w:rPr>
          <w:rFonts w:ascii="Calibri Light" w:eastAsia="Times New Roman" w:hAnsi="Calibri Light" w:cs="Calibri Light"/>
        </w:rPr>
      </w:pPr>
      <w:r>
        <w:rPr>
          <w:rFonts w:ascii="Calibri Light" w:eastAsia="Times New Roman" w:hAnsi="Calibri Light" w:cs="Calibri Light"/>
        </w:rPr>
        <w:t xml:space="preserve">The person (or guardian) provides written consent for the release of their medical record or identifiable information about their case. </w:t>
      </w:r>
    </w:p>
    <w:p w14:paraId="5C65E47B" w14:textId="77777777" w:rsidR="00CE1B38" w:rsidRDefault="00CE1B38" w:rsidP="00CE1B38">
      <w:pPr>
        <w:numPr>
          <w:ilvl w:val="0"/>
          <w:numId w:val="31"/>
        </w:numPr>
        <w:shd w:val="clear" w:color="auto" w:fill="FFFFFF"/>
        <w:spacing w:after="120" w:line="360" w:lineRule="auto"/>
        <w:textAlignment w:val="baseline"/>
        <w:rPr>
          <w:rFonts w:ascii="Calibri Light" w:eastAsia="Times New Roman" w:hAnsi="Calibri Light" w:cs="Calibri Light"/>
          <w:color w:val="2D2D2D"/>
        </w:rPr>
      </w:pPr>
      <w:r>
        <w:rPr>
          <w:rFonts w:ascii="Calibri Light" w:eastAsia="Times New Roman" w:hAnsi="Calibri Light" w:cs="Calibri Light"/>
          <w:color w:val="2D2D2D"/>
        </w:rPr>
        <w:t xml:space="preserve">The information release is necessary to protect public health. </w:t>
      </w:r>
    </w:p>
    <w:p w14:paraId="4BFB1CE6" w14:textId="77777777" w:rsidR="00CE1B38" w:rsidRDefault="00CE1B38" w:rsidP="00CE1B38">
      <w:pPr>
        <w:numPr>
          <w:ilvl w:val="0"/>
          <w:numId w:val="31"/>
        </w:numPr>
        <w:shd w:val="clear" w:color="auto" w:fill="FFFFFF"/>
        <w:spacing w:after="120" w:line="360" w:lineRule="auto"/>
        <w:textAlignment w:val="baseline"/>
        <w:rPr>
          <w:rFonts w:ascii="Calibri Light" w:eastAsia="Times New Roman" w:hAnsi="Calibri Light" w:cs="Calibri Light"/>
          <w:color w:val="2D2D2D"/>
          <w:sz w:val="20"/>
          <w:szCs w:val="20"/>
        </w:rPr>
      </w:pPr>
      <w:r>
        <w:rPr>
          <w:rFonts w:ascii="Calibri Light" w:eastAsia="Times New Roman" w:hAnsi="Calibri Light" w:cs="Calibri Light"/>
        </w:rPr>
        <w:t>The public health agency releases information to another federal, state, or local public health agency for the purpose of preventing or controlling the spread of a communicable disease.</w:t>
      </w:r>
    </w:p>
    <w:p w14:paraId="7B9071B4" w14:textId="77777777" w:rsidR="00CE1B38" w:rsidRDefault="00CE1B38" w:rsidP="00CE1B38">
      <w:pPr>
        <w:numPr>
          <w:ilvl w:val="0"/>
          <w:numId w:val="31"/>
        </w:numPr>
        <w:spacing w:after="120" w:line="360" w:lineRule="auto"/>
        <w:rPr>
          <w:rFonts w:ascii="Calibri Light" w:eastAsia="Times New Roman" w:hAnsi="Calibri Light" w:cs="Calibri Light"/>
        </w:rPr>
      </w:pPr>
      <w:r>
        <w:rPr>
          <w:rFonts w:ascii="Calibri Light" w:eastAsia="Times New Roman" w:hAnsi="Calibri Light" w:cs="Calibri Light"/>
        </w:rPr>
        <w:t>Information is released under another state law, or a subpoena or court order.</w:t>
      </w:r>
    </w:p>
    <w:p w14:paraId="6F66F189" w14:textId="77777777" w:rsidR="00CE1B38" w:rsidRDefault="00CE1B38" w:rsidP="00CE1B38">
      <w:pPr>
        <w:numPr>
          <w:ilvl w:val="0"/>
          <w:numId w:val="31"/>
        </w:numPr>
        <w:spacing w:after="120" w:line="360" w:lineRule="auto"/>
        <w:rPr>
          <w:rFonts w:ascii="Calibri Light" w:eastAsia="Times New Roman" w:hAnsi="Calibri Light" w:cs="Calibri Light"/>
        </w:rPr>
      </w:pPr>
      <w:r>
        <w:rPr>
          <w:rFonts w:ascii="Calibri Light" w:eastAsia="Times New Roman" w:hAnsi="Calibri Light" w:cs="Calibri Light"/>
        </w:rPr>
        <w:t>Information is released as permitted under federal law (e.g., treatment, payment, research, or health care operations to the extent permitted in the Health Insurance Portability and Accountability Act. (Discussed further below.)</w:t>
      </w:r>
    </w:p>
    <w:p w14:paraId="5B4D0B61" w14:textId="77777777" w:rsidR="00CE1B38" w:rsidRDefault="00CE1B38" w:rsidP="00CE1B38">
      <w:pPr>
        <w:numPr>
          <w:ilvl w:val="0"/>
          <w:numId w:val="31"/>
        </w:numPr>
        <w:spacing w:after="120" w:line="360" w:lineRule="auto"/>
        <w:rPr>
          <w:rFonts w:ascii="Calibri Light" w:eastAsia="Times New Roman" w:hAnsi="Calibri Light" w:cs="Calibri Light"/>
        </w:rPr>
      </w:pPr>
      <w:r>
        <w:rPr>
          <w:rFonts w:ascii="Calibri Light" w:eastAsia="Times New Roman" w:hAnsi="Calibri Light" w:cs="Calibri Light"/>
        </w:rPr>
        <w:t>De-identified medical or epidemiological information is released for research or statistical purposes.</w:t>
      </w:r>
    </w:p>
    <w:p w14:paraId="35BA76C2" w14:textId="77777777" w:rsidR="00CE1B38" w:rsidRDefault="00CE1B38" w:rsidP="00CE1B38">
      <w:pPr>
        <w:numPr>
          <w:ilvl w:val="0"/>
          <w:numId w:val="31"/>
        </w:numPr>
        <w:spacing w:line="360" w:lineRule="auto"/>
        <w:rPr>
          <w:rFonts w:ascii="Calibri Light" w:eastAsia="Times New Roman" w:hAnsi="Calibri Light" w:cs="Calibri Light"/>
        </w:rPr>
      </w:pPr>
      <w:r>
        <w:rPr>
          <w:rFonts w:ascii="Calibri Light" w:eastAsia="Times New Roman" w:hAnsi="Calibri Light" w:cs="Calibri Light"/>
        </w:rPr>
        <w:t>The health agency releases information to a court or law enforcement for enforcement purposes, or to investigate terrorist events (nuclear, biological, or chemical).</w:t>
      </w:r>
    </w:p>
    <w:p w14:paraId="4D6AC73E" w14:textId="77777777" w:rsidR="00CE1B38" w:rsidRDefault="00CE1B38" w:rsidP="00CE1B38">
      <w:pPr>
        <w:spacing w:line="360" w:lineRule="auto"/>
        <w:rPr>
          <w:rFonts w:ascii="Calibri Light" w:eastAsia="Times New Roman" w:hAnsi="Calibri Light" w:cs="Calibri Light"/>
        </w:rPr>
      </w:pPr>
    </w:p>
    <w:p w14:paraId="146A7C67" w14:textId="77777777" w:rsidR="00CE1B38" w:rsidRDefault="00CE1B38" w:rsidP="00CE1B38">
      <w:pPr>
        <w:spacing w:line="360" w:lineRule="auto"/>
        <w:rPr>
          <w:rFonts w:ascii="Calibri Light" w:eastAsia="Times New Roman" w:hAnsi="Calibri Light" w:cs="Calibri Light"/>
        </w:rPr>
      </w:pPr>
      <w:r>
        <w:rPr>
          <w:rFonts w:ascii="Calibri Light" w:eastAsia="Times New Roman" w:hAnsi="Calibri Light" w:cs="Calibri Light"/>
        </w:rPr>
        <w:lastRenderedPageBreak/>
        <w:t>In responding to a request for information, the public health agency should review the request to assess if making the information public would reveal private information or threaten an investigation or public safety.</w:t>
      </w:r>
      <w:r>
        <w:rPr>
          <w:rFonts w:ascii="Calibri Light" w:eastAsia="Times New Roman" w:hAnsi="Calibri Light" w:cs="Calibri Light"/>
          <w:vertAlign w:val="superscript"/>
        </w:rPr>
        <w:footnoteReference w:id="65"/>
      </w:r>
      <w:r>
        <w:rPr>
          <w:rFonts w:ascii="Calibri Light" w:eastAsia="Times New Roman" w:hAnsi="Calibri Light" w:cs="Calibri Light"/>
        </w:rPr>
        <w:t xml:space="preserve"> If the agency decides to withhold information, then it must be ready to articulate the basis upon which the information request is being denied. </w:t>
      </w:r>
    </w:p>
    <w:p w14:paraId="54333DF4" w14:textId="77777777" w:rsidR="00CE1B38" w:rsidRDefault="00CE1B38" w:rsidP="00CE1B38">
      <w:pPr>
        <w:spacing w:after="120" w:line="360" w:lineRule="auto"/>
        <w:rPr>
          <w:rFonts w:ascii="Arial" w:eastAsia="Times New Roman" w:hAnsi="Arial" w:cs="Arial"/>
          <w:b/>
          <w:bCs/>
        </w:rPr>
      </w:pPr>
    </w:p>
    <w:p w14:paraId="4CDC9EDE" w14:textId="77777777" w:rsidR="00CE1B38" w:rsidRDefault="00CE1B38" w:rsidP="00CE1B38">
      <w:pPr>
        <w:spacing w:after="120" w:line="360" w:lineRule="auto"/>
        <w:rPr>
          <w:rFonts w:ascii="Arial" w:eastAsia="Times New Roman" w:hAnsi="Arial" w:cs="Arial"/>
          <w:b/>
          <w:bCs/>
        </w:rPr>
      </w:pPr>
      <w:r>
        <w:rPr>
          <w:rFonts w:ascii="Arial" w:eastAsia="Times New Roman" w:hAnsi="Arial" w:cs="Arial"/>
          <w:b/>
          <w:bCs/>
        </w:rPr>
        <w:t>Confidentiality Laws</w:t>
      </w:r>
    </w:p>
    <w:p w14:paraId="46C793B3" w14:textId="77777777" w:rsidR="00CE1B38" w:rsidRDefault="00CE1B38" w:rsidP="00CE1B38">
      <w:pPr>
        <w:spacing w:line="360" w:lineRule="auto"/>
        <w:rPr>
          <w:rFonts w:ascii="Calibri Light" w:eastAsia="Times New Roman" w:hAnsi="Calibri Light" w:cs="Calibri Light"/>
        </w:rPr>
      </w:pPr>
      <w:r>
        <w:rPr>
          <w:rFonts w:ascii="Calibri Light" w:eastAsia="Times New Roman" w:hAnsi="Calibri Light" w:cs="Calibri Light"/>
        </w:rPr>
        <w:t>In addition to FOI/open records laws, the information released by public health agencies is also subject to federal and state confidentiality laws. Confidentiality laws may be separate from FOI/open records laws, may be part of those laws, and/or there may be confidentiality provisions incorporated into FOI/open records laws and in statutes governing specific agencies or issues. The following discussion highlights the confidentiality laws which should be understood when approaching an individual or facility involved in an LD outbreak for sensitive and potentially confidential information. Confidentiality requirements must also be considered when deciding what information to release during an outbreak.</w:t>
      </w:r>
    </w:p>
    <w:p w14:paraId="717A06D3" w14:textId="77777777" w:rsidR="00CE1B38" w:rsidRDefault="00CE1B38" w:rsidP="00CE1B38">
      <w:pPr>
        <w:spacing w:line="360" w:lineRule="auto"/>
        <w:rPr>
          <w:rFonts w:ascii="Calibri Light" w:eastAsia="Times New Roman" w:hAnsi="Calibri Light" w:cs="Calibri Light"/>
        </w:rPr>
      </w:pPr>
    </w:p>
    <w:p w14:paraId="7164D3D2" w14:textId="77777777" w:rsidR="00CE1B38" w:rsidRDefault="00CE1B38" w:rsidP="00CE1B38">
      <w:pPr>
        <w:spacing w:line="360" w:lineRule="auto"/>
        <w:rPr>
          <w:rFonts w:ascii="Calibri Light" w:eastAsia="Times New Roman" w:hAnsi="Calibri Light" w:cs="Calibri Light"/>
          <w:b/>
          <w:bCs/>
        </w:rPr>
      </w:pPr>
      <w:r>
        <w:rPr>
          <w:rFonts w:ascii="Calibri Light" w:eastAsia="Times New Roman" w:hAnsi="Calibri Light" w:cs="Calibri Light"/>
          <w:b/>
          <w:bCs/>
        </w:rPr>
        <w:t>Federal Confidentiality Laws and Regulations</w:t>
      </w:r>
    </w:p>
    <w:p w14:paraId="441F1334" w14:textId="77777777" w:rsidR="00CE1B38" w:rsidRDefault="00CE1B38" w:rsidP="00CE1B38">
      <w:pPr>
        <w:spacing w:line="360" w:lineRule="auto"/>
        <w:rPr>
          <w:rFonts w:ascii="Calibri Light" w:eastAsia="Times New Roman" w:hAnsi="Calibri Light" w:cs="Calibri Light"/>
        </w:rPr>
      </w:pPr>
      <w:r>
        <w:rPr>
          <w:rFonts w:ascii="Calibri Light" w:eastAsia="Times New Roman" w:hAnsi="Calibri Light" w:cs="Calibri Light"/>
        </w:rPr>
        <w:t>There are two federal laws and regulations frequently identified as potential sources of uncertainty about what information a public health agency can collect from healthcare providers, other record holders, and facilities, and what information it can share and with whom.</w:t>
      </w:r>
      <w:r>
        <w:rPr>
          <w:rStyle w:val="FootnoteReference"/>
          <w:rFonts w:ascii="Calibri Light" w:eastAsia="Times New Roman" w:hAnsi="Calibri Light" w:cs="Calibri Light"/>
        </w:rPr>
        <w:footnoteReference w:id="66"/>
      </w:r>
      <w:r>
        <w:rPr>
          <w:rFonts w:ascii="Calibri Light" w:eastAsia="Times New Roman" w:hAnsi="Calibri Light" w:cs="Calibri Light"/>
        </w:rPr>
        <w:t xml:space="preserve"> This section briefly introduces these federal laws and regulations; readers should consult with their agency’s legal counsel for questions involving these requirements. </w:t>
      </w:r>
    </w:p>
    <w:p w14:paraId="77308BBA" w14:textId="77777777" w:rsidR="00CE1B38" w:rsidRDefault="00CE1B38" w:rsidP="00CE1B38">
      <w:pPr>
        <w:spacing w:line="360" w:lineRule="auto"/>
        <w:rPr>
          <w:rFonts w:ascii="Calibri Light" w:eastAsia="Times New Roman" w:hAnsi="Calibri Light" w:cs="Calibri Light"/>
        </w:rPr>
      </w:pPr>
    </w:p>
    <w:p w14:paraId="1C6D569C" w14:textId="77777777" w:rsidR="00CE1B38" w:rsidRDefault="00CE1B38" w:rsidP="00CE1B38">
      <w:pPr>
        <w:spacing w:line="360" w:lineRule="auto"/>
        <w:rPr>
          <w:rFonts w:ascii="Calibri Light" w:eastAsia="Times New Roman" w:hAnsi="Calibri Light" w:cs="Calibri Light"/>
        </w:rPr>
      </w:pPr>
      <w:r>
        <w:rPr>
          <w:rFonts w:ascii="Calibri Light" w:eastAsia="Times New Roman" w:hAnsi="Calibri Light" w:cs="Calibri Light"/>
        </w:rPr>
        <w:t xml:space="preserve">The </w:t>
      </w:r>
      <w:r>
        <w:rPr>
          <w:rFonts w:ascii="Calibri Light" w:eastAsia="Times New Roman" w:hAnsi="Calibri Light" w:cs="Calibri Light"/>
          <w:b/>
          <w:bCs/>
        </w:rPr>
        <w:t>Health Insurance Portability and Accountability Act (HIPAA) Privacy Rule</w:t>
      </w:r>
      <w:r>
        <w:rPr>
          <w:rStyle w:val="FootnoteReference"/>
          <w:rFonts w:ascii="Calibri Light" w:eastAsia="Times New Roman" w:hAnsi="Calibri Light" w:cs="Calibri Light"/>
        </w:rPr>
        <w:footnoteReference w:id="67"/>
      </w:r>
      <w:r>
        <w:rPr>
          <w:rFonts w:ascii="Calibri Light" w:eastAsia="Times New Roman" w:hAnsi="Calibri Light" w:cs="Calibri Light"/>
        </w:rPr>
        <w:t xml:space="preserve"> creates national privacy protections for individuals’ identifiable health information.</w:t>
      </w:r>
      <w:r>
        <w:rPr>
          <w:rFonts w:ascii="Calibri Light" w:eastAsia="Times New Roman" w:hAnsi="Calibri Light" w:cs="Calibri Light"/>
          <w:vertAlign w:val="superscript"/>
        </w:rPr>
        <w:footnoteReference w:id="68"/>
      </w:r>
      <w:r>
        <w:rPr>
          <w:rFonts w:ascii="Calibri Light" w:eastAsia="Times New Roman" w:hAnsi="Calibri Light" w:cs="Calibri Light"/>
        </w:rPr>
        <w:t xml:space="preserve"> </w:t>
      </w:r>
      <w:r>
        <w:rPr>
          <w:rFonts w:ascii="Calibri Light" w:eastAsia="Times New Roman" w:hAnsi="Calibri Light" w:cs="Calibri Light"/>
          <w:color w:val="000000" w:themeColor="text1"/>
        </w:rPr>
        <w:t xml:space="preserve">The rule prohibits entities covered under it </w:t>
      </w:r>
      <w:r>
        <w:rPr>
          <w:rFonts w:ascii="Calibri Light" w:eastAsia="Times New Roman" w:hAnsi="Calibri Light" w:cs="Calibri Light"/>
          <w:color w:val="000000" w:themeColor="text1"/>
        </w:rPr>
        <w:lastRenderedPageBreak/>
        <w:t>from disclosing protected health information (PHI) to any third parties unless the rule otherwise permits the disclosure or if the person who is the subject of the record (or their representative) authorizes the disclosure in writing.</w:t>
      </w:r>
      <w:r>
        <w:rPr>
          <w:rFonts w:ascii="Calibri Light" w:eastAsia="Times New Roman" w:hAnsi="Calibri Light" w:cs="Calibri Light"/>
          <w:color w:val="000000" w:themeColor="text1"/>
          <w:vertAlign w:val="superscript"/>
        </w:rPr>
        <w:footnoteReference w:id="69"/>
      </w:r>
      <w:r>
        <w:rPr>
          <w:rFonts w:ascii="Calibri Light" w:eastAsia="Times New Roman" w:hAnsi="Calibri Light" w:cs="Calibri Light"/>
          <w:color w:val="000000" w:themeColor="text1"/>
        </w:rPr>
        <w:t xml:space="preserve"> PHI is defined as individually identifiable health information that is maintained or transmitted by a covered entity</w:t>
      </w:r>
      <w:r>
        <w:rPr>
          <w:rFonts w:ascii="Calibri Light" w:eastAsia="Times New Roman" w:hAnsi="Calibri Light" w:cs="Calibri Light"/>
          <w:color w:val="000000" w:themeColor="text1"/>
          <w:vertAlign w:val="superscript"/>
        </w:rPr>
        <w:footnoteReference w:id="70"/>
      </w:r>
      <w:r>
        <w:rPr>
          <w:rFonts w:ascii="Calibri Light" w:eastAsia="Times New Roman" w:hAnsi="Calibri Light" w:cs="Calibri Light"/>
          <w:color w:val="000000" w:themeColor="text1"/>
        </w:rPr>
        <w:t>, hybrid entity</w:t>
      </w:r>
      <w:r>
        <w:rPr>
          <w:rFonts w:ascii="Calibri Light" w:eastAsia="Times New Roman" w:hAnsi="Calibri Light" w:cs="Calibri Light"/>
          <w:color w:val="000000" w:themeColor="text1"/>
          <w:vertAlign w:val="superscript"/>
        </w:rPr>
        <w:footnoteReference w:id="71"/>
      </w:r>
      <w:r>
        <w:rPr>
          <w:rFonts w:ascii="Calibri Light" w:eastAsia="Times New Roman" w:hAnsi="Calibri Light" w:cs="Calibri Light"/>
          <w:color w:val="000000" w:themeColor="text1"/>
        </w:rPr>
        <w:t>, or a business associate</w:t>
      </w:r>
      <w:r>
        <w:rPr>
          <w:rFonts w:ascii="Calibri Light" w:eastAsia="Times New Roman" w:hAnsi="Calibri Light" w:cs="Calibri Light"/>
          <w:color w:val="000000" w:themeColor="text1"/>
          <w:vertAlign w:val="superscript"/>
        </w:rPr>
        <w:footnoteReference w:id="72"/>
      </w:r>
      <w:r>
        <w:rPr>
          <w:rFonts w:ascii="Calibri Light" w:eastAsia="Times New Roman" w:hAnsi="Calibri Light" w:cs="Calibri Light"/>
          <w:color w:val="000000" w:themeColor="text1"/>
        </w:rPr>
        <w:t xml:space="preserve"> in any form or media (i.e., electronic, paper, or oral).</w:t>
      </w:r>
      <w:r>
        <w:rPr>
          <w:rStyle w:val="FootnoteReference"/>
          <w:rFonts w:ascii="Calibri Light" w:eastAsia="Times New Roman" w:hAnsi="Calibri Light" w:cs="Calibri Light"/>
          <w:color w:val="000000" w:themeColor="text1"/>
        </w:rPr>
        <w:footnoteReference w:id="73"/>
      </w:r>
      <w:r>
        <w:rPr>
          <w:rFonts w:ascii="Calibri Light" w:eastAsia="Times New Roman" w:hAnsi="Calibri Light" w:cs="Calibri Light"/>
          <w:color w:val="000000" w:themeColor="text1"/>
        </w:rPr>
        <w:t xml:space="preserve"> Thus, t</w:t>
      </w:r>
      <w:r>
        <w:rPr>
          <w:rFonts w:ascii="Calibri Light" w:eastAsia="Times New Roman" w:hAnsi="Calibri Light" w:cs="Calibri Light"/>
        </w:rPr>
        <w:t>he Privacy Rule can apply to healthcare providers or other entities that supply information to public health agencies.</w:t>
      </w:r>
      <w:r>
        <w:rPr>
          <w:rStyle w:val="FootnoteReference"/>
          <w:rFonts w:ascii="Calibri Light" w:eastAsia="Times New Roman" w:hAnsi="Calibri Light" w:cs="Calibri Light"/>
        </w:rPr>
        <w:footnoteReference w:id="74"/>
      </w:r>
    </w:p>
    <w:p w14:paraId="29A051D9" w14:textId="77777777" w:rsidR="00CE1B38" w:rsidRDefault="00CE1B38" w:rsidP="00CE1B38">
      <w:pPr>
        <w:spacing w:line="360" w:lineRule="auto"/>
        <w:rPr>
          <w:rFonts w:ascii="Calibri Light" w:eastAsia="Times New Roman" w:hAnsi="Calibri Light" w:cs="Calibri Light"/>
        </w:rPr>
      </w:pPr>
    </w:p>
    <w:p w14:paraId="0670CDFF" w14:textId="77777777" w:rsidR="00CE1B38" w:rsidRDefault="00CE1B38" w:rsidP="00CE1B38">
      <w:pPr>
        <w:spacing w:after="120" w:line="360" w:lineRule="auto"/>
        <w:rPr>
          <w:rFonts w:ascii="Calibri Light" w:eastAsia="Times New Roman" w:hAnsi="Calibri Light" w:cs="Calibri Light"/>
          <w:color w:val="000000" w:themeColor="text1"/>
        </w:rPr>
      </w:pPr>
      <w:r>
        <w:rPr>
          <w:rFonts w:ascii="Calibri Light" w:eastAsia="Times New Roman" w:hAnsi="Calibri Light" w:cs="Calibri Light"/>
        </w:rPr>
        <w:t>Despite its general prohibitions against sharing PHI, it is important to note that the Privacy Rule is not intended to interfere with public health functions. The rule contains multiple exclusions that allow public health agencies (or others) to collect, use, and disclose PHI without an individual’s authorization.</w:t>
      </w:r>
      <w:r>
        <w:rPr>
          <w:rFonts w:ascii="Calibri Light" w:eastAsia="Times New Roman" w:hAnsi="Calibri Light" w:cs="Calibri Light"/>
          <w:color w:val="000000" w:themeColor="text1"/>
          <w:vertAlign w:val="superscript"/>
        </w:rPr>
        <w:footnoteReference w:id="75"/>
      </w:r>
      <w:r>
        <w:rPr>
          <w:rFonts w:ascii="Calibri Light" w:eastAsia="Times New Roman" w:hAnsi="Calibri Light" w:cs="Calibri Light"/>
        </w:rPr>
        <w:t xml:space="preserve"> One important exclusion is the “p</w:t>
      </w:r>
      <w:r>
        <w:rPr>
          <w:rFonts w:ascii="Calibri Light" w:eastAsia="Times New Roman" w:hAnsi="Calibri Light" w:cs="Calibri Light"/>
          <w:color w:val="000000" w:themeColor="text1"/>
        </w:rPr>
        <w:t>ublic interest and benefit activities” exclusion, which permits use and disclosure of PHI without an individual’s authorization for specific public purposes that acknowledge the important uses for health information beyond the healthcare setting. The rule allows, but does not require, disclosures for a dozen identified public purposes.</w:t>
      </w:r>
      <w:r>
        <w:rPr>
          <w:rFonts w:ascii="Calibri Light" w:eastAsia="Times New Roman" w:hAnsi="Calibri Light" w:cs="Calibri Light"/>
          <w:color w:val="000000" w:themeColor="text1"/>
          <w:vertAlign w:val="superscript"/>
        </w:rPr>
        <w:footnoteReference w:id="76"/>
      </w:r>
      <w:r>
        <w:rPr>
          <w:rFonts w:ascii="Calibri Light" w:eastAsia="Times New Roman" w:hAnsi="Calibri Light" w:cs="Calibri Light"/>
          <w:color w:val="000000" w:themeColor="text1"/>
        </w:rPr>
        <w:t xml:space="preserve"> Those relevant to public health agencies investigating LD outbreaks are: </w:t>
      </w:r>
    </w:p>
    <w:p w14:paraId="309B7326" w14:textId="77777777" w:rsidR="00CE1B38" w:rsidRDefault="00CE1B38" w:rsidP="00CE1B38">
      <w:pPr>
        <w:numPr>
          <w:ilvl w:val="0"/>
          <w:numId w:val="32"/>
        </w:numPr>
        <w:tabs>
          <w:tab w:val="num" w:pos="720"/>
        </w:tabs>
        <w:spacing w:after="120" w:line="360" w:lineRule="auto"/>
        <w:rPr>
          <w:rFonts w:ascii="Calibri Light" w:eastAsia="Times New Roman" w:hAnsi="Calibri Light" w:cs="Calibri Light"/>
          <w:color w:val="000000" w:themeColor="text1"/>
        </w:rPr>
      </w:pPr>
      <w:r>
        <w:rPr>
          <w:rFonts w:ascii="Calibri Light" w:eastAsia="Times New Roman" w:hAnsi="Calibri Light" w:cs="Calibri Light"/>
          <w:i/>
          <w:iCs/>
          <w:color w:val="000000" w:themeColor="text1"/>
        </w:rPr>
        <w:lastRenderedPageBreak/>
        <w:t>Required by law—</w:t>
      </w:r>
      <w:r>
        <w:rPr>
          <w:rFonts w:ascii="Calibri Light" w:eastAsia="Times New Roman" w:hAnsi="Calibri Light" w:cs="Calibri Light"/>
          <w:color w:val="000000" w:themeColor="text1"/>
        </w:rPr>
        <w:t>Covered entities may use and disclose PHI without an individual’s authorization if the use or disclosure is required under a statute, regulation, or court order.</w:t>
      </w:r>
      <w:r>
        <w:rPr>
          <w:rFonts w:ascii="Calibri Light" w:eastAsia="Times New Roman" w:hAnsi="Calibri Light" w:cs="Calibri Light"/>
          <w:color w:val="000000" w:themeColor="text1"/>
          <w:vertAlign w:val="superscript"/>
        </w:rPr>
        <w:footnoteReference w:id="77"/>
      </w:r>
    </w:p>
    <w:p w14:paraId="569D4588" w14:textId="77777777" w:rsidR="00CE1B38" w:rsidRDefault="00CE1B38" w:rsidP="00CE1B38">
      <w:pPr>
        <w:numPr>
          <w:ilvl w:val="0"/>
          <w:numId w:val="32"/>
        </w:numPr>
        <w:tabs>
          <w:tab w:val="num" w:pos="720"/>
        </w:tabs>
        <w:spacing w:line="360" w:lineRule="auto"/>
        <w:rPr>
          <w:rFonts w:ascii="Calibri Light" w:eastAsia="Times New Roman" w:hAnsi="Calibri Light" w:cs="Calibri Light"/>
          <w:color w:val="000000" w:themeColor="text1"/>
        </w:rPr>
      </w:pPr>
      <w:r>
        <w:rPr>
          <w:rFonts w:ascii="Calibri Light" w:eastAsia="Times New Roman" w:hAnsi="Calibri Light" w:cs="Calibri Light"/>
          <w:i/>
          <w:color w:val="000000" w:themeColor="text1"/>
        </w:rPr>
        <w:t>Public health activities—</w:t>
      </w:r>
      <w:r>
        <w:rPr>
          <w:rFonts w:ascii="Calibri Light" w:eastAsia="Times New Roman" w:hAnsi="Calibri Light" w:cs="Calibri Light"/>
          <w:color w:val="000000" w:themeColor="text1"/>
        </w:rPr>
        <w:t>Covered entities are allowed to disclose PHI for multiple public health activities identified in the rule, including: (1) disclosures to public health officials authorized by law to collect or receive PHI for preventing or controlling disease, injury, or disability; (2) to</w:t>
      </w:r>
      <w:r>
        <w:rPr>
          <w:rFonts w:ascii="Calibri Light" w:eastAsia="Calibri" w:hAnsi="Calibri Light" w:cs="Calibri Light"/>
        </w:rPr>
        <w:t xml:space="preserve"> </w:t>
      </w:r>
      <w:r>
        <w:rPr>
          <w:rFonts w:ascii="Calibri Light" w:eastAsia="Times New Roman" w:hAnsi="Calibri Light" w:cs="Calibri Light"/>
          <w:color w:val="000000" w:themeColor="text1"/>
        </w:rPr>
        <w:t>persons who may have contracted or been exposed to a communicable disease when notification is authorized by law; or (3) to employers who request information about their employees’ work-related illnesses or injuries or workplace-related medical surveillance data when necessary to comply with federal Occupational Safety and Health Administration (OSHA) or Mine Safety and Health Administration (MSHA) requirements, or similar state laws.</w:t>
      </w:r>
      <w:r>
        <w:rPr>
          <w:rFonts w:ascii="Calibri Light" w:eastAsia="Times New Roman" w:hAnsi="Calibri Light" w:cs="Calibri Light"/>
          <w:color w:val="000000" w:themeColor="text1"/>
          <w:vertAlign w:val="superscript"/>
        </w:rPr>
        <w:footnoteReference w:id="78"/>
      </w:r>
      <w:r>
        <w:rPr>
          <w:rFonts w:ascii="Calibri Light" w:eastAsia="Times New Roman" w:hAnsi="Calibri Light" w:cs="Calibri Light"/>
          <w:color w:val="000000" w:themeColor="text1"/>
        </w:rPr>
        <w:t xml:space="preserve"> </w:t>
      </w:r>
    </w:p>
    <w:p w14:paraId="6A814C3E" w14:textId="77777777" w:rsidR="00CE1B38" w:rsidRDefault="00CE1B38" w:rsidP="00CE1B38">
      <w:pPr>
        <w:spacing w:line="360" w:lineRule="auto"/>
        <w:rPr>
          <w:rFonts w:ascii="Calibri Light" w:eastAsia="Times New Roman" w:hAnsi="Calibri Light" w:cs="Calibri Light"/>
        </w:rPr>
      </w:pPr>
    </w:p>
    <w:p w14:paraId="7D56DE8E" w14:textId="77777777" w:rsidR="00CE1B38" w:rsidRDefault="00CE1B38" w:rsidP="00CE1B38">
      <w:pPr>
        <w:spacing w:line="360" w:lineRule="auto"/>
        <w:textAlignment w:val="baseline"/>
        <w:rPr>
          <w:rFonts w:ascii="Calibri Light" w:eastAsia="Times New Roman" w:hAnsi="Calibri Light" w:cs="Calibri Light"/>
          <w:color w:val="000000" w:themeColor="text1"/>
        </w:rPr>
      </w:pPr>
      <w:r>
        <w:rPr>
          <w:rFonts w:ascii="Calibri Light" w:eastAsia="Times New Roman" w:hAnsi="Calibri Light" w:cs="Calibri Light"/>
          <w:color w:val="000000" w:themeColor="text1"/>
        </w:rPr>
        <w:t>The HIPAA Privacy Rule includes exceptions that allow for different state requirements to control if a state’s law: (1) relates to the privacy of individually identifiable health information and provides greater privacy protections or rights than the Privacy Rule; (2) requires reporting of diseases or injuries, child abuse, birth, or death, and for public health surveillance, investigation, or intervention; or (3) requires certain reporting by health plans, such as for management or financial audits or evaluations.</w:t>
      </w:r>
      <w:r>
        <w:rPr>
          <w:rFonts w:ascii="Calibri Light" w:eastAsia="Times New Roman" w:hAnsi="Calibri Light" w:cs="Calibri Light"/>
          <w:color w:val="000000" w:themeColor="text1"/>
          <w:vertAlign w:val="superscript"/>
        </w:rPr>
        <w:footnoteReference w:id="79"/>
      </w:r>
      <w:r>
        <w:rPr>
          <w:rFonts w:ascii="Calibri Light" w:eastAsia="Times New Roman" w:hAnsi="Calibri Light" w:cs="Calibri Light"/>
          <w:color w:val="000000" w:themeColor="text1"/>
        </w:rPr>
        <w:t xml:space="preserve"> A state may also ask HHS to determine if a state’s law will not be preempted by the Privacy Rule. A state requirement will not be preempted by the Privacy Rule if HHS determines that: (1) that the conflicting state provision serves a compelling public health, safety, or welfare interest, or (2) if the conflicting state requirement relates to a privacy right, that the intrusion into privacy is warranted given the public interest being served.</w:t>
      </w:r>
      <w:r>
        <w:rPr>
          <w:rFonts w:ascii="Calibri Light" w:eastAsia="Times New Roman" w:hAnsi="Calibri Light" w:cs="Calibri Light"/>
          <w:color w:val="000000" w:themeColor="text1"/>
          <w:vertAlign w:val="superscript"/>
        </w:rPr>
        <w:footnoteReference w:id="80"/>
      </w:r>
      <w:r>
        <w:rPr>
          <w:rFonts w:ascii="Calibri Light" w:eastAsia="Times New Roman" w:hAnsi="Calibri Light" w:cs="Calibri Light"/>
          <w:color w:val="000000" w:themeColor="text1"/>
        </w:rPr>
        <w:t xml:space="preserve"> </w:t>
      </w:r>
    </w:p>
    <w:p w14:paraId="08A4ED58" w14:textId="77777777" w:rsidR="00CE1B38" w:rsidRDefault="00CE1B38" w:rsidP="00CE1B38">
      <w:pPr>
        <w:spacing w:line="360" w:lineRule="auto"/>
        <w:rPr>
          <w:rFonts w:ascii="Calibri Light" w:eastAsia="Times New Roman" w:hAnsi="Calibri Light" w:cs="Calibri Light"/>
        </w:rPr>
      </w:pPr>
    </w:p>
    <w:p w14:paraId="3A31F0E8" w14:textId="77777777" w:rsidR="00CE1B38" w:rsidRDefault="00CE1B38" w:rsidP="00CE1B38">
      <w:pPr>
        <w:spacing w:line="360" w:lineRule="auto"/>
        <w:rPr>
          <w:rFonts w:ascii="Calibri Light" w:eastAsia="Times New Roman" w:hAnsi="Calibri Light" w:cs="Calibri Light"/>
        </w:rPr>
      </w:pPr>
      <w:r>
        <w:rPr>
          <w:rFonts w:ascii="Calibri Light" w:eastAsia="Times New Roman" w:hAnsi="Calibri Light" w:cs="Calibri Light"/>
          <w:szCs w:val="20"/>
        </w:rPr>
        <w:t xml:space="preserve">The </w:t>
      </w:r>
      <w:r>
        <w:rPr>
          <w:rFonts w:ascii="Calibri Light" w:eastAsia="Times New Roman" w:hAnsi="Calibri Light" w:cs="Calibri Light"/>
          <w:b/>
          <w:bCs/>
          <w:szCs w:val="20"/>
        </w:rPr>
        <w:t xml:space="preserve">Family Educational Rights and Privacy Act (FERPA) </w:t>
      </w:r>
      <w:r>
        <w:rPr>
          <w:rFonts w:ascii="Calibri Light" w:eastAsia="Times New Roman" w:hAnsi="Calibri Light" w:cs="Calibri Light"/>
          <w:szCs w:val="20"/>
        </w:rPr>
        <w:t>limits the information schools may give to public health agencies (and others) about students.</w:t>
      </w:r>
      <w:r>
        <w:rPr>
          <w:rFonts w:ascii="Calibri Light" w:eastAsia="Times New Roman" w:hAnsi="Calibri Light" w:cs="Calibri Light"/>
          <w:szCs w:val="20"/>
          <w:vertAlign w:val="superscript"/>
        </w:rPr>
        <w:footnoteReference w:id="81"/>
      </w:r>
      <w:r>
        <w:rPr>
          <w:rFonts w:ascii="Calibri Light" w:eastAsia="Times New Roman" w:hAnsi="Calibri Light" w:cs="Calibri Light"/>
          <w:szCs w:val="20"/>
        </w:rPr>
        <w:t xml:space="preserve"> Among other things, FERPA prevents the disclosure of a </w:t>
      </w:r>
      <w:r>
        <w:rPr>
          <w:rFonts w:ascii="Calibri Light" w:eastAsia="Times New Roman" w:hAnsi="Calibri Light" w:cs="Calibri Light"/>
          <w:szCs w:val="20"/>
        </w:rPr>
        <w:lastRenderedPageBreak/>
        <w:t>student’s education record without the consent of a parent (or eligible student</w:t>
      </w:r>
      <w:r>
        <w:rPr>
          <w:rFonts w:ascii="Calibri Light" w:eastAsia="Times New Roman" w:hAnsi="Calibri Light" w:cs="Calibri Light"/>
          <w:szCs w:val="20"/>
          <w:vertAlign w:val="superscript"/>
        </w:rPr>
        <w:footnoteReference w:id="82"/>
      </w:r>
      <w:r>
        <w:rPr>
          <w:rFonts w:ascii="Calibri Light" w:eastAsia="Times New Roman" w:hAnsi="Calibri Light" w:cs="Calibri Light"/>
          <w:szCs w:val="20"/>
        </w:rPr>
        <w:t>) unless an exception to the law’s general consent requirement applies.</w:t>
      </w:r>
      <w:r>
        <w:rPr>
          <w:rFonts w:ascii="Calibri Light" w:eastAsia="Times New Roman" w:hAnsi="Calibri Light" w:cs="Calibri Light"/>
          <w:szCs w:val="20"/>
          <w:vertAlign w:val="superscript"/>
        </w:rPr>
        <w:footnoteReference w:id="83"/>
      </w:r>
      <w:r>
        <w:rPr>
          <w:rFonts w:ascii="Calibri Light" w:eastAsia="Times New Roman" w:hAnsi="Calibri Light" w:cs="Calibri Light"/>
          <w:szCs w:val="20"/>
        </w:rPr>
        <w:t xml:space="preserve"> Although an LD outbreak involving a school is not common, should a public health agency need to investigate an LD outbreak associated with a school or university—or involving students covered under FERPA—accessing student health data must consider FERPA when attempting to retrieve records or disclose information about an LD outbreak involving educational facilities or students. </w:t>
      </w:r>
      <w:r>
        <w:rPr>
          <w:rFonts w:ascii="Calibri Light" w:eastAsia="Calibri" w:hAnsi="Calibri Light" w:cs="Calibri Light"/>
        </w:rPr>
        <w:t>An education record</w:t>
      </w:r>
      <w:r>
        <w:rPr>
          <w:rStyle w:val="FootnoteReference"/>
          <w:rFonts w:ascii="Calibri Light" w:eastAsia="Calibri" w:hAnsi="Calibri Light" w:cs="Calibri Light"/>
        </w:rPr>
        <w:footnoteReference w:id="84"/>
      </w:r>
      <w:r>
        <w:rPr>
          <w:rFonts w:ascii="Calibri Light" w:eastAsia="Calibri" w:hAnsi="Calibri Light" w:cs="Calibri Light"/>
        </w:rPr>
        <w:t xml:space="preserve"> is considered to contain personally identifiable information (PII), which includes </w:t>
      </w:r>
      <w:r>
        <w:rPr>
          <w:rFonts w:ascii="Calibri Light" w:eastAsia="Times New Roman" w:hAnsi="Calibri Light" w:cs="Calibri Light"/>
          <w:szCs w:val="20"/>
        </w:rPr>
        <w:t>name, address, personal identifiers like SSN, date of birth, biometric data, or other information that could be used alone or in combination to identify a student.</w:t>
      </w:r>
      <w:r>
        <w:rPr>
          <w:rFonts w:ascii="Calibri Light" w:eastAsia="Times New Roman" w:hAnsi="Calibri Light" w:cs="Calibri Light"/>
          <w:szCs w:val="20"/>
          <w:vertAlign w:val="superscript"/>
        </w:rPr>
        <w:footnoteReference w:id="85"/>
      </w:r>
      <w:r>
        <w:rPr>
          <w:rFonts w:ascii="Calibri Light" w:eastAsia="Times New Roman" w:hAnsi="Calibri Light" w:cs="Calibri Light"/>
          <w:szCs w:val="20"/>
          <w:bdr w:val="none" w:sz="0" w:space="0" w:color="auto" w:frame="1"/>
        </w:rPr>
        <w:t xml:space="preserve"> </w:t>
      </w:r>
      <w:r>
        <w:rPr>
          <w:rFonts w:ascii="Calibri Light" w:eastAsia="Times New Roman" w:hAnsi="Calibri Light" w:cs="Calibri Light"/>
          <w:szCs w:val="20"/>
        </w:rPr>
        <w:t>However, schools may disclose without consent “directory information” such as a student's name, address, telephone number, date and place of birth, and dates of attendance.</w:t>
      </w:r>
      <w:r>
        <w:rPr>
          <w:rFonts w:ascii="Calibri Light" w:eastAsia="Times New Roman" w:hAnsi="Calibri Light" w:cs="Calibri Light"/>
          <w:szCs w:val="20"/>
          <w:vertAlign w:val="superscript"/>
        </w:rPr>
        <w:footnoteReference w:id="86"/>
      </w:r>
      <w:r>
        <w:rPr>
          <w:rFonts w:ascii="Calibri Light" w:eastAsia="Times New Roman" w:hAnsi="Calibri Light" w:cs="Calibri Light"/>
          <w:szCs w:val="20"/>
        </w:rPr>
        <w:t xml:space="preserve"> A student’s health records, including records maintained by a school nurse, are considered part of the student’s education record, and thus are protected from disclosure under FERPA. Schools may also disclose de-identified information without written consent.</w:t>
      </w:r>
      <w:r>
        <w:rPr>
          <w:rFonts w:ascii="Calibri Light" w:eastAsia="Times New Roman" w:hAnsi="Calibri Light" w:cs="Calibri Light"/>
          <w:szCs w:val="20"/>
          <w:vertAlign w:val="superscript"/>
        </w:rPr>
        <w:footnoteReference w:id="87"/>
      </w:r>
      <w:r>
        <w:rPr>
          <w:rFonts w:ascii="Calibri Light" w:eastAsia="Times New Roman" w:hAnsi="Calibri Light" w:cs="Calibri Light"/>
          <w:szCs w:val="20"/>
          <w:bdr w:val="none" w:sz="0" w:space="0" w:color="auto" w:frame="1"/>
        </w:rPr>
        <w:t xml:space="preserve"> </w:t>
      </w:r>
    </w:p>
    <w:p w14:paraId="28F3C701" w14:textId="77777777" w:rsidR="00CE1B38" w:rsidRDefault="00CE1B38" w:rsidP="00CE1B38">
      <w:pPr>
        <w:spacing w:line="360" w:lineRule="auto"/>
        <w:rPr>
          <w:rFonts w:ascii="Calibri Light" w:eastAsia="Times New Roman" w:hAnsi="Calibri Light" w:cs="Calibri Light"/>
          <w:szCs w:val="20"/>
        </w:rPr>
      </w:pPr>
    </w:p>
    <w:p w14:paraId="2B263939" w14:textId="77777777" w:rsidR="00CE1B38" w:rsidRDefault="00CE1B38" w:rsidP="00CE1B38">
      <w:pPr>
        <w:spacing w:line="360" w:lineRule="auto"/>
        <w:rPr>
          <w:rFonts w:ascii="Calibri Light" w:eastAsia="Times New Roman" w:hAnsi="Calibri Light" w:cs="Calibri Light"/>
          <w:szCs w:val="20"/>
        </w:rPr>
      </w:pPr>
      <w:r>
        <w:rPr>
          <w:rFonts w:ascii="Calibri Light" w:eastAsia="Times New Roman" w:hAnsi="Calibri Light" w:cs="Calibri Light"/>
          <w:szCs w:val="20"/>
        </w:rPr>
        <w:t xml:space="preserve">In addition to disclosures to parents and eligible students, and for directory information, FERPA regulations identify the parties to or circumstances in which disclosure of PII may be made without </w:t>
      </w:r>
      <w:r>
        <w:rPr>
          <w:rFonts w:ascii="Calibri Light" w:eastAsia="Times New Roman" w:hAnsi="Calibri Light" w:cs="Calibri Light"/>
          <w:szCs w:val="20"/>
        </w:rPr>
        <w:lastRenderedPageBreak/>
        <w:t>consent.</w:t>
      </w:r>
      <w:r>
        <w:rPr>
          <w:rFonts w:ascii="Calibri Light" w:eastAsia="Times New Roman" w:hAnsi="Calibri Light" w:cs="Calibri Light"/>
          <w:szCs w:val="20"/>
          <w:vertAlign w:val="superscript"/>
        </w:rPr>
        <w:footnoteReference w:id="88"/>
      </w:r>
      <w:r>
        <w:rPr>
          <w:rFonts w:ascii="Calibri Light" w:eastAsia="Times New Roman" w:hAnsi="Calibri Light" w:cs="Calibri Light"/>
          <w:szCs w:val="20"/>
        </w:rPr>
        <w:t xml:space="preserve"> Historically, these exceptions have been narrowly construed by the </w:t>
      </w:r>
      <w:r>
        <w:rPr>
          <w:rFonts w:ascii="Calibri Light" w:eastAsia="Times New Roman" w:hAnsi="Calibri Light" w:cs="Calibri Light"/>
        </w:rPr>
        <w:t>U.S. Department of Education (ED)</w:t>
      </w:r>
      <w:r>
        <w:rPr>
          <w:rFonts w:ascii="Calibri Light" w:eastAsia="Times New Roman" w:hAnsi="Calibri Light" w:cs="Calibri Light"/>
          <w:szCs w:val="20"/>
        </w:rPr>
        <w:t xml:space="preserve"> to err on the side of protecting the student’s privacy over making a disclosure and are generally coupled with the requirement that the exceptional use is related to educational purposes.</w:t>
      </w:r>
      <w:r>
        <w:rPr>
          <w:rFonts w:ascii="Calibri Light" w:eastAsia="Times New Roman" w:hAnsi="Calibri Light" w:cs="Calibri Light"/>
          <w:szCs w:val="20"/>
          <w:vertAlign w:val="superscript"/>
        </w:rPr>
        <w:footnoteReference w:id="89"/>
      </w:r>
      <w:r>
        <w:rPr>
          <w:rFonts w:ascii="Calibri Light" w:eastAsia="Times New Roman" w:hAnsi="Calibri Light" w:cs="Calibri Light"/>
          <w:szCs w:val="20"/>
        </w:rPr>
        <w:t xml:space="preserve"> FERPA’s “health and safety emergencies” exception permits a </w:t>
      </w:r>
      <w:r>
        <w:rPr>
          <w:rFonts w:ascii="Calibri Light" w:eastAsia="Times New Roman" w:hAnsi="Calibri Light" w:cs="Calibri Light"/>
        </w:rPr>
        <w:t>school to disclose PII from education records in an emergency if the information is necessary to protect the health or safety of the student or other individuals.</w:t>
      </w:r>
      <w:r>
        <w:rPr>
          <w:rFonts w:ascii="Calibri Light" w:eastAsia="Times New Roman" w:hAnsi="Calibri Light" w:cs="Calibri Light"/>
          <w:vertAlign w:val="superscript"/>
        </w:rPr>
        <w:footnoteReference w:id="90"/>
      </w:r>
      <w:r>
        <w:rPr>
          <w:rFonts w:ascii="Calibri Light" w:eastAsia="Times New Roman" w:hAnsi="Calibri Light" w:cs="Calibri Light"/>
        </w:rPr>
        <w:t xml:space="preserve"> Disclosure under this exception may be made to appropriate parties, including the student’s parents and law enforcement, public health officials, and trained medical personnel.</w:t>
      </w:r>
      <w:r>
        <w:rPr>
          <w:rFonts w:ascii="Calibri Light" w:eastAsia="Times New Roman" w:hAnsi="Calibri Light" w:cs="Calibri Light"/>
          <w:vertAlign w:val="superscript"/>
        </w:rPr>
        <w:footnoteReference w:id="91"/>
      </w:r>
      <w:r>
        <w:rPr>
          <w:rFonts w:ascii="Calibri Light" w:eastAsia="Times New Roman" w:hAnsi="Calibri Light" w:cs="Calibri Light"/>
        </w:rPr>
        <w:t xml:space="preserve"> A school may disclose information necessary to protect the health or safety if it determines there is an articulable and significant threat.</w:t>
      </w:r>
      <w:r>
        <w:rPr>
          <w:rFonts w:ascii="Calibri Light" w:eastAsia="Times New Roman" w:hAnsi="Calibri Light" w:cs="Calibri Light"/>
          <w:vertAlign w:val="superscript"/>
        </w:rPr>
        <w:footnoteReference w:id="92"/>
      </w:r>
      <w:r>
        <w:rPr>
          <w:rFonts w:ascii="Calibri Light" w:eastAsia="Times New Roman" w:hAnsi="Calibri Light" w:cs="Calibri Light"/>
        </w:rPr>
        <w:t xml:space="preserve"> While ED has generally narrowly construed the health and safety exception, the agency defer to the judgment of a school in making a determination that there was a rational basis for the determination based on the information available to it at the time.</w:t>
      </w:r>
      <w:r>
        <w:rPr>
          <w:rFonts w:ascii="Calibri Light" w:eastAsia="Times New Roman" w:hAnsi="Calibri Light" w:cs="Calibri Light"/>
          <w:vertAlign w:val="superscript"/>
        </w:rPr>
        <w:footnoteReference w:id="93"/>
      </w:r>
      <w:r>
        <w:rPr>
          <w:rFonts w:ascii="Calibri Light" w:eastAsia="Times New Roman" w:hAnsi="Calibri Light" w:cs="Calibri Light"/>
        </w:rPr>
        <w:t xml:space="preserve"> It is unlikely, however that a LD outbreak would fall into the type of emergency contemplated by the exception.</w:t>
      </w:r>
      <w:r>
        <w:rPr>
          <w:rStyle w:val="FootnoteReference"/>
          <w:rFonts w:ascii="Calibri Light" w:eastAsia="Times New Roman" w:hAnsi="Calibri Light" w:cs="Calibri Light"/>
        </w:rPr>
        <w:footnoteReference w:id="94"/>
      </w:r>
    </w:p>
    <w:p w14:paraId="746DFA99" w14:textId="77777777" w:rsidR="00CE1B38" w:rsidRDefault="00CE1B38" w:rsidP="00CE1B38">
      <w:pPr>
        <w:spacing w:line="360" w:lineRule="auto"/>
        <w:rPr>
          <w:rFonts w:ascii="Calibri Light" w:eastAsia="Times New Roman" w:hAnsi="Calibri Light" w:cs="Calibri Light"/>
          <w:szCs w:val="20"/>
        </w:rPr>
      </w:pPr>
    </w:p>
    <w:p w14:paraId="3A33B6F2" w14:textId="77777777" w:rsidR="00CE1B38" w:rsidRDefault="00CE1B38" w:rsidP="00CE1B38">
      <w:pPr>
        <w:spacing w:line="360" w:lineRule="auto"/>
        <w:rPr>
          <w:rFonts w:ascii="Calibri Light" w:eastAsia="Times New Roman" w:hAnsi="Calibri Light" w:cs="Calibri Light"/>
          <w:szCs w:val="20"/>
        </w:rPr>
      </w:pPr>
      <w:r>
        <w:rPr>
          <w:rFonts w:ascii="Calibri Light" w:eastAsia="Times New Roman" w:hAnsi="Calibri Light" w:cs="Calibri Light"/>
          <w:szCs w:val="20"/>
        </w:rPr>
        <w:t xml:space="preserve">FERPA’s restrictions on sharing health information acquired by an educational institution can be a source of concern and a barrier to sharing relevant data with state and local public health agencies. School personnel who are concerned and uncertain about their ability to legally share information in keeping with FERPA requirements may be reluctant or even refuse to share information relevant for public health. States can also adopt more stringent privacy requirements for students’ information. Conversely, state open/public records laws may classify some student records as public information that would not be available under FERPA. The case law addressing the preemption of FERPA over state privacy and/or public records laws is dependent on the language of the state statutes or regulations and the specific type of </w:t>
      </w:r>
      <w:r>
        <w:rPr>
          <w:rFonts w:ascii="Calibri Light" w:eastAsia="Times New Roman" w:hAnsi="Calibri Light" w:cs="Calibri Light"/>
          <w:szCs w:val="20"/>
        </w:rPr>
        <w:lastRenderedPageBreak/>
        <w:t>information being sought (e.g., disciplinary records). Thus, it is important to understand how specific state privacy and open records laws in a jurisdiction relate to FERPA and how these state laws have been interpreted by the courts governing that jurisdiction.</w:t>
      </w:r>
    </w:p>
    <w:p w14:paraId="6CFE2306" w14:textId="6EE7C207" w:rsidR="00CE1B38" w:rsidRDefault="00CE1B38" w:rsidP="00CE1B38">
      <w:pPr>
        <w:rPr>
          <w:rFonts w:asciiTheme="majorHAnsi" w:eastAsia="Times New Roman" w:hAnsiTheme="majorHAnsi" w:cstheme="majorHAnsi"/>
        </w:rPr>
      </w:pPr>
    </w:p>
    <w:p w14:paraId="6C929776" w14:textId="160ACE0B" w:rsidR="00CE1B38" w:rsidRDefault="00CE1B38" w:rsidP="00CE1B38">
      <w:pPr>
        <w:spacing w:line="360" w:lineRule="auto"/>
        <w:rPr>
          <w:rFonts w:asciiTheme="majorHAnsi" w:eastAsia="Times New Roman" w:hAnsiTheme="majorHAnsi" w:cstheme="majorHAnsi"/>
        </w:rPr>
      </w:pPr>
      <w:r>
        <w:rPr>
          <w:noProof/>
        </w:rPr>
        <mc:AlternateContent>
          <mc:Choice Requires="wps">
            <w:drawing>
              <wp:anchor distT="45720" distB="45720" distL="114300" distR="114300" simplePos="0" relativeHeight="251674624" behindDoc="0" locked="0" layoutInCell="1" allowOverlap="1" wp14:anchorId="41F210AC" wp14:editId="4B5B0F50">
                <wp:simplePos x="0" y="0"/>
                <wp:positionH relativeFrom="margin">
                  <wp:align>center</wp:align>
                </wp:positionH>
                <wp:positionV relativeFrom="paragraph">
                  <wp:posOffset>0</wp:posOffset>
                </wp:positionV>
                <wp:extent cx="6565392" cy="6784848"/>
                <wp:effectExtent l="0" t="0" r="26035" b="1651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392" cy="6784848"/>
                        </a:xfrm>
                        <a:prstGeom prst="rect">
                          <a:avLst/>
                        </a:prstGeom>
                        <a:solidFill>
                          <a:srgbClr val="FFFFFF"/>
                        </a:solidFill>
                        <a:ln w="9525">
                          <a:solidFill>
                            <a:srgbClr val="000000"/>
                          </a:solidFill>
                          <a:miter lim="800000"/>
                          <a:headEnd/>
                          <a:tailEnd/>
                        </a:ln>
                      </wps:spPr>
                      <wps:txbx>
                        <w:txbxContent>
                          <w:p w14:paraId="7F858018" w14:textId="77777777" w:rsidR="00A318FA" w:rsidRDefault="00A318FA" w:rsidP="00CE1B38">
                            <w:pPr>
                              <w:spacing w:after="120"/>
                              <w:jc w:val="center"/>
                              <w:rPr>
                                <w:rFonts w:ascii="Arial" w:hAnsi="Arial" w:cs="Arial"/>
                                <w:b/>
                                <w:bCs/>
                              </w:rPr>
                            </w:pPr>
                            <w:r>
                              <w:rPr>
                                <w:rFonts w:ascii="Arial" w:hAnsi="Arial" w:cs="Arial"/>
                                <w:b/>
                                <w:bCs/>
                              </w:rPr>
                              <w:t>Box 1: Practice Tips</w:t>
                            </w:r>
                          </w:p>
                          <w:p w14:paraId="3F900A63" w14:textId="77777777" w:rsidR="00A318FA" w:rsidRDefault="00A318FA" w:rsidP="00CE1B38">
                            <w:pPr>
                              <w:jc w:val="center"/>
                              <w:rPr>
                                <w:rFonts w:ascii="Arial" w:hAnsi="Arial" w:cs="Arial"/>
                                <w:b/>
                                <w:bCs/>
                              </w:rPr>
                            </w:pPr>
                            <w:r>
                              <w:rPr>
                                <w:rFonts w:ascii="Arial" w:hAnsi="Arial" w:cs="Arial"/>
                                <w:b/>
                                <w:bCs/>
                              </w:rPr>
                              <w:t>Access to Information and Confidentiality</w:t>
                            </w:r>
                          </w:p>
                          <w:p w14:paraId="13EB4093" w14:textId="77777777" w:rsidR="00A318FA" w:rsidRDefault="00A318FA" w:rsidP="00CE1B38">
                            <w:pPr>
                              <w:spacing w:line="360" w:lineRule="auto"/>
                              <w:rPr>
                                <w:rFonts w:asciiTheme="majorHAnsi" w:hAnsiTheme="majorHAnsi" w:cstheme="majorHAnsi"/>
                              </w:rPr>
                            </w:pPr>
                          </w:p>
                          <w:p w14:paraId="4318FB41" w14:textId="77777777" w:rsidR="00A318FA" w:rsidRDefault="00A318FA" w:rsidP="00CE1B38">
                            <w:pPr>
                              <w:rPr>
                                <w:rFonts w:ascii="Arial" w:hAnsi="Arial" w:cs="Arial"/>
                                <w:i/>
                                <w:iCs/>
                                <w:sz w:val="18"/>
                                <w:szCs w:val="18"/>
                              </w:rPr>
                            </w:pPr>
                            <w:r>
                              <w:rPr>
                                <w:rFonts w:ascii="Arial" w:hAnsi="Arial" w:cs="Arial"/>
                                <w:i/>
                                <w:iCs/>
                                <w:sz w:val="18"/>
                                <w:szCs w:val="18"/>
                              </w:rPr>
                              <w:t>Use these tips to guide conversation with legal counsel and develop guidelines for collecting, using, and disclosing information during an LD outbreak.</w:t>
                            </w:r>
                          </w:p>
                          <w:p w14:paraId="306BBAC4" w14:textId="77777777" w:rsidR="00A318FA" w:rsidRDefault="00A318FA" w:rsidP="00CE1B38">
                            <w:pPr>
                              <w:rPr>
                                <w:rFonts w:ascii="Arial" w:hAnsi="Arial" w:cs="Arial"/>
                                <w:sz w:val="18"/>
                                <w:szCs w:val="18"/>
                              </w:rPr>
                            </w:pPr>
                          </w:p>
                          <w:p w14:paraId="2FE8B5FD" w14:textId="77777777" w:rsidR="00A318FA" w:rsidRDefault="00A318FA" w:rsidP="00CE1B38">
                            <w:pPr>
                              <w:spacing w:after="120"/>
                              <w:rPr>
                                <w:rFonts w:ascii="Arial" w:hAnsi="Arial" w:cs="Arial"/>
                                <w:sz w:val="18"/>
                                <w:szCs w:val="18"/>
                              </w:rPr>
                            </w:pPr>
                            <w:r>
                              <w:rPr>
                                <w:rFonts w:ascii="Arial" w:hAnsi="Arial" w:cs="Arial"/>
                                <w:sz w:val="18"/>
                                <w:szCs w:val="18"/>
                              </w:rPr>
                              <w:t xml:space="preserve">Identify legal authorities that authorize your public health agency to collect and use information from sources like individuals, businesses, and organizations. </w:t>
                            </w:r>
                          </w:p>
                          <w:p w14:paraId="0D9A7B03" w14:textId="77777777" w:rsidR="00A318FA" w:rsidRDefault="00A318FA" w:rsidP="00CE1B38">
                            <w:pPr>
                              <w:pStyle w:val="ListParagraph"/>
                              <w:numPr>
                                <w:ilvl w:val="0"/>
                                <w:numId w:val="33"/>
                              </w:numPr>
                              <w:spacing w:after="120"/>
                              <w:rPr>
                                <w:rFonts w:ascii="Arial" w:hAnsi="Arial" w:cs="Arial"/>
                                <w:sz w:val="18"/>
                                <w:szCs w:val="18"/>
                              </w:rPr>
                            </w:pPr>
                            <w:r>
                              <w:rPr>
                                <w:rFonts w:ascii="Arial" w:hAnsi="Arial" w:cs="Arial"/>
                                <w:sz w:val="18"/>
                                <w:szCs w:val="18"/>
                              </w:rPr>
                              <w:t xml:space="preserve">For each type of legal authority listed below, identify the types of data information that can be collected from/about each type of source. </w:t>
                            </w:r>
                          </w:p>
                          <w:p w14:paraId="7A6DDC3B" w14:textId="77777777" w:rsidR="00A318FA" w:rsidRDefault="00A318FA" w:rsidP="00CE1B38">
                            <w:pPr>
                              <w:pStyle w:val="ListParagraph"/>
                              <w:numPr>
                                <w:ilvl w:val="0"/>
                                <w:numId w:val="33"/>
                              </w:numPr>
                              <w:spacing w:after="120"/>
                              <w:rPr>
                                <w:rFonts w:ascii="Arial" w:hAnsi="Arial" w:cs="Arial"/>
                                <w:sz w:val="18"/>
                                <w:szCs w:val="18"/>
                              </w:rPr>
                            </w:pPr>
                            <w:r>
                              <w:rPr>
                                <w:rFonts w:ascii="Arial" w:hAnsi="Arial" w:cs="Arial"/>
                                <w:sz w:val="18"/>
                                <w:szCs w:val="18"/>
                              </w:rPr>
                              <w:t xml:space="preserve">Also note any prerequisites, conditions, or limitations on the type of information allowed or how it is used. </w:t>
                            </w:r>
                          </w:p>
                          <w:p w14:paraId="63A6C1D6"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General public health authority</w:t>
                            </w:r>
                          </w:p>
                          <w:p w14:paraId="0F671912"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Disease specific</w:t>
                            </w:r>
                          </w:p>
                          <w:p w14:paraId="0139715A"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Setting specific</w:t>
                            </w:r>
                          </w:p>
                          <w:p w14:paraId="13BE4AD0"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Other conditions (e.g., criminal, suspected acts of bioterrorism)</w:t>
                            </w:r>
                          </w:p>
                          <w:p w14:paraId="0648BB20"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Catch-all (e.g., unusual occurrence of a disease, infection, or condition)</w:t>
                            </w:r>
                          </w:p>
                          <w:p w14:paraId="2F3F6406" w14:textId="77777777" w:rsidR="00A318FA" w:rsidRDefault="00A318FA" w:rsidP="00CE1B38">
                            <w:pPr>
                              <w:pStyle w:val="ListParagraph"/>
                              <w:numPr>
                                <w:ilvl w:val="0"/>
                                <w:numId w:val="34"/>
                              </w:numPr>
                              <w:ind w:left="1080"/>
                              <w:rPr>
                                <w:rFonts w:ascii="Arial" w:hAnsi="Arial" w:cs="Arial"/>
                                <w:sz w:val="18"/>
                                <w:szCs w:val="18"/>
                              </w:rPr>
                            </w:pPr>
                            <w:r>
                              <w:rPr>
                                <w:rFonts w:ascii="Arial" w:hAnsi="Arial" w:cs="Arial"/>
                                <w:sz w:val="18"/>
                                <w:szCs w:val="18"/>
                              </w:rPr>
                              <w:t>Other</w:t>
                            </w:r>
                          </w:p>
                          <w:p w14:paraId="2DED0E83" w14:textId="77777777" w:rsidR="00A318FA" w:rsidRDefault="00A318FA" w:rsidP="00CE1B38">
                            <w:pPr>
                              <w:rPr>
                                <w:rFonts w:ascii="Arial" w:hAnsi="Arial" w:cs="Arial"/>
                                <w:sz w:val="18"/>
                                <w:szCs w:val="18"/>
                              </w:rPr>
                            </w:pPr>
                          </w:p>
                          <w:p w14:paraId="7A528EFE" w14:textId="77777777" w:rsidR="00A318FA" w:rsidRDefault="00A318FA" w:rsidP="00CE1B38">
                            <w:pPr>
                              <w:spacing w:after="120"/>
                              <w:rPr>
                                <w:rFonts w:ascii="Arial" w:hAnsi="Arial" w:cs="Arial"/>
                                <w:sz w:val="18"/>
                                <w:szCs w:val="18"/>
                              </w:rPr>
                            </w:pPr>
                            <w:r>
                              <w:rPr>
                                <w:rFonts w:ascii="Arial" w:hAnsi="Arial" w:cs="Arial"/>
                                <w:sz w:val="18"/>
                                <w:szCs w:val="18"/>
                              </w:rPr>
                              <w:t xml:space="preserve">Identify legal authorities that authorize or require the public health agency to disclose information. </w:t>
                            </w:r>
                          </w:p>
                          <w:p w14:paraId="4C448ED6" w14:textId="77777777" w:rsidR="00A318FA" w:rsidRDefault="00A318FA" w:rsidP="00CE1B38">
                            <w:pPr>
                              <w:pStyle w:val="ListParagraph"/>
                              <w:numPr>
                                <w:ilvl w:val="0"/>
                                <w:numId w:val="35"/>
                              </w:numPr>
                              <w:spacing w:after="120"/>
                              <w:rPr>
                                <w:rFonts w:ascii="Arial" w:hAnsi="Arial" w:cs="Arial"/>
                                <w:sz w:val="18"/>
                                <w:szCs w:val="18"/>
                              </w:rPr>
                            </w:pPr>
                            <w:r>
                              <w:rPr>
                                <w:rFonts w:ascii="Arial" w:hAnsi="Arial" w:cs="Arial"/>
                                <w:sz w:val="18"/>
                                <w:szCs w:val="18"/>
                              </w:rPr>
                              <w:t xml:space="preserve">Note any prerequisites, conditions, or limitations on the type of information that can be disclosed and to whom it may or must be disclosed. </w:t>
                            </w:r>
                          </w:p>
                          <w:p w14:paraId="7D2880D4" w14:textId="77777777" w:rsidR="00A318FA" w:rsidRDefault="00A318FA" w:rsidP="00CE1B38">
                            <w:pPr>
                              <w:pStyle w:val="ListParagraph"/>
                              <w:numPr>
                                <w:ilvl w:val="0"/>
                                <w:numId w:val="35"/>
                              </w:numPr>
                              <w:spacing w:after="80"/>
                              <w:rPr>
                                <w:rFonts w:ascii="Arial" w:hAnsi="Arial" w:cs="Arial"/>
                                <w:b/>
                                <w:bCs/>
                                <w:sz w:val="18"/>
                                <w:szCs w:val="18"/>
                              </w:rPr>
                            </w:pPr>
                            <w:r>
                              <w:rPr>
                                <w:rFonts w:ascii="Arial" w:hAnsi="Arial" w:cs="Arial"/>
                                <w:sz w:val="18"/>
                                <w:szCs w:val="18"/>
                              </w:rPr>
                              <w:t xml:space="preserve">Consider each of the following types of legal authorities:  </w:t>
                            </w:r>
                          </w:p>
                          <w:p w14:paraId="15E34419"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Freedom of information/open records laws</w:t>
                            </w:r>
                          </w:p>
                          <w:p w14:paraId="4AB828F5"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Health information privacy laws</w:t>
                            </w:r>
                          </w:p>
                          <w:p w14:paraId="1608097C"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Data practices laws</w:t>
                            </w:r>
                          </w:p>
                          <w:p w14:paraId="4D60A2A7"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Right to privacy statutes</w:t>
                            </w:r>
                          </w:p>
                          <w:p w14:paraId="0F4CBAE3"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General public health laws</w:t>
                            </w:r>
                          </w:p>
                          <w:p w14:paraId="0DAA3E41" w14:textId="77777777" w:rsidR="00A318FA" w:rsidRDefault="00A318FA" w:rsidP="00CE1B38">
                            <w:pPr>
                              <w:pStyle w:val="ListParagraph"/>
                              <w:numPr>
                                <w:ilvl w:val="0"/>
                                <w:numId w:val="36"/>
                              </w:numPr>
                              <w:rPr>
                                <w:rFonts w:ascii="Arial" w:hAnsi="Arial" w:cs="Arial"/>
                                <w:sz w:val="18"/>
                                <w:szCs w:val="18"/>
                              </w:rPr>
                            </w:pPr>
                            <w:r>
                              <w:rPr>
                                <w:rFonts w:ascii="Arial" w:hAnsi="Arial" w:cs="Arial"/>
                                <w:sz w:val="18"/>
                                <w:szCs w:val="18"/>
                              </w:rPr>
                              <w:t xml:space="preserve">Court decisions </w:t>
                            </w:r>
                          </w:p>
                          <w:p w14:paraId="57230865" w14:textId="77777777" w:rsidR="00A318FA" w:rsidRDefault="00A318FA" w:rsidP="00CE1B38">
                            <w:pPr>
                              <w:ind w:left="360"/>
                              <w:rPr>
                                <w:rFonts w:ascii="Arial" w:hAnsi="Arial" w:cs="Arial"/>
                                <w:sz w:val="18"/>
                                <w:szCs w:val="18"/>
                              </w:rPr>
                            </w:pPr>
                          </w:p>
                          <w:p w14:paraId="76060126" w14:textId="77777777" w:rsidR="00A318FA" w:rsidRDefault="00A318FA" w:rsidP="00CE1B38">
                            <w:pPr>
                              <w:spacing w:after="120"/>
                              <w:rPr>
                                <w:rFonts w:ascii="Arial" w:hAnsi="Arial" w:cs="Arial"/>
                                <w:sz w:val="18"/>
                                <w:szCs w:val="18"/>
                              </w:rPr>
                            </w:pPr>
                            <w:r>
                              <w:rPr>
                                <w:rFonts w:ascii="Arial" w:hAnsi="Arial" w:cs="Arial"/>
                                <w:sz w:val="18"/>
                                <w:szCs w:val="18"/>
                              </w:rPr>
                              <w:t xml:space="preserve">Identify legal authorities that require your agency to protect information from sources like individuals, businesses, and organizations. </w:t>
                            </w:r>
                          </w:p>
                          <w:p w14:paraId="5F6715AD" w14:textId="77777777" w:rsidR="00A318FA" w:rsidRDefault="00A318FA" w:rsidP="00CE1B38">
                            <w:pPr>
                              <w:pStyle w:val="ListParagraph"/>
                              <w:numPr>
                                <w:ilvl w:val="0"/>
                                <w:numId w:val="37"/>
                              </w:numPr>
                              <w:spacing w:after="120"/>
                              <w:rPr>
                                <w:rFonts w:ascii="Arial" w:hAnsi="Arial" w:cs="Arial"/>
                                <w:sz w:val="18"/>
                                <w:szCs w:val="18"/>
                              </w:rPr>
                            </w:pPr>
                            <w:r>
                              <w:rPr>
                                <w:rFonts w:ascii="Arial" w:hAnsi="Arial" w:cs="Arial"/>
                                <w:sz w:val="18"/>
                                <w:szCs w:val="18"/>
                              </w:rPr>
                              <w:t xml:space="preserve">For each type of legal authority listed below, identify the types of information protected that must be protected from/about each type of source. </w:t>
                            </w:r>
                          </w:p>
                          <w:p w14:paraId="10B765E4" w14:textId="77777777" w:rsidR="00A318FA" w:rsidRDefault="00A318FA" w:rsidP="00CE1B38">
                            <w:pPr>
                              <w:pStyle w:val="ListParagraph"/>
                              <w:numPr>
                                <w:ilvl w:val="0"/>
                                <w:numId w:val="37"/>
                              </w:numPr>
                              <w:spacing w:after="120"/>
                              <w:rPr>
                                <w:rFonts w:ascii="Arial" w:hAnsi="Arial" w:cs="Arial"/>
                                <w:sz w:val="18"/>
                                <w:szCs w:val="18"/>
                              </w:rPr>
                            </w:pPr>
                            <w:r>
                              <w:rPr>
                                <w:rFonts w:ascii="Arial" w:hAnsi="Arial" w:cs="Arial"/>
                                <w:sz w:val="18"/>
                                <w:szCs w:val="18"/>
                              </w:rPr>
                              <w:t>Also note any prerequisites, conditions, or limitations on the privacy protections allowed or how they are implemented.</w:t>
                            </w:r>
                          </w:p>
                          <w:p w14:paraId="66CC9FB6" w14:textId="77777777" w:rsidR="00A318FA" w:rsidRDefault="00A318FA" w:rsidP="00CE1B38">
                            <w:pPr>
                              <w:pStyle w:val="ListParagraph"/>
                              <w:numPr>
                                <w:ilvl w:val="0"/>
                                <w:numId w:val="38"/>
                              </w:numPr>
                              <w:spacing w:after="80"/>
                              <w:ind w:left="1080"/>
                              <w:rPr>
                                <w:rFonts w:ascii="Arial" w:hAnsi="Arial" w:cs="Arial"/>
                                <w:sz w:val="18"/>
                                <w:szCs w:val="18"/>
                              </w:rPr>
                            </w:pPr>
                            <w:r>
                              <w:rPr>
                                <w:rFonts w:ascii="Arial" w:hAnsi="Arial" w:cs="Arial"/>
                                <w:sz w:val="18"/>
                                <w:szCs w:val="18"/>
                              </w:rPr>
                              <w:t>Freedom of information/open records laws</w:t>
                            </w:r>
                          </w:p>
                          <w:p w14:paraId="5317F8AF" w14:textId="77777777" w:rsidR="00A318FA" w:rsidRDefault="00A318FA" w:rsidP="00CE1B38">
                            <w:pPr>
                              <w:pStyle w:val="ListParagraph"/>
                              <w:numPr>
                                <w:ilvl w:val="1"/>
                                <w:numId w:val="38"/>
                              </w:numPr>
                              <w:spacing w:after="80"/>
                              <w:ind w:left="1800"/>
                              <w:rPr>
                                <w:rFonts w:ascii="Arial" w:hAnsi="Arial" w:cs="Arial"/>
                                <w:sz w:val="18"/>
                                <w:szCs w:val="18"/>
                              </w:rPr>
                            </w:pPr>
                            <w:r>
                              <w:rPr>
                                <w:rFonts w:ascii="Arial" w:hAnsi="Arial" w:cs="Arial"/>
                                <w:sz w:val="18"/>
                                <w:szCs w:val="18"/>
                              </w:rPr>
                              <w:t>Information excluded from the definition of public records</w:t>
                            </w:r>
                          </w:p>
                          <w:p w14:paraId="59AC3D2C" w14:textId="77777777" w:rsidR="00A318FA" w:rsidRDefault="00A318FA" w:rsidP="00CE1B38">
                            <w:pPr>
                              <w:pStyle w:val="ListParagraph"/>
                              <w:numPr>
                                <w:ilvl w:val="1"/>
                                <w:numId w:val="38"/>
                              </w:numPr>
                              <w:spacing w:after="80"/>
                              <w:ind w:left="1800"/>
                              <w:rPr>
                                <w:rFonts w:ascii="Arial" w:hAnsi="Arial" w:cs="Arial"/>
                                <w:sz w:val="18"/>
                                <w:szCs w:val="18"/>
                              </w:rPr>
                            </w:pPr>
                            <w:r>
                              <w:rPr>
                                <w:rFonts w:ascii="Arial" w:hAnsi="Arial" w:cs="Arial"/>
                                <w:sz w:val="18"/>
                                <w:szCs w:val="18"/>
                              </w:rPr>
                              <w:t>Permitted exceptions to disclosure:</w:t>
                            </w:r>
                          </w:p>
                          <w:p w14:paraId="3FB39488"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Information not subject to disclosure under another law</w:t>
                            </w:r>
                          </w:p>
                          <w:p w14:paraId="6755ED2F"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Personal privacy</w:t>
                            </w:r>
                          </w:p>
                          <w:p w14:paraId="667924B9"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Investigatory records</w:t>
                            </w:r>
                          </w:p>
                          <w:p w14:paraId="5082C8B0"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Health information or medical records</w:t>
                            </w:r>
                          </w:p>
                          <w:p w14:paraId="4459EEF7"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Business information</w:t>
                            </w:r>
                          </w:p>
                          <w:p w14:paraId="49314A34"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Other</w:t>
                            </w:r>
                          </w:p>
                          <w:p w14:paraId="02F889E1" w14:textId="77777777" w:rsidR="00A318FA" w:rsidRDefault="00A318FA" w:rsidP="00CE1B38">
                            <w:pPr>
                              <w:pStyle w:val="ListParagraph"/>
                              <w:numPr>
                                <w:ilvl w:val="0"/>
                                <w:numId w:val="38"/>
                              </w:numPr>
                              <w:ind w:left="1080"/>
                              <w:rPr>
                                <w:rFonts w:ascii="Arial" w:hAnsi="Arial" w:cs="Arial"/>
                                <w:sz w:val="18"/>
                                <w:szCs w:val="18"/>
                              </w:rPr>
                            </w:pPr>
                            <w:r>
                              <w:rPr>
                                <w:rFonts w:ascii="Arial" w:hAnsi="Arial" w:cs="Arial"/>
                                <w:sz w:val="18"/>
                                <w:szCs w:val="18"/>
                              </w:rPr>
                              <w:t>Other laws</w:t>
                            </w:r>
                          </w:p>
                          <w:p w14:paraId="13CE402D" w14:textId="77777777" w:rsidR="00A318FA" w:rsidRDefault="00A318FA" w:rsidP="00CE1B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210AC" id="Text Box 11" o:spid="_x0000_s1032" type="#_x0000_t202" style="position:absolute;margin-left:0;margin-top:0;width:516.95pt;height:534.25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">
                <v:textbox>
                  <w:txbxContent>
                    <w:p w14:paraId="7F858018" w14:textId="77777777" w:rsidR="00A318FA" w:rsidRDefault="00A318FA" w:rsidP="00CE1B38">
                      <w:pPr>
                        <w:spacing w:after="120"/>
                        <w:jc w:val="center"/>
                        <w:rPr>
                          <w:rFonts w:ascii="Arial" w:hAnsi="Arial" w:cs="Arial"/>
                          <w:b/>
                          <w:bCs/>
                        </w:rPr>
                      </w:pPr>
                      <w:r>
                        <w:rPr>
                          <w:rFonts w:ascii="Arial" w:hAnsi="Arial" w:cs="Arial"/>
                          <w:b/>
                          <w:bCs/>
                        </w:rPr>
                        <w:t>Box 1: Practice Tips</w:t>
                      </w:r>
                    </w:p>
                    <w:p w14:paraId="3F900A63" w14:textId="77777777" w:rsidR="00A318FA" w:rsidRDefault="00A318FA" w:rsidP="00CE1B38">
                      <w:pPr>
                        <w:jc w:val="center"/>
                        <w:rPr>
                          <w:rFonts w:ascii="Arial" w:hAnsi="Arial" w:cs="Arial"/>
                          <w:b/>
                          <w:bCs/>
                        </w:rPr>
                      </w:pPr>
                      <w:r>
                        <w:rPr>
                          <w:rFonts w:ascii="Arial" w:hAnsi="Arial" w:cs="Arial"/>
                          <w:b/>
                          <w:bCs/>
                        </w:rPr>
                        <w:t>Access to Information and Confidentiality</w:t>
                      </w:r>
                    </w:p>
                    <w:p w14:paraId="13EB4093" w14:textId="77777777" w:rsidR="00A318FA" w:rsidRDefault="00A318FA" w:rsidP="00CE1B38">
                      <w:pPr>
                        <w:spacing w:line="360" w:lineRule="auto"/>
                        <w:rPr>
                          <w:rFonts w:asciiTheme="majorHAnsi" w:hAnsiTheme="majorHAnsi" w:cstheme="majorHAnsi"/>
                        </w:rPr>
                      </w:pPr>
                    </w:p>
                    <w:p w14:paraId="4318FB41" w14:textId="77777777" w:rsidR="00A318FA" w:rsidRDefault="00A318FA" w:rsidP="00CE1B38">
                      <w:pPr>
                        <w:rPr>
                          <w:rFonts w:ascii="Arial" w:hAnsi="Arial" w:cs="Arial"/>
                          <w:i/>
                          <w:iCs/>
                          <w:sz w:val="18"/>
                          <w:szCs w:val="18"/>
                        </w:rPr>
                      </w:pPr>
                      <w:r>
                        <w:rPr>
                          <w:rFonts w:ascii="Arial" w:hAnsi="Arial" w:cs="Arial"/>
                          <w:i/>
                          <w:iCs/>
                          <w:sz w:val="18"/>
                          <w:szCs w:val="18"/>
                        </w:rPr>
                        <w:t>Use these tips to guide conversation with legal counsel and develop guidelines for collecting, using, and disclosing information during an LD outbreak.</w:t>
                      </w:r>
                    </w:p>
                    <w:p w14:paraId="306BBAC4" w14:textId="77777777" w:rsidR="00A318FA" w:rsidRDefault="00A318FA" w:rsidP="00CE1B38">
                      <w:pPr>
                        <w:rPr>
                          <w:rFonts w:ascii="Arial" w:hAnsi="Arial" w:cs="Arial"/>
                          <w:sz w:val="18"/>
                          <w:szCs w:val="18"/>
                        </w:rPr>
                      </w:pPr>
                    </w:p>
                    <w:p w14:paraId="2FE8B5FD" w14:textId="77777777" w:rsidR="00A318FA" w:rsidRDefault="00A318FA" w:rsidP="00CE1B38">
                      <w:pPr>
                        <w:spacing w:after="120"/>
                        <w:rPr>
                          <w:rFonts w:ascii="Arial" w:hAnsi="Arial" w:cs="Arial"/>
                          <w:sz w:val="18"/>
                          <w:szCs w:val="18"/>
                        </w:rPr>
                      </w:pPr>
                      <w:r>
                        <w:rPr>
                          <w:rFonts w:ascii="Arial" w:hAnsi="Arial" w:cs="Arial"/>
                          <w:sz w:val="18"/>
                          <w:szCs w:val="18"/>
                        </w:rPr>
                        <w:t xml:space="preserve">Identify legal authorities that authorize your public health agency to collect and use information from sources like individuals, businesses, and organizations. </w:t>
                      </w:r>
                    </w:p>
                    <w:p w14:paraId="0D9A7B03" w14:textId="77777777" w:rsidR="00A318FA" w:rsidRDefault="00A318FA" w:rsidP="00CE1B38">
                      <w:pPr>
                        <w:pStyle w:val="ListParagraph"/>
                        <w:numPr>
                          <w:ilvl w:val="0"/>
                          <w:numId w:val="33"/>
                        </w:numPr>
                        <w:spacing w:after="120"/>
                        <w:rPr>
                          <w:rFonts w:ascii="Arial" w:hAnsi="Arial" w:cs="Arial"/>
                          <w:sz w:val="18"/>
                          <w:szCs w:val="18"/>
                        </w:rPr>
                      </w:pPr>
                      <w:r>
                        <w:rPr>
                          <w:rFonts w:ascii="Arial" w:hAnsi="Arial" w:cs="Arial"/>
                          <w:sz w:val="18"/>
                          <w:szCs w:val="18"/>
                        </w:rPr>
                        <w:t xml:space="preserve">For each type of legal authority listed below, identify the types of data information that can be collected from/about each type of source. </w:t>
                      </w:r>
                    </w:p>
                    <w:p w14:paraId="7A6DDC3B" w14:textId="77777777" w:rsidR="00A318FA" w:rsidRDefault="00A318FA" w:rsidP="00CE1B38">
                      <w:pPr>
                        <w:pStyle w:val="ListParagraph"/>
                        <w:numPr>
                          <w:ilvl w:val="0"/>
                          <w:numId w:val="33"/>
                        </w:numPr>
                        <w:spacing w:after="120"/>
                        <w:rPr>
                          <w:rFonts w:ascii="Arial" w:hAnsi="Arial" w:cs="Arial"/>
                          <w:sz w:val="18"/>
                          <w:szCs w:val="18"/>
                        </w:rPr>
                      </w:pPr>
                      <w:r>
                        <w:rPr>
                          <w:rFonts w:ascii="Arial" w:hAnsi="Arial" w:cs="Arial"/>
                          <w:sz w:val="18"/>
                          <w:szCs w:val="18"/>
                        </w:rPr>
                        <w:t xml:space="preserve">Also note any prerequisites, conditions, or limitations on the type of information allowed or how it is used. </w:t>
                      </w:r>
                    </w:p>
                    <w:p w14:paraId="63A6C1D6"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General public health authority</w:t>
                      </w:r>
                    </w:p>
                    <w:p w14:paraId="0F671912"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Disease specific</w:t>
                      </w:r>
                    </w:p>
                    <w:p w14:paraId="0139715A"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Setting specific</w:t>
                      </w:r>
                    </w:p>
                    <w:p w14:paraId="13BE4AD0"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Other conditions (e.g., criminal, suspected acts of bioterrorism)</w:t>
                      </w:r>
                    </w:p>
                    <w:p w14:paraId="0648BB20" w14:textId="77777777" w:rsidR="00A318FA" w:rsidRDefault="00A318FA" w:rsidP="00CE1B38">
                      <w:pPr>
                        <w:pStyle w:val="ListParagraph"/>
                        <w:numPr>
                          <w:ilvl w:val="0"/>
                          <w:numId w:val="34"/>
                        </w:numPr>
                        <w:spacing w:after="80"/>
                        <w:ind w:left="1080"/>
                        <w:rPr>
                          <w:rFonts w:ascii="Arial" w:hAnsi="Arial" w:cs="Arial"/>
                          <w:sz w:val="18"/>
                          <w:szCs w:val="18"/>
                        </w:rPr>
                      </w:pPr>
                      <w:r>
                        <w:rPr>
                          <w:rFonts w:ascii="Arial" w:hAnsi="Arial" w:cs="Arial"/>
                          <w:sz w:val="18"/>
                          <w:szCs w:val="18"/>
                        </w:rPr>
                        <w:t>Catch-all (e.g., unusual occurrence of a disease, infection, or condition)</w:t>
                      </w:r>
                    </w:p>
                    <w:p w14:paraId="2F3F6406" w14:textId="77777777" w:rsidR="00A318FA" w:rsidRDefault="00A318FA" w:rsidP="00CE1B38">
                      <w:pPr>
                        <w:pStyle w:val="ListParagraph"/>
                        <w:numPr>
                          <w:ilvl w:val="0"/>
                          <w:numId w:val="34"/>
                        </w:numPr>
                        <w:ind w:left="1080"/>
                        <w:rPr>
                          <w:rFonts w:ascii="Arial" w:hAnsi="Arial" w:cs="Arial"/>
                          <w:sz w:val="18"/>
                          <w:szCs w:val="18"/>
                        </w:rPr>
                      </w:pPr>
                      <w:r>
                        <w:rPr>
                          <w:rFonts w:ascii="Arial" w:hAnsi="Arial" w:cs="Arial"/>
                          <w:sz w:val="18"/>
                          <w:szCs w:val="18"/>
                        </w:rPr>
                        <w:t>Other</w:t>
                      </w:r>
                    </w:p>
                    <w:p w14:paraId="2DED0E83" w14:textId="77777777" w:rsidR="00A318FA" w:rsidRDefault="00A318FA" w:rsidP="00CE1B38">
                      <w:pPr>
                        <w:rPr>
                          <w:rFonts w:ascii="Arial" w:hAnsi="Arial" w:cs="Arial"/>
                          <w:sz w:val="18"/>
                          <w:szCs w:val="18"/>
                        </w:rPr>
                      </w:pPr>
                    </w:p>
                    <w:p w14:paraId="7A528EFE" w14:textId="77777777" w:rsidR="00A318FA" w:rsidRDefault="00A318FA" w:rsidP="00CE1B38">
                      <w:pPr>
                        <w:spacing w:after="120"/>
                        <w:rPr>
                          <w:rFonts w:ascii="Arial" w:hAnsi="Arial" w:cs="Arial"/>
                          <w:sz w:val="18"/>
                          <w:szCs w:val="18"/>
                        </w:rPr>
                      </w:pPr>
                      <w:r>
                        <w:rPr>
                          <w:rFonts w:ascii="Arial" w:hAnsi="Arial" w:cs="Arial"/>
                          <w:sz w:val="18"/>
                          <w:szCs w:val="18"/>
                        </w:rPr>
                        <w:t xml:space="preserve">Identify legal authorities that authorize or require the public health agency to disclose information. </w:t>
                      </w:r>
                    </w:p>
                    <w:p w14:paraId="4C448ED6" w14:textId="77777777" w:rsidR="00A318FA" w:rsidRDefault="00A318FA" w:rsidP="00CE1B38">
                      <w:pPr>
                        <w:pStyle w:val="ListParagraph"/>
                        <w:numPr>
                          <w:ilvl w:val="0"/>
                          <w:numId w:val="35"/>
                        </w:numPr>
                        <w:spacing w:after="120"/>
                        <w:rPr>
                          <w:rFonts w:ascii="Arial" w:hAnsi="Arial" w:cs="Arial"/>
                          <w:sz w:val="18"/>
                          <w:szCs w:val="18"/>
                        </w:rPr>
                      </w:pPr>
                      <w:r>
                        <w:rPr>
                          <w:rFonts w:ascii="Arial" w:hAnsi="Arial" w:cs="Arial"/>
                          <w:sz w:val="18"/>
                          <w:szCs w:val="18"/>
                        </w:rPr>
                        <w:t xml:space="preserve">Note any prerequisites, conditions, or limitations on the type of information that can be disclosed and to whom it may or must be disclosed. </w:t>
                      </w:r>
                    </w:p>
                    <w:p w14:paraId="7D2880D4" w14:textId="77777777" w:rsidR="00A318FA" w:rsidRDefault="00A318FA" w:rsidP="00CE1B38">
                      <w:pPr>
                        <w:pStyle w:val="ListParagraph"/>
                        <w:numPr>
                          <w:ilvl w:val="0"/>
                          <w:numId w:val="35"/>
                        </w:numPr>
                        <w:spacing w:after="80"/>
                        <w:rPr>
                          <w:rFonts w:ascii="Arial" w:hAnsi="Arial" w:cs="Arial"/>
                          <w:b/>
                          <w:bCs/>
                          <w:sz w:val="18"/>
                          <w:szCs w:val="18"/>
                        </w:rPr>
                      </w:pPr>
                      <w:r>
                        <w:rPr>
                          <w:rFonts w:ascii="Arial" w:hAnsi="Arial" w:cs="Arial"/>
                          <w:sz w:val="18"/>
                          <w:szCs w:val="18"/>
                        </w:rPr>
                        <w:t xml:space="preserve">Consider each of the following types of legal authorities:  </w:t>
                      </w:r>
                    </w:p>
                    <w:p w14:paraId="15E34419"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Freedom of information/open records laws</w:t>
                      </w:r>
                    </w:p>
                    <w:p w14:paraId="4AB828F5"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Health information privacy laws</w:t>
                      </w:r>
                    </w:p>
                    <w:p w14:paraId="1608097C"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Data practices laws</w:t>
                      </w:r>
                    </w:p>
                    <w:p w14:paraId="4D60A2A7"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Right to privacy statutes</w:t>
                      </w:r>
                    </w:p>
                    <w:p w14:paraId="0F4CBAE3" w14:textId="77777777" w:rsidR="00A318FA" w:rsidRDefault="00A318FA" w:rsidP="00CE1B38">
                      <w:pPr>
                        <w:pStyle w:val="ListParagraph"/>
                        <w:numPr>
                          <w:ilvl w:val="0"/>
                          <w:numId w:val="36"/>
                        </w:numPr>
                        <w:spacing w:after="80"/>
                        <w:rPr>
                          <w:rFonts w:ascii="Arial" w:hAnsi="Arial" w:cs="Arial"/>
                          <w:sz w:val="18"/>
                          <w:szCs w:val="18"/>
                        </w:rPr>
                      </w:pPr>
                      <w:r>
                        <w:rPr>
                          <w:rFonts w:ascii="Arial" w:hAnsi="Arial" w:cs="Arial"/>
                          <w:sz w:val="18"/>
                          <w:szCs w:val="18"/>
                        </w:rPr>
                        <w:t>General public health laws</w:t>
                      </w:r>
                    </w:p>
                    <w:p w14:paraId="0DAA3E41" w14:textId="77777777" w:rsidR="00A318FA" w:rsidRDefault="00A318FA" w:rsidP="00CE1B38">
                      <w:pPr>
                        <w:pStyle w:val="ListParagraph"/>
                        <w:numPr>
                          <w:ilvl w:val="0"/>
                          <w:numId w:val="36"/>
                        </w:numPr>
                        <w:rPr>
                          <w:rFonts w:ascii="Arial" w:hAnsi="Arial" w:cs="Arial"/>
                          <w:sz w:val="18"/>
                          <w:szCs w:val="18"/>
                        </w:rPr>
                      </w:pPr>
                      <w:r>
                        <w:rPr>
                          <w:rFonts w:ascii="Arial" w:hAnsi="Arial" w:cs="Arial"/>
                          <w:sz w:val="18"/>
                          <w:szCs w:val="18"/>
                        </w:rPr>
                        <w:t xml:space="preserve">Court decisions </w:t>
                      </w:r>
                    </w:p>
                    <w:p w14:paraId="57230865" w14:textId="77777777" w:rsidR="00A318FA" w:rsidRDefault="00A318FA" w:rsidP="00CE1B38">
                      <w:pPr>
                        <w:ind w:left="360"/>
                        <w:rPr>
                          <w:rFonts w:ascii="Arial" w:hAnsi="Arial" w:cs="Arial"/>
                          <w:sz w:val="18"/>
                          <w:szCs w:val="18"/>
                        </w:rPr>
                      </w:pPr>
                    </w:p>
                    <w:p w14:paraId="76060126" w14:textId="77777777" w:rsidR="00A318FA" w:rsidRDefault="00A318FA" w:rsidP="00CE1B38">
                      <w:pPr>
                        <w:spacing w:after="120"/>
                        <w:rPr>
                          <w:rFonts w:ascii="Arial" w:hAnsi="Arial" w:cs="Arial"/>
                          <w:sz w:val="18"/>
                          <w:szCs w:val="18"/>
                        </w:rPr>
                      </w:pPr>
                      <w:r>
                        <w:rPr>
                          <w:rFonts w:ascii="Arial" w:hAnsi="Arial" w:cs="Arial"/>
                          <w:sz w:val="18"/>
                          <w:szCs w:val="18"/>
                        </w:rPr>
                        <w:t xml:space="preserve">Identify legal authorities that require your agency to protect information from sources like individuals, businesses, and organizations. </w:t>
                      </w:r>
                    </w:p>
                    <w:p w14:paraId="5F6715AD" w14:textId="77777777" w:rsidR="00A318FA" w:rsidRDefault="00A318FA" w:rsidP="00CE1B38">
                      <w:pPr>
                        <w:pStyle w:val="ListParagraph"/>
                        <w:numPr>
                          <w:ilvl w:val="0"/>
                          <w:numId w:val="37"/>
                        </w:numPr>
                        <w:spacing w:after="120"/>
                        <w:rPr>
                          <w:rFonts w:ascii="Arial" w:hAnsi="Arial" w:cs="Arial"/>
                          <w:sz w:val="18"/>
                          <w:szCs w:val="18"/>
                        </w:rPr>
                      </w:pPr>
                      <w:r>
                        <w:rPr>
                          <w:rFonts w:ascii="Arial" w:hAnsi="Arial" w:cs="Arial"/>
                          <w:sz w:val="18"/>
                          <w:szCs w:val="18"/>
                        </w:rPr>
                        <w:t xml:space="preserve">For each type of legal authority listed below, identify the types of information protected that must be protected from/about each type of source. </w:t>
                      </w:r>
                    </w:p>
                    <w:p w14:paraId="10B765E4" w14:textId="77777777" w:rsidR="00A318FA" w:rsidRDefault="00A318FA" w:rsidP="00CE1B38">
                      <w:pPr>
                        <w:pStyle w:val="ListParagraph"/>
                        <w:numPr>
                          <w:ilvl w:val="0"/>
                          <w:numId w:val="37"/>
                        </w:numPr>
                        <w:spacing w:after="120"/>
                        <w:rPr>
                          <w:rFonts w:ascii="Arial" w:hAnsi="Arial" w:cs="Arial"/>
                          <w:sz w:val="18"/>
                          <w:szCs w:val="18"/>
                        </w:rPr>
                      </w:pPr>
                      <w:r>
                        <w:rPr>
                          <w:rFonts w:ascii="Arial" w:hAnsi="Arial" w:cs="Arial"/>
                          <w:sz w:val="18"/>
                          <w:szCs w:val="18"/>
                        </w:rPr>
                        <w:t>Also note any prerequisites, conditions, or limitations on the privacy protections allowed or how they are implemented.</w:t>
                      </w:r>
                    </w:p>
                    <w:p w14:paraId="66CC9FB6" w14:textId="77777777" w:rsidR="00A318FA" w:rsidRDefault="00A318FA" w:rsidP="00CE1B38">
                      <w:pPr>
                        <w:pStyle w:val="ListParagraph"/>
                        <w:numPr>
                          <w:ilvl w:val="0"/>
                          <w:numId w:val="38"/>
                        </w:numPr>
                        <w:spacing w:after="80"/>
                        <w:ind w:left="1080"/>
                        <w:rPr>
                          <w:rFonts w:ascii="Arial" w:hAnsi="Arial" w:cs="Arial"/>
                          <w:sz w:val="18"/>
                          <w:szCs w:val="18"/>
                        </w:rPr>
                      </w:pPr>
                      <w:r>
                        <w:rPr>
                          <w:rFonts w:ascii="Arial" w:hAnsi="Arial" w:cs="Arial"/>
                          <w:sz w:val="18"/>
                          <w:szCs w:val="18"/>
                        </w:rPr>
                        <w:t>Freedom of information/open records laws</w:t>
                      </w:r>
                    </w:p>
                    <w:p w14:paraId="5317F8AF" w14:textId="77777777" w:rsidR="00A318FA" w:rsidRDefault="00A318FA" w:rsidP="00CE1B38">
                      <w:pPr>
                        <w:pStyle w:val="ListParagraph"/>
                        <w:numPr>
                          <w:ilvl w:val="1"/>
                          <w:numId w:val="38"/>
                        </w:numPr>
                        <w:spacing w:after="80"/>
                        <w:ind w:left="1800"/>
                        <w:rPr>
                          <w:rFonts w:ascii="Arial" w:hAnsi="Arial" w:cs="Arial"/>
                          <w:sz w:val="18"/>
                          <w:szCs w:val="18"/>
                        </w:rPr>
                      </w:pPr>
                      <w:r>
                        <w:rPr>
                          <w:rFonts w:ascii="Arial" w:hAnsi="Arial" w:cs="Arial"/>
                          <w:sz w:val="18"/>
                          <w:szCs w:val="18"/>
                        </w:rPr>
                        <w:t>Information excluded from the definition of public records</w:t>
                      </w:r>
                    </w:p>
                    <w:p w14:paraId="59AC3D2C" w14:textId="77777777" w:rsidR="00A318FA" w:rsidRDefault="00A318FA" w:rsidP="00CE1B38">
                      <w:pPr>
                        <w:pStyle w:val="ListParagraph"/>
                        <w:numPr>
                          <w:ilvl w:val="1"/>
                          <w:numId w:val="38"/>
                        </w:numPr>
                        <w:spacing w:after="80"/>
                        <w:ind w:left="1800"/>
                        <w:rPr>
                          <w:rFonts w:ascii="Arial" w:hAnsi="Arial" w:cs="Arial"/>
                          <w:sz w:val="18"/>
                          <w:szCs w:val="18"/>
                        </w:rPr>
                      </w:pPr>
                      <w:r>
                        <w:rPr>
                          <w:rFonts w:ascii="Arial" w:hAnsi="Arial" w:cs="Arial"/>
                          <w:sz w:val="18"/>
                          <w:szCs w:val="18"/>
                        </w:rPr>
                        <w:t>Permitted exceptions to disclosure:</w:t>
                      </w:r>
                    </w:p>
                    <w:p w14:paraId="3FB39488"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Information not subject to disclosure under another law</w:t>
                      </w:r>
                    </w:p>
                    <w:p w14:paraId="6755ED2F"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Personal privacy</w:t>
                      </w:r>
                    </w:p>
                    <w:p w14:paraId="667924B9"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Investigatory records</w:t>
                      </w:r>
                    </w:p>
                    <w:p w14:paraId="5082C8B0"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Health information or medical records</w:t>
                      </w:r>
                    </w:p>
                    <w:p w14:paraId="4459EEF7"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Business information</w:t>
                      </w:r>
                    </w:p>
                    <w:p w14:paraId="49314A34" w14:textId="77777777" w:rsidR="00A318FA" w:rsidRDefault="00A318FA" w:rsidP="00CE1B38">
                      <w:pPr>
                        <w:pStyle w:val="ListParagraph"/>
                        <w:numPr>
                          <w:ilvl w:val="2"/>
                          <w:numId w:val="38"/>
                        </w:numPr>
                        <w:spacing w:after="80"/>
                        <w:ind w:left="2520"/>
                        <w:rPr>
                          <w:rFonts w:ascii="Arial" w:hAnsi="Arial" w:cs="Arial"/>
                          <w:sz w:val="18"/>
                          <w:szCs w:val="18"/>
                        </w:rPr>
                      </w:pPr>
                      <w:r>
                        <w:rPr>
                          <w:rFonts w:ascii="Arial" w:hAnsi="Arial" w:cs="Arial"/>
                          <w:sz w:val="18"/>
                          <w:szCs w:val="18"/>
                        </w:rPr>
                        <w:t>Other</w:t>
                      </w:r>
                    </w:p>
                    <w:p w14:paraId="02F889E1" w14:textId="77777777" w:rsidR="00A318FA" w:rsidRDefault="00A318FA" w:rsidP="00CE1B38">
                      <w:pPr>
                        <w:pStyle w:val="ListParagraph"/>
                        <w:numPr>
                          <w:ilvl w:val="0"/>
                          <w:numId w:val="38"/>
                        </w:numPr>
                        <w:ind w:left="1080"/>
                        <w:rPr>
                          <w:rFonts w:ascii="Arial" w:hAnsi="Arial" w:cs="Arial"/>
                          <w:sz w:val="18"/>
                          <w:szCs w:val="18"/>
                        </w:rPr>
                      </w:pPr>
                      <w:r>
                        <w:rPr>
                          <w:rFonts w:ascii="Arial" w:hAnsi="Arial" w:cs="Arial"/>
                          <w:sz w:val="18"/>
                          <w:szCs w:val="18"/>
                        </w:rPr>
                        <w:t>Other laws</w:t>
                      </w:r>
                    </w:p>
                    <w:p w14:paraId="13CE402D" w14:textId="77777777" w:rsidR="00A318FA" w:rsidRDefault="00A318FA" w:rsidP="00CE1B38"/>
                  </w:txbxContent>
                </v:textbox>
                <w10:wrap type="square" anchorx="margin"/>
              </v:shape>
            </w:pict>
          </mc:Fallback>
        </mc:AlternateContent>
      </w:r>
    </w:p>
    <w:p w14:paraId="2186CB89" w14:textId="616F8024" w:rsidR="00CE1B38" w:rsidRDefault="00CE1B38" w:rsidP="00CE1B38">
      <w:pPr>
        <w:spacing w:line="360" w:lineRule="auto"/>
        <w:rPr>
          <w:rFonts w:asciiTheme="majorHAnsi" w:eastAsia="Times New Roman" w:hAnsiTheme="majorHAnsi" w:cstheme="majorHAnsi"/>
        </w:rPr>
      </w:pPr>
      <w:r>
        <w:rPr>
          <w:noProof/>
        </w:rPr>
        <w:lastRenderedPageBreak/>
        <mc:AlternateContent>
          <mc:Choice Requires="wps">
            <w:drawing>
              <wp:anchor distT="45720" distB="45720" distL="114300" distR="114300" simplePos="0" relativeHeight="251675648" behindDoc="0" locked="0" layoutInCell="1" allowOverlap="1" wp14:anchorId="7E766E86" wp14:editId="7E077DDC">
                <wp:simplePos x="0" y="0"/>
                <wp:positionH relativeFrom="margin">
                  <wp:align>center</wp:align>
                </wp:positionH>
                <wp:positionV relativeFrom="paragraph">
                  <wp:posOffset>25400</wp:posOffset>
                </wp:positionV>
                <wp:extent cx="5989320" cy="4407408"/>
                <wp:effectExtent l="0" t="0" r="11430" b="1270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4407408"/>
                        </a:xfrm>
                        <a:prstGeom prst="rect">
                          <a:avLst/>
                        </a:prstGeom>
                        <a:solidFill>
                          <a:srgbClr val="FFFFFF"/>
                        </a:solidFill>
                        <a:ln w="9525">
                          <a:solidFill>
                            <a:srgbClr val="000000"/>
                          </a:solidFill>
                          <a:miter lim="800000"/>
                          <a:headEnd/>
                          <a:tailEnd/>
                        </a:ln>
                      </wps:spPr>
                      <wps:txbx>
                        <w:txbxContent>
                          <w:p w14:paraId="68F034C5" w14:textId="77777777" w:rsidR="00A318FA" w:rsidRDefault="00A318FA" w:rsidP="00CE1B38">
                            <w:pPr>
                              <w:spacing w:after="120"/>
                              <w:jc w:val="center"/>
                              <w:rPr>
                                <w:rFonts w:ascii="Arial" w:hAnsi="Arial" w:cs="Arial"/>
                                <w:b/>
                                <w:bCs/>
                              </w:rPr>
                            </w:pPr>
                          </w:p>
                          <w:p w14:paraId="62255829" w14:textId="77777777" w:rsidR="00A318FA" w:rsidRDefault="00A318FA" w:rsidP="00CE1B38">
                            <w:pPr>
                              <w:spacing w:after="120"/>
                              <w:jc w:val="center"/>
                              <w:rPr>
                                <w:rFonts w:ascii="Arial" w:hAnsi="Arial" w:cs="Arial"/>
                                <w:b/>
                                <w:bCs/>
                              </w:rPr>
                            </w:pPr>
                            <w:r>
                              <w:rPr>
                                <w:rFonts w:ascii="Arial" w:hAnsi="Arial" w:cs="Arial"/>
                                <w:b/>
                                <w:bCs/>
                              </w:rPr>
                              <w:t>Resources</w:t>
                            </w:r>
                          </w:p>
                          <w:p w14:paraId="4DB3FAA1" w14:textId="77777777" w:rsidR="00A318FA" w:rsidRDefault="00A318FA" w:rsidP="00CE1B38">
                            <w:pPr>
                              <w:jc w:val="center"/>
                              <w:rPr>
                                <w:rFonts w:ascii="Arial" w:hAnsi="Arial" w:cs="Arial"/>
                                <w:b/>
                                <w:bCs/>
                              </w:rPr>
                            </w:pPr>
                          </w:p>
                          <w:p w14:paraId="0CA2D53F" w14:textId="77777777" w:rsidR="00A318FA" w:rsidRDefault="00A318FA" w:rsidP="00CE1B38">
                            <w:pPr>
                              <w:spacing w:line="360" w:lineRule="auto"/>
                              <w:jc w:val="center"/>
                              <w:rPr>
                                <w:rFonts w:ascii="Arial" w:hAnsi="Arial" w:cs="Arial"/>
                                <w:i/>
                                <w:iCs/>
                                <w:sz w:val="20"/>
                                <w:szCs w:val="20"/>
                              </w:rPr>
                            </w:pPr>
                            <w:r>
                              <w:rPr>
                                <w:rFonts w:ascii="Arial" w:hAnsi="Arial" w:cs="Arial"/>
                                <w:b/>
                                <w:bCs/>
                                <w:i/>
                                <w:iCs/>
                                <w:sz w:val="20"/>
                                <w:szCs w:val="20"/>
                                <w:highlight w:val="yellow"/>
                              </w:rPr>
                              <w:t>Note to reviewers:</w:t>
                            </w:r>
                            <w:r>
                              <w:rPr>
                                <w:rFonts w:ascii="Arial" w:hAnsi="Arial" w:cs="Arial"/>
                                <w:i/>
                                <w:iCs/>
                                <w:sz w:val="20"/>
                                <w:szCs w:val="20"/>
                                <w:highlight w:val="yellow"/>
                              </w:rPr>
                              <w:t xml:space="preserve"> Please feel free to identify additional resources</w:t>
                            </w:r>
                          </w:p>
                          <w:p w14:paraId="5DDB94CC" w14:textId="77777777" w:rsidR="00A318FA" w:rsidRDefault="00A318FA" w:rsidP="00CE1B38">
                            <w:pPr>
                              <w:rPr>
                                <w:rFonts w:ascii="Arial" w:hAnsi="Arial" w:cs="Arial"/>
                                <w:sz w:val="20"/>
                                <w:szCs w:val="20"/>
                              </w:rPr>
                            </w:pPr>
                          </w:p>
                          <w:p w14:paraId="4BE837D1" w14:textId="77777777" w:rsidR="00A318FA" w:rsidRDefault="00A318FA" w:rsidP="00CE1B38">
                            <w:pPr>
                              <w:rPr>
                                <w:rFonts w:ascii="Arial" w:hAnsi="Arial" w:cs="Arial"/>
                                <w:sz w:val="20"/>
                                <w:szCs w:val="20"/>
                              </w:rPr>
                            </w:pPr>
                          </w:p>
                          <w:p w14:paraId="26B2215F"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35" w:history="1">
                              <w:r>
                                <w:rPr>
                                  <w:rStyle w:val="Hyperlink"/>
                                  <w:rFonts w:ascii="Arial" w:hAnsi="Arial" w:cs="Arial"/>
                                  <w:sz w:val="20"/>
                                  <w:szCs w:val="20"/>
                                </w:rPr>
                                <w:t>http://healthjournalism.org/secondarypage-details.php?id=965</w:t>
                              </w:r>
                            </w:hyperlink>
                            <w:r>
                              <w:rPr>
                                <w:rFonts w:ascii="Arial" w:hAnsi="Arial" w:cs="Arial"/>
                                <w:sz w:val="20"/>
                                <w:szCs w:val="20"/>
                              </w:rPr>
                              <w:t>.</w:t>
                            </w:r>
                          </w:p>
                          <w:p w14:paraId="1AB70830" w14:textId="77777777" w:rsidR="00A318FA" w:rsidRDefault="00A318FA" w:rsidP="00CE1B38">
                            <w:pPr>
                              <w:rPr>
                                <w:rFonts w:ascii="Arial" w:hAnsi="Arial" w:cs="Arial"/>
                                <w:sz w:val="20"/>
                                <w:szCs w:val="20"/>
                              </w:rPr>
                            </w:pPr>
                          </w:p>
                          <w:p w14:paraId="7AC1E8A2"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The Reporters Committee for Freedom of the Press. Open Government Guide. 2019. Available at </w:t>
                            </w:r>
                            <w:hyperlink r:id="rId36" w:history="1">
                              <w:r>
                                <w:rPr>
                                  <w:rStyle w:val="Hyperlink"/>
                                  <w:rFonts w:ascii="Arial" w:hAnsi="Arial" w:cs="Arial"/>
                                  <w:sz w:val="20"/>
                                  <w:szCs w:val="20"/>
                                </w:rPr>
                                <w:t>https://www.rcfp.org/open-government-guide/</w:t>
                              </w:r>
                            </w:hyperlink>
                            <w:r>
                              <w:rPr>
                                <w:rFonts w:ascii="Arial" w:hAnsi="Arial" w:cs="Arial"/>
                                <w:sz w:val="20"/>
                                <w:szCs w:val="20"/>
                              </w:rPr>
                              <w:t>.</w:t>
                            </w:r>
                          </w:p>
                          <w:p w14:paraId="7C068ED3" w14:textId="77777777" w:rsidR="00A318FA" w:rsidRDefault="00A318FA" w:rsidP="00CE1B38">
                            <w:pPr>
                              <w:rPr>
                                <w:rFonts w:ascii="Arial" w:hAnsi="Arial" w:cs="Arial"/>
                                <w:sz w:val="20"/>
                                <w:szCs w:val="20"/>
                              </w:rPr>
                            </w:pPr>
                          </w:p>
                          <w:p w14:paraId="22A23E26"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CSTE. Legal Issues Concerning Identifiable Health Data Sharing Between State/Local Public Health Authorities and Tribal Epidemiology Centers in Selected U.S. Jurisdictions. Original Draft March 30, 2009; Revised as of November 8, 2011. Available at  </w:t>
                            </w:r>
                            <w:hyperlink r:id="rId37" w:history="1">
                              <w:r>
                                <w:rPr>
                                  <w:rStyle w:val="Hyperlink"/>
                                  <w:rFonts w:ascii="Arial" w:hAnsi="Arial" w:cs="Arial"/>
                                  <w:sz w:val="20"/>
                                  <w:szCs w:val="20"/>
                                </w:rPr>
                                <w:t>https://cdn.ymaws.com/www.cste.org/resource/resmgr/PDFs/LegalIssuesTribalJuris.pdf</w:t>
                              </w:r>
                            </w:hyperlink>
                            <w:r>
                              <w:rPr>
                                <w:rFonts w:ascii="Arial" w:hAnsi="Arial" w:cs="Arial"/>
                                <w:sz w:val="20"/>
                                <w:szCs w:val="20"/>
                              </w:rPr>
                              <w:t>.</w:t>
                            </w:r>
                          </w:p>
                          <w:p w14:paraId="4536F745" w14:textId="77777777" w:rsidR="00A318FA" w:rsidRDefault="00A318FA" w:rsidP="00CE1B38">
                            <w:pPr>
                              <w:rPr>
                                <w:rFonts w:ascii="Arial" w:hAnsi="Arial" w:cs="Arial"/>
                                <w:sz w:val="20"/>
                                <w:szCs w:val="20"/>
                              </w:rPr>
                            </w:pPr>
                          </w:p>
                          <w:p w14:paraId="68B8E622"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Partnership for Public Health Law. Legal Issues Related to Sharing of Clinical Health Data with Public Health Agencies. April 2016. Available at </w:t>
                            </w:r>
                            <w:hyperlink r:id="rId38" w:history="1">
                              <w:r>
                                <w:rPr>
                                  <w:rStyle w:val="Hyperlink"/>
                                  <w:rFonts w:ascii="Arial" w:hAnsi="Arial" w:cs="Arial"/>
                                  <w:sz w:val="20"/>
                                  <w:szCs w:val="20"/>
                                </w:rPr>
                                <w:t>https://www.astho.org/Public-Policy/Public-Health-Law/Legal-Issues-Related-to-sharing-Clinical-Health-Data-with-Public-Health-Agencies/</w:t>
                              </w:r>
                            </w:hyperlink>
                            <w:r>
                              <w:rPr>
                                <w:rFonts w:ascii="Arial" w:hAnsi="Arial" w:cs="Arial"/>
                                <w:sz w:val="20"/>
                                <w:szCs w:val="20"/>
                              </w:rPr>
                              <w:t>.</w:t>
                            </w:r>
                          </w:p>
                          <w:p w14:paraId="18619EEA" w14:textId="77777777" w:rsidR="00A318FA" w:rsidRDefault="00A318FA" w:rsidP="00527549">
                            <w:pPr>
                              <w:pStyle w:val="ListParagraph"/>
                              <w:rPr>
                                <w:rFonts w:ascii="Arial" w:hAnsi="Arial" w:cs="Arial"/>
                                <w:sz w:val="20"/>
                                <w:szCs w:val="20"/>
                              </w:rPr>
                            </w:pPr>
                          </w:p>
                          <w:p w14:paraId="741A3472"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Network for Public Health Law and Data Across Sectors for Health. The Legal Bibliography. Available at </w:t>
                            </w:r>
                            <w:hyperlink r:id="rId39" w:history="1">
                              <w:r>
                                <w:rPr>
                                  <w:rStyle w:val="Hyperlink"/>
                                  <w:rFonts w:ascii="Arial" w:hAnsi="Arial" w:cs="Arial"/>
                                  <w:sz w:val="20"/>
                                  <w:szCs w:val="20"/>
                                </w:rPr>
                                <w:t>http://legalbib.communitycommons.org/</w:t>
                              </w:r>
                            </w:hyperlink>
                            <w:r>
                              <w:rPr>
                                <w:rFonts w:ascii="Arial" w:hAnsi="Arial" w:cs="Arial"/>
                                <w:sz w:val="20"/>
                                <w:szCs w:val="20"/>
                              </w:rPr>
                              <w:t>.</w:t>
                            </w:r>
                          </w:p>
                          <w:p w14:paraId="2C5AF785" w14:textId="77777777" w:rsidR="00A318FA" w:rsidRDefault="00A318FA" w:rsidP="00CE1B38">
                            <w:pPr>
                              <w:pStyle w:val="ListParagraph"/>
                              <w:rPr>
                                <w:rFonts w:ascii="Arial" w:hAnsi="Arial" w:cs="Arial"/>
                                <w:sz w:val="20"/>
                                <w:szCs w:val="20"/>
                              </w:rPr>
                            </w:pPr>
                          </w:p>
                          <w:p w14:paraId="38D677C4" w14:textId="77777777" w:rsidR="00A318FA" w:rsidRDefault="00A318FA" w:rsidP="00CE1B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66E86" id="Text Box 10" o:spid="_x0000_s1033" type="#_x0000_t202" style="position:absolute;margin-left:0;margin-top:2pt;width:471.6pt;height:347.05pt;z-index:2516756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">
                <v:textbox>
                  <w:txbxContent>
                    <w:p w14:paraId="68F034C5" w14:textId="77777777" w:rsidR="00A318FA" w:rsidRDefault="00A318FA" w:rsidP="00CE1B38">
                      <w:pPr>
                        <w:spacing w:after="120"/>
                        <w:jc w:val="center"/>
                        <w:rPr>
                          <w:rFonts w:ascii="Arial" w:hAnsi="Arial" w:cs="Arial"/>
                          <w:b/>
                          <w:bCs/>
                        </w:rPr>
                      </w:pPr>
                    </w:p>
                    <w:p w14:paraId="62255829" w14:textId="77777777" w:rsidR="00A318FA" w:rsidRDefault="00A318FA" w:rsidP="00CE1B38">
                      <w:pPr>
                        <w:spacing w:after="120"/>
                        <w:jc w:val="center"/>
                        <w:rPr>
                          <w:rFonts w:ascii="Arial" w:hAnsi="Arial" w:cs="Arial"/>
                          <w:b/>
                          <w:bCs/>
                        </w:rPr>
                      </w:pPr>
                      <w:r>
                        <w:rPr>
                          <w:rFonts w:ascii="Arial" w:hAnsi="Arial" w:cs="Arial"/>
                          <w:b/>
                          <w:bCs/>
                        </w:rPr>
                        <w:t>Resources</w:t>
                      </w:r>
                    </w:p>
                    <w:p w14:paraId="4DB3FAA1" w14:textId="77777777" w:rsidR="00A318FA" w:rsidRDefault="00A318FA" w:rsidP="00CE1B38">
                      <w:pPr>
                        <w:jc w:val="center"/>
                        <w:rPr>
                          <w:rFonts w:ascii="Arial" w:hAnsi="Arial" w:cs="Arial"/>
                          <w:b/>
                          <w:bCs/>
                        </w:rPr>
                      </w:pPr>
                    </w:p>
                    <w:p w14:paraId="0CA2D53F" w14:textId="77777777" w:rsidR="00A318FA" w:rsidRDefault="00A318FA" w:rsidP="00CE1B38">
                      <w:pPr>
                        <w:spacing w:line="360" w:lineRule="auto"/>
                        <w:jc w:val="center"/>
                        <w:rPr>
                          <w:rFonts w:ascii="Arial" w:hAnsi="Arial" w:cs="Arial"/>
                          <w:i/>
                          <w:iCs/>
                          <w:sz w:val="20"/>
                          <w:szCs w:val="20"/>
                        </w:rPr>
                      </w:pPr>
                      <w:r>
                        <w:rPr>
                          <w:rFonts w:ascii="Arial" w:hAnsi="Arial" w:cs="Arial"/>
                          <w:b/>
                          <w:bCs/>
                          <w:i/>
                          <w:iCs/>
                          <w:sz w:val="20"/>
                          <w:szCs w:val="20"/>
                          <w:highlight w:val="yellow"/>
                        </w:rPr>
                        <w:t>Note to reviewers:</w:t>
                      </w:r>
                      <w:r>
                        <w:rPr>
                          <w:rFonts w:ascii="Arial" w:hAnsi="Arial" w:cs="Arial"/>
                          <w:i/>
                          <w:iCs/>
                          <w:sz w:val="20"/>
                          <w:szCs w:val="20"/>
                          <w:highlight w:val="yellow"/>
                        </w:rPr>
                        <w:t xml:space="preserve"> Please feel free to identify additional resources</w:t>
                      </w:r>
                    </w:p>
                    <w:p w14:paraId="5DDB94CC" w14:textId="77777777" w:rsidR="00A318FA" w:rsidRDefault="00A318FA" w:rsidP="00CE1B38">
                      <w:pPr>
                        <w:rPr>
                          <w:rFonts w:ascii="Arial" w:hAnsi="Arial" w:cs="Arial"/>
                          <w:sz w:val="20"/>
                          <w:szCs w:val="20"/>
                        </w:rPr>
                      </w:pPr>
                    </w:p>
                    <w:p w14:paraId="4BE837D1" w14:textId="77777777" w:rsidR="00A318FA" w:rsidRDefault="00A318FA" w:rsidP="00CE1B38">
                      <w:pPr>
                        <w:rPr>
                          <w:rFonts w:ascii="Arial" w:hAnsi="Arial" w:cs="Arial"/>
                          <w:sz w:val="20"/>
                          <w:szCs w:val="20"/>
                        </w:rPr>
                      </w:pPr>
                    </w:p>
                    <w:p w14:paraId="26B2215F"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40" w:history="1">
                        <w:r>
                          <w:rPr>
                            <w:rStyle w:val="Hyperlink"/>
                            <w:rFonts w:ascii="Arial" w:hAnsi="Arial" w:cs="Arial"/>
                            <w:sz w:val="20"/>
                            <w:szCs w:val="20"/>
                          </w:rPr>
                          <w:t>http://healthjournalism.org/secondarypage-details.php?id=965</w:t>
                        </w:r>
                      </w:hyperlink>
                      <w:r>
                        <w:rPr>
                          <w:rFonts w:ascii="Arial" w:hAnsi="Arial" w:cs="Arial"/>
                          <w:sz w:val="20"/>
                          <w:szCs w:val="20"/>
                        </w:rPr>
                        <w:t>.</w:t>
                      </w:r>
                    </w:p>
                    <w:p w14:paraId="1AB70830" w14:textId="77777777" w:rsidR="00A318FA" w:rsidRDefault="00A318FA" w:rsidP="00CE1B38">
                      <w:pPr>
                        <w:rPr>
                          <w:rFonts w:ascii="Arial" w:hAnsi="Arial" w:cs="Arial"/>
                          <w:sz w:val="20"/>
                          <w:szCs w:val="20"/>
                        </w:rPr>
                      </w:pPr>
                    </w:p>
                    <w:p w14:paraId="7AC1E8A2"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The Reporters Committee for Freedom of the Press. Open Government Guide. 2019. Available at </w:t>
                      </w:r>
                      <w:hyperlink r:id="rId41" w:history="1">
                        <w:r>
                          <w:rPr>
                            <w:rStyle w:val="Hyperlink"/>
                            <w:rFonts w:ascii="Arial" w:hAnsi="Arial" w:cs="Arial"/>
                            <w:sz w:val="20"/>
                            <w:szCs w:val="20"/>
                          </w:rPr>
                          <w:t>https://www.rcfp.org/open-government-guide/</w:t>
                        </w:r>
                      </w:hyperlink>
                      <w:r>
                        <w:rPr>
                          <w:rFonts w:ascii="Arial" w:hAnsi="Arial" w:cs="Arial"/>
                          <w:sz w:val="20"/>
                          <w:szCs w:val="20"/>
                        </w:rPr>
                        <w:t>.</w:t>
                      </w:r>
                    </w:p>
                    <w:p w14:paraId="7C068ED3" w14:textId="77777777" w:rsidR="00A318FA" w:rsidRDefault="00A318FA" w:rsidP="00CE1B38">
                      <w:pPr>
                        <w:rPr>
                          <w:rFonts w:ascii="Arial" w:hAnsi="Arial" w:cs="Arial"/>
                          <w:sz w:val="20"/>
                          <w:szCs w:val="20"/>
                        </w:rPr>
                      </w:pPr>
                    </w:p>
                    <w:p w14:paraId="22A23E26"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CSTE. Legal Issues Concerning Identifiable Health Data Sharing Between State/Local Public Health Authorities and Tribal Epidemiology Centers in Selected U.S. Jurisdictions. Original Draft March 30, 2009; Revised as of November 8, 2011. Available at  </w:t>
                      </w:r>
                      <w:hyperlink r:id="rId42" w:history="1">
                        <w:r>
                          <w:rPr>
                            <w:rStyle w:val="Hyperlink"/>
                            <w:rFonts w:ascii="Arial" w:hAnsi="Arial" w:cs="Arial"/>
                            <w:sz w:val="20"/>
                            <w:szCs w:val="20"/>
                          </w:rPr>
                          <w:t>https://cdn.ymaws.com/www.cste.org/resource/resmgr/PDFs/LegalIssuesTribalJuris.pdf</w:t>
                        </w:r>
                      </w:hyperlink>
                      <w:r>
                        <w:rPr>
                          <w:rFonts w:ascii="Arial" w:hAnsi="Arial" w:cs="Arial"/>
                          <w:sz w:val="20"/>
                          <w:szCs w:val="20"/>
                        </w:rPr>
                        <w:t>.</w:t>
                      </w:r>
                    </w:p>
                    <w:p w14:paraId="4536F745" w14:textId="77777777" w:rsidR="00A318FA" w:rsidRDefault="00A318FA" w:rsidP="00CE1B38">
                      <w:pPr>
                        <w:rPr>
                          <w:rFonts w:ascii="Arial" w:hAnsi="Arial" w:cs="Arial"/>
                          <w:sz w:val="20"/>
                          <w:szCs w:val="20"/>
                        </w:rPr>
                      </w:pPr>
                    </w:p>
                    <w:p w14:paraId="68B8E622"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Partnership for Public Health Law. Legal Issues Related to Sharing of Clinical Health Data with Public Health Agencies. April 2016. Available at </w:t>
                      </w:r>
                      <w:hyperlink r:id="rId43" w:history="1">
                        <w:r>
                          <w:rPr>
                            <w:rStyle w:val="Hyperlink"/>
                            <w:rFonts w:ascii="Arial" w:hAnsi="Arial" w:cs="Arial"/>
                            <w:sz w:val="20"/>
                            <w:szCs w:val="20"/>
                          </w:rPr>
                          <w:t>https://www.astho.org/Public-Policy/Public-Health-Law/Legal-Issues-Related-to-sharing-Clinical-Health-Data-with-Public-Health-Agencies/</w:t>
                        </w:r>
                      </w:hyperlink>
                      <w:r>
                        <w:rPr>
                          <w:rFonts w:ascii="Arial" w:hAnsi="Arial" w:cs="Arial"/>
                          <w:sz w:val="20"/>
                          <w:szCs w:val="20"/>
                        </w:rPr>
                        <w:t>.</w:t>
                      </w:r>
                    </w:p>
                    <w:p w14:paraId="18619EEA" w14:textId="77777777" w:rsidR="00A318FA" w:rsidRDefault="00A318FA" w:rsidP="00527549">
                      <w:pPr>
                        <w:pStyle w:val="ListParagraph"/>
                        <w:rPr>
                          <w:rFonts w:ascii="Arial" w:hAnsi="Arial" w:cs="Arial"/>
                          <w:sz w:val="20"/>
                          <w:szCs w:val="20"/>
                        </w:rPr>
                      </w:pPr>
                    </w:p>
                    <w:p w14:paraId="741A3472" w14:textId="77777777" w:rsidR="00A318FA" w:rsidRDefault="00A318FA" w:rsidP="00CE1B38">
                      <w:pPr>
                        <w:pStyle w:val="ListParagraph"/>
                        <w:numPr>
                          <w:ilvl w:val="0"/>
                          <w:numId w:val="39"/>
                        </w:numPr>
                        <w:rPr>
                          <w:rFonts w:ascii="Arial" w:hAnsi="Arial" w:cs="Arial"/>
                          <w:sz w:val="20"/>
                          <w:szCs w:val="20"/>
                        </w:rPr>
                      </w:pPr>
                      <w:r>
                        <w:rPr>
                          <w:rFonts w:ascii="Arial" w:hAnsi="Arial" w:cs="Arial"/>
                          <w:sz w:val="20"/>
                          <w:szCs w:val="20"/>
                        </w:rPr>
                        <w:t xml:space="preserve">Network for Public Health Law and Data Across Sectors for Health. The Legal Bibliography. Available at </w:t>
                      </w:r>
                      <w:hyperlink r:id="rId44" w:history="1">
                        <w:r>
                          <w:rPr>
                            <w:rStyle w:val="Hyperlink"/>
                            <w:rFonts w:ascii="Arial" w:hAnsi="Arial" w:cs="Arial"/>
                            <w:sz w:val="20"/>
                            <w:szCs w:val="20"/>
                          </w:rPr>
                          <w:t>http://legalbib.communitycommons.org/</w:t>
                        </w:r>
                      </w:hyperlink>
                      <w:r>
                        <w:rPr>
                          <w:rFonts w:ascii="Arial" w:hAnsi="Arial" w:cs="Arial"/>
                          <w:sz w:val="20"/>
                          <w:szCs w:val="20"/>
                        </w:rPr>
                        <w:t>.</w:t>
                      </w:r>
                    </w:p>
                    <w:p w14:paraId="2C5AF785" w14:textId="77777777" w:rsidR="00A318FA" w:rsidRDefault="00A318FA" w:rsidP="00CE1B38">
                      <w:pPr>
                        <w:pStyle w:val="ListParagraph"/>
                        <w:rPr>
                          <w:rFonts w:ascii="Arial" w:hAnsi="Arial" w:cs="Arial"/>
                          <w:sz w:val="20"/>
                          <w:szCs w:val="20"/>
                        </w:rPr>
                      </w:pPr>
                    </w:p>
                    <w:p w14:paraId="38D677C4" w14:textId="77777777" w:rsidR="00A318FA" w:rsidRDefault="00A318FA" w:rsidP="00CE1B38"/>
                  </w:txbxContent>
                </v:textbox>
                <w10:wrap type="square" anchorx="margin"/>
              </v:shape>
            </w:pict>
          </mc:Fallback>
        </mc:AlternateContent>
      </w:r>
    </w:p>
    <w:p w14:paraId="4B3AFE5E" w14:textId="77777777" w:rsidR="00CE1B38" w:rsidRDefault="00CE1B38" w:rsidP="00CE1B38">
      <w:pPr>
        <w:spacing w:line="360" w:lineRule="auto"/>
        <w:rPr>
          <w:rFonts w:ascii="Calibri" w:eastAsia="Times New Roman" w:hAnsi="Calibri" w:cs="Calibri"/>
          <w:b/>
          <w:bCs/>
        </w:rPr>
      </w:pPr>
    </w:p>
    <w:p w14:paraId="2F8664AA" w14:textId="77777777" w:rsidR="00CE1B38" w:rsidRDefault="00CE1B38" w:rsidP="00CE1B38">
      <w:pPr>
        <w:spacing w:line="360" w:lineRule="auto"/>
        <w:rPr>
          <w:rFonts w:ascii="Calibri" w:eastAsia="Times New Roman" w:hAnsi="Calibri" w:cs="Calibri"/>
          <w:b/>
          <w:bCs/>
        </w:rPr>
        <w:sectPr w:rsidR="00CE1B38" w:rsidSect="00A318FA">
          <w:footnotePr>
            <w:numRestart w:val="eachSect"/>
          </w:footnotePr>
          <w:pgSz w:w="12240" w:h="15840"/>
          <w:pgMar w:top="1440" w:right="1440" w:bottom="1440" w:left="1440" w:header="720" w:footer="720" w:gutter="0"/>
          <w:cols w:space="720"/>
          <w:docGrid w:linePitch="360"/>
        </w:sectPr>
      </w:pPr>
    </w:p>
    <w:p w14:paraId="4AC10407" w14:textId="77777777" w:rsidR="00A318FA" w:rsidRDefault="00A318FA" w:rsidP="00A318FA">
      <w:pPr>
        <w:spacing w:after="120"/>
        <w:jc w:val="center"/>
        <w:rPr>
          <w:rFonts w:ascii="Arial" w:hAnsi="Arial" w:cs="Arial"/>
          <w:b/>
          <w:bCs/>
          <w:sz w:val="24"/>
          <w:szCs w:val="24"/>
        </w:rPr>
      </w:pPr>
      <w:r>
        <w:rPr>
          <w:rFonts w:ascii="Arial" w:hAnsi="Arial" w:cs="Arial"/>
          <w:b/>
          <w:bCs/>
          <w:sz w:val="24"/>
          <w:szCs w:val="24"/>
        </w:rPr>
        <w:lastRenderedPageBreak/>
        <w:t>Chapter 4</w:t>
      </w:r>
    </w:p>
    <w:p w14:paraId="69C453C9" w14:textId="77777777" w:rsidR="00A318FA" w:rsidRPr="002F1BCE" w:rsidRDefault="00A318FA" w:rsidP="00A318FA">
      <w:pPr>
        <w:spacing w:line="360" w:lineRule="auto"/>
        <w:jc w:val="center"/>
        <w:rPr>
          <w:rFonts w:ascii="Arial" w:hAnsi="Arial" w:cs="Arial"/>
          <w:b/>
          <w:bCs/>
          <w:sz w:val="24"/>
          <w:szCs w:val="24"/>
        </w:rPr>
      </w:pPr>
      <w:r>
        <w:rPr>
          <w:rFonts w:ascii="Arial" w:hAnsi="Arial" w:cs="Arial"/>
          <w:b/>
          <w:bCs/>
          <w:sz w:val="24"/>
          <w:szCs w:val="24"/>
        </w:rPr>
        <w:t xml:space="preserve">Potential </w:t>
      </w:r>
      <w:r w:rsidRPr="002F1BCE">
        <w:rPr>
          <w:rFonts w:ascii="Arial" w:hAnsi="Arial" w:cs="Arial"/>
          <w:b/>
          <w:bCs/>
          <w:sz w:val="24"/>
          <w:szCs w:val="24"/>
        </w:rPr>
        <w:t>Liabilit</w:t>
      </w:r>
      <w:r>
        <w:rPr>
          <w:rFonts w:ascii="Arial" w:hAnsi="Arial" w:cs="Arial"/>
          <w:b/>
          <w:bCs/>
          <w:sz w:val="24"/>
          <w:szCs w:val="24"/>
        </w:rPr>
        <w:t xml:space="preserve">y </w:t>
      </w:r>
      <w:r w:rsidRPr="002F1BCE">
        <w:rPr>
          <w:rFonts w:ascii="Arial" w:hAnsi="Arial" w:cs="Arial"/>
          <w:b/>
          <w:bCs/>
          <w:sz w:val="24"/>
          <w:szCs w:val="24"/>
        </w:rPr>
        <w:t>Issues</w:t>
      </w:r>
    </w:p>
    <w:p w14:paraId="2BCF3EA8" w14:textId="77777777" w:rsidR="00A318FA" w:rsidRDefault="00A318FA" w:rsidP="00A318FA">
      <w:pPr>
        <w:spacing w:line="360" w:lineRule="auto"/>
        <w:rPr>
          <w:rFonts w:asciiTheme="majorHAnsi" w:hAnsiTheme="majorHAnsi" w:cstheme="majorHAnsi"/>
        </w:rPr>
      </w:pPr>
    </w:p>
    <w:p w14:paraId="48A37771" w14:textId="77777777" w:rsidR="00A318FA" w:rsidRPr="0041614B" w:rsidRDefault="00A318FA" w:rsidP="00A318FA">
      <w:pPr>
        <w:spacing w:line="360" w:lineRule="auto"/>
        <w:rPr>
          <w:rFonts w:asciiTheme="majorHAnsi" w:hAnsiTheme="majorHAnsi" w:cstheme="majorHAnsi"/>
        </w:rPr>
      </w:pPr>
    </w:p>
    <w:p w14:paraId="4229FDAC" w14:textId="77777777" w:rsidR="00A318FA" w:rsidRDefault="00A318FA" w:rsidP="00A318FA">
      <w:pPr>
        <w:tabs>
          <w:tab w:val="left" w:pos="553"/>
        </w:tabs>
        <w:spacing w:after="120" w:line="360" w:lineRule="auto"/>
        <w:rPr>
          <w:rFonts w:asciiTheme="majorHAnsi" w:hAnsiTheme="majorHAnsi" w:cstheme="majorHAnsi"/>
        </w:rPr>
      </w:pPr>
      <w:r>
        <w:rPr>
          <w:rFonts w:asciiTheme="majorHAnsi" w:hAnsiTheme="majorHAnsi" w:cstheme="majorHAnsi"/>
        </w:rPr>
        <w:t xml:space="preserve">Any discussion of legal issues surrounding Legionnaires’ disease (LD) investigations would not be complete without a review of potential liability issues that can arise. </w:t>
      </w:r>
      <w:r w:rsidRPr="00242AE2">
        <w:rPr>
          <w:rFonts w:asciiTheme="majorHAnsi" w:hAnsiTheme="majorHAnsi" w:cstheme="majorHAnsi"/>
        </w:rPr>
        <w:t>Liability occurs when a</w:t>
      </w:r>
      <w:r>
        <w:rPr>
          <w:rFonts w:asciiTheme="majorHAnsi" w:hAnsiTheme="majorHAnsi" w:cstheme="majorHAnsi"/>
        </w:rPr>
        <w:t xml:space="preserve">n individual or entity </w:t>
      </w:r>
      <w:r w:rsidRPr="00242AE2">
        <w:rPr>
          <w:rFonts w:asciiTheme="majorHAnsi" w:hAnsiTheme="majorHAnsi" w:cstheme="majorHAnsi"/>
        </w:rPr>
        <w:t xml:space="preserve">is </w:t>
      </w:r>
      <w:r>
        <w:rPr>
          <w:rFonts w:asciiTheme="majorHAnsi" w:hAnsiTheme="majorHAnsi" w:cstheme="majorHAnsi"/>
        </w:rPr>
        <w:t>determined to</w:t>
      </w:r>
      <w:r w:rsidRPr="00242AE2">
        <w:rPr>
          <w:rFonts w:asciiTheme="majorHAnsi" w:hAnsiTheme="majorHAnsi" w:cstheme="majorHAnsi"/>
        </w:rPr>
        <w:t xml:space="preserve"> be legally responsible for their actions or their failure to act in a situation</w:t>
      </w:r>
      <w:r>
        <w:rPr>
          <w:rFonts w:asciiTheme="majorHAnsi" w:hAnsiTheme="majorHAnsi" w:cstheme="majorHAnsi"/>
        </w:rPr>
        <w:t xml:space="preserve"> in </w:t>
      </w:r>
      <w:r w:rsidRPr="00242AE2">
        <w:rPr>
          <w:rFonts w:asciiTheme="majorHAnsi" w:hAnsiTheme="majorHAnsi" w:cstheme="majorHAnsi"/>
        </w:rPr>
        <w:t>which an injury or damage occurred.</w:t>
      </w:r>
      <w:r>
        <w:rPr>
          <w:rFonts w:asciiTheme="majorHAnsi" w:hAnsiTheme="majorHAnsi" w:cstheme="majorHAnsi"/>
        </w:rPr>
        <w:t xml:space="preserve"> This chapter addresses:</w:t>
      </w:r>
    </w:p>
    <w:p w14:paraId="5FF57E3B" w14:textId="77777777" w:rsidR="00A318FA" w:rsidRDefault="00A318FA" w:rsidP="00A318FA">
      <w:pPr>
        <w:pStyle w:val="ListParagraph"/>
        <w:numPr>
          <w:ilvl w:val="0"/>
          <w:numId w:val="40"/>
        </w:numPr>
        <w:tabs>
          <w:tab w:val="left" w:pos="720"/>
        </w:tabs>
        <w:spacing w:after="120" w:line="360" w:lineRule="auto"/>
        <w:contextualSpacing w:val="0"/>
        <w:rPr>
          <w:rFonts w:asciiTheme="majorHAnsi" w:hAnsiTheme="majorHAnsi" w:cstheme="majorHAnsi"/>
        </w:rPr>
      </w:pPr>
      <w:r>
        <w:rPr>
          <w:rFonts w:asciiTheme="majorHAnsi" w:hAnsiTheme="majorHAnsi" w:cstheme="majorHAnsi"/>
        </w:rPr>
        <w:t>Understanding the concept of legal liability.</w:t>
      </w:r>
    </w:p>
    <w:p w14:paraId="67F899F6" w14:textId="77777777" w:rsidR="00A318FA" w:rsidRDefault="00A318FA" w:rsidP="00A318FA">
      <w:pPr>
        <w:pStyle w:val="ListParagraph"/>
        <w:numPr>
          <w:ilvl w:val="0"/>
          <w:numId w:val="40"/>
        </w:numPr>
        <w:tabs>
          <w:tab w:val="left" w:pos="720"/>
        </w:tabs>
        <w:spacing w:after="120" w:line="360" w:lineRule="auto"/>
        <w:contextualSpacing w:val="0"/>
        <w:rPr>
          <w:rFonts w:asciiTheme="majorHAnsi" w:hAnsiTheme="majorHAnsi" w:cstheme="majorHAnsi"/>
        </w:rPr>
      </w:pPr>
      <w:r>
        <w:rPr>
          <w:rFonts w:asciiTheme="majorHAnsi" w:hAnsiTheme="majorHAnsi" w:cstheme="majorHAnsi"/>
        </w:rPr>
        <w:t>Identifying potential scenarios in which liability for an LD outbreak can arise.</w:t>
      </w:r>
    </w:p>
    <w:p w14:paraId="47376E39" w14:textId="77777777" w:rsidR="00A318FA" w:rsidRDefault="00A318FA" w:rsidP="00A318FA">
      <w:pPr>
        <w:pStyle w:val="ListParagraph"/>
        <w:numPr>
          <w:ilvl w:val="0"/>
          <w:numId w:val="40"/>
        </w:numPr>
        <w:tabs>
          <w:tab w:val="left" w:pos="720"/>
        </w:tabs>
        <w:spacing w:line="360" w:lineRule="auto"/>
        <w:contextualSpacing w:val="0"/>
        <w:rPr>
          <w:rFonts w:asciiTheme="majorHAnsi" w:hAnsiTheme="majorHAnsi" w:cstheme="majorHAnsi"/>
        </w:rPr>
      </w:pPr>
      <w:r>
        <w:rPr>
          <w:rFonts w:asciiTheme="majorHAnsi" w:hAnsiTheme="majorHAnsi" w:cstheme="majorHAnsi"/>
        </w:rPr>
        <w:t>Reviewing possible theories of negligence and administrative violations appliable in an LD outbreak.</w:t>
      </w:r>
    </w:p>
    <w:p w14:paraId="348C6436" w14:textId="77777777" w:rsidR="00A318FA" w:rsidRDefault="00A318FA" w:rsidP="00A318FA">
      <w:pPr>
        <w:spacing w:line="360" w:lineRule="auto"/>
        <w:rPr>
          <w:rFonts w:asciiTheme="majorHAnsi" w:eastAsia="Times New Roman" w:hAnsiTheme="majorHAnsi" w:cstheme="majorHAnsi"/>
          <w:color w:val="000000" w:themeColor="text1"/>
          <w:szCs w:val="20"/>
        </w:rPr>
      </w:pPr>
    </w:p>
    <w:p w14:paraId="08ED4DDA" w14:textId="77777777" w:rsidR="00A318FA" w:rsidRPr="005251BC" w:rsidRDefault="00A318FA" w:rsidP="00A318FA">
      <w:pPr>
        <w:spacing w:after="120" w:line="360" w:lineRule="auto"/>
        <w:rPr>
          <w:rFonts w:ascii="Arial" w:eastAsia="Times New Roman" w:hAnsi="Arial" w:cs="Arial"/>
          <w:b/>
          <w:bCs/>
          <w:color w:val="000000" w:themeColor="text1"/>
          <w:szCs w:val="20"/>
        </w:rPr>
      </w:pPr>
      <w:r>
        <w:rPr>
          <w:rFonts w:ascii="Arial" w:eastAsia="Times New Roman" w:hAnsi="Arial" w:cs="Arial"/>
          <w:b/>
          <w:bCs/>
          <w:color w:val="000000" w:themeColor="text1"/>
          <w:szCs w:val="20"/>
        </w:rPr>
        <w:t>Understanding Legal Liability</w:t>
      </w:r>
    </w:p>
    <w:p w14:paraId="12D05CB2" w14:textId="77777777" w:rsidR="00A318FA" w:rsidRDefault="00A318FA" w:rsidP="00A318FA">
      <w:pPr>
        <w:spacing w:line="360" w:lineRule="auto"/>
        <w:rPr>
          <w:rFonts w:asciiTheme="majorHAnsi" w:eastAsia="Times New Roman" w:hAnsiTheme="majorHAnsi" w:cstheme="majorHAnsi"/>
          <w:color w:val="000000" w:themeColor="text1"/>
        </w:rPr>
      </w:pPr>
      <w:r w:rsidRPr="004A2552">
        <w:rPr>
          <w:rFonts w:asciiTheme="majorHAnsi" w:hAnsiTheme="majorHAnsi" w:cstheme="majorHAnsi"/>
          <w:noProof/>
        </w:rPr>
        <mc:AlternateContent>
          <mc:Choice Requires="wps">
            <w:drawing>
              <wp:anchor distT="45720" distB="45720" distL="114300" distR="114300" simplePos="0" relativeHeight="251678720" behindDoc="0" locked="0" layoutInCell="1" allowOverlap="1" wp14:anchorId="20897DFA" wp14:editId="55B2A162">
                <wp:simplePos x="0" y="0"/>
                <wp:positionH relativeFrom="margin">
                  <wp:align>right</wp:align>
                </wp:positionH>
                <wp:positionV relativeFrom="paragraph">
                  <wp:posOffset>915035</wp:posOffset>
                </wp:positionV>
                <wp:extent cx="2889504" cy="1188720"/>
                <wp:effectExtent l="0" t="0" r="25400" b="1143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504" cy="1188720"/>
                        </a:xfrm>
                        <a:prstGeom prst="rect">
                          <a:avLst/>
                        </a:prstGeom>
                        <a:solidFill>
                          <a:srgbClr val="FFFFFF"/>
                        </a:solidFill>
                        <a:ln w="9525">
                          <a:solidFill>
                            <a:srgbClr val="000000"/>
                          </a:solidFill>
                          <a:miter lim="800000"/>
                          <a:headEnd/>
                          <a:tailEnd/>
                        </a:ln>
                      </wps:spPr>
                      <wps:txbx>
                        <w:txbxContent>
                          <w:p w14:paraId="2A9A7D8B" w14:textId="77777777" w:rsidR="00A318FA" w:rsidRPr="003C4E18" w:rsidRDefault="00A318FA" w:rsidP="00A318FA">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w:t>
                            </w:r>
                            <w:r>
                              <w:rPr>
                                <w:rFonts w:ascii="Arial" w:hAnsi="Arial" w:cs="Arial"/>
                                <w:sz w:val="18"/>
                                <w:szCs w:val="18"/>
                              </w:rPr>
                              <w:t xml:space="preserve">. </w:t>
                            </w:r>
                            <w:r w:rsidRPr="005A3218">
                              <w:rPr>
                                <w:rFonts w:ascii="Arial" w:hAnsi="Arial" w:cs="Arial"/>
                                <w:b/>
                                <w:bCs/>
                                <w:i/>
                                <w:iCs/>
                                <w:sz w:val="18"/>
                                <w:szCs w:val="18"/>
                              </w:rPr>
                              <w:t>Information about laws and legal theories discussed in this section and the toolkit are for information only and are not legal advice.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897DFA" id="_x0000_s1034" type="#_x0000_t202" style="position:absolute;margin-left:176.3pt;margin-top:72.05pt;width:227.5pt;height:93.6pt;z-index:2516787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">
                <v:textbox>
                  <w:txbxContent>
                    <w:p w14:paraId="2A9A7D8B" w14:textId="77777777" w:rsidR="00A318FA" w:rsidRPr="003C4E18" w:rsidRDefault="00A318FA" w:rsidP="00A318FA">
                      <w:pPr>
                        <w:rPr>
                          <w:rFonts w:ascii="Arial" w:hAnsi="Arial" w:cs="Arial"/>
                          <w:b/>
                          <w:bCs/>
                          <w:sz w:val="18"/>
                          <w:szCs w:val="18"/>
                        </w:rPr>
                      </w:pPr>
                      <w:r w:rsidRPr="005A3218">
                        <w:rPr>
                          <w:rFonts w:ascii="Arial" w:hAnsi="Arial" w:cs="Arial"/>
                          <w:b/>
                          <w:bCs/>
                          <w:sz w:val="18"/>
                          <w:szCs w:val="18"/>
                        </w:rPr>
                        <w:t>Please Note:</w:t>
                      </w:r>
                      <w:r w:rsidRPr="005A3218">
                        <w:rPr>
                          <w:rFonts w:ascii="Arial" w:hAnsi="Arial" w:cs="Arial"/>
                          <w:sz w:val="18"/>
                          <w:szCs w:val="18"/>
                        </w:rPr>
                        <w:t xml:space="preserve"> Any legal analysis of a specific case or outbreak depends on the facts of that event and the laws of the jurisdiction in which it occurs. Public health department personnel should consult with their agency/government legal counsel</w:t>
                      </w:r>
                      <w:r>
                        <w:rPr>
                          <w:rFonts w:ascii="Arial" w:hAnsi="Arial" w:cs="Arial"/>
                          <w:sz w:val="18"/>
                          <w:szCs w:val="18"/>
                        </w:rPr>
                        <w:t xml:space="preserve">. </w:t>
                      </w:r>
                      <w:r w:rsidRPr="005A3218">
                        <w:rPr>
                          <w:rFonts w:ascii="Arial" w:hAnsi="Arial" w:cs="Arial"/>
                          <w:b/>
                          <w:bCs/>
                          <w:i/>
                          <w:iCs/>
                          <w:sz w:val="18"/>
                          <w:szCs w:val="18"/>
                        </w:rPr>
                        <w:t>Information about laws and legal theories discussed in this section and the toolkit are for information only and are not legal advice.</w:t>
                      </w:r>
                    </w:p>
                  </w:txbxContent>
                </v:textbox>
                <w10:wrap type="square" anchorx="margin"/>
              </v:shape>
            </w:pict>
          </mc:Fallback>
        </mc:AlternateContent>
      </w:r>
      <w:r w:rsidRPr="00C310C2">
        <w:rPr>
          <w:rFonts w:asciiTheme="majorHAnsi" w:eastAsia="Times New Roman" w:hAnsiTheme="majorHAnsi" w:cstheme="majorHAnsi"/>
          <w:color w:val="000000" w:themeColor="text1"/>
        </w:rPr>
        <w:t xml:space="preserve">Civil liability is the most likely type of liability to arise in the context of an LD outbreak. </w:t>
      </w:r>
      <w:r>
        <w:rPr>
          <w:rFonts w:asciiTheme="majorHAnsi" w:eastAsia="Times New Roman" w:hAnsiTheme="majorHAnsi" w:cstheme="majorHAnsi"/>
          <w:color w:val="000000" w:themeColor="text1"/>
        </w:rPr>
        <w:t>I</w:t>
      </w:r>
      <w:r w:rsidRPr="00C310C2">
        <w:rPr>
          <w:rFonts w:asciiTheme="majorHAnsi" w:eastAsia="Times New Roman" w:hAnsiTheme="majorHAnsi" w:cstheme="majorHAnsi"/>
          <w:color w:val="000000" w:themeColor="text1"/>
        </w:rPr>
        <w:t>ndividuals and entities may be found directly</w:t>
      </w:r>
      <w:r>
        <w:rPr>
          <w:rStyle w:val="FootnoteReference"/>
          <w:rFonts w:asciiTheme="majorHAnsi" w:eastAsia="Times New Roman" w:hAnsiTheme="majorHAnsi" w:cstheme="majorHAnsi"/>
          <w:color w:val="000000" w:themeColor="text1"/>
        </w:rPr>
        <w:footnoteReference w:id="95"/>
      </w:r>
      <w:r w:rsidRPr="00C310C2">
        <w:rPr>
          <w:rFonts w:asciiTheme="majorHAnsi" w:eastAsia="Times New Roman" w:hAnsiTheme="majorHAnsi" w:cstheme="majorHAnsi"/>
          <w:color w:val="000000" w:themeColor="text1"/>
        </w:rPr>
        <w:t xml:space="preserve"> or vicariously</w:t>
      </w:r>
      <w:r>
        <w:rPr>
          <w:rStyle w:val="FootnoteReference"/>
          <w:rFonts w:asciiTheme="majorHAnsi" w:eastAsia="Times New Roman" w:hAnsiTheme="majorHAnsi" w:cstheme="majorHAnsi"/>
          <w:color w:val="000000" w:themeColor="text1"/>
        </w:rPr>
        <w:footnoteReference w:id="96"/>
      </w:r>
      <w:r w:rsidRPr="00C310C2">
        <w:rPr>
          <w:rFonts w:asciiTheme="majorHAnsi" w:eastAsia="Times New Roman" w:hAnsiTheme="majorHAnsi" w:cstheme="majorHAnsi"/>
          <w:color w:val="000000" w:themeColor="text1"/>
        </w:rPr>
        <w:t xml:space="preserve"> </w:t>
      </w:r>
      <w:r>
        <w:rPr>
          <w:rFonts w:asciiTheme="majorHAnsi" w:eastAsia="Times New Roman" w:hAnsiTheme="majorHAnsi" w:cstheme="majorHAnsi"/>
          <w:color w:val="000000" w:themeColor="text1"/>
        </w:rPr>
        <w:t>(indirectly)</w:t>
      </w:r>
      <w:r w:rsidRPr="00C310C2">
        <w:rPr>
          <w:rFonts w:asciiTheme="majorHAnsi" w:eastAsia="Times New Roman" w:hAnsiTheme="majorHAnsi" w:cstheme="majorHAnsi"/>
          <w:color w:val="000000" w:themeColor="text1"/>
        </w:rPr>
        <w:t xml:space="preserve"> liable for the act</w:t>
      </w:r>
      <w:r>
        <w:rPr>
          <w:rFonts w:asciiTheme="majorHAnsi" w:eastAsia="Times New Roman" w:hAnsiTheme="majorHAnsi" w:cstheme="majorHAnsi"/>
          <w:color w:val="000000" w:themeColor="text1"/>
        </w:rPr>
        <w:t xml:space="preserve">s or omissions </w:t>
      </w:r>
      <w:r w:rsidRPr="00C310C2">
        <w:rPr>
          <w:rFonts w:asciiTheme="majorHAnsi" w:eastAsia="Times New Roman" w:hAnsiTheme="majorHAnsi" w:cstheme="majorHAnsi"/>
          <w:color w:val="000000" w:themeColor="text1"/>
        </w:rPr>
        <w:t>of themselves or their employees</w:t>
      </w:r>
      <w:r>
        <w:rPr>
          <w:rFonts w:asciiTheme="majorHAnsi" w:eastAsia="Times New Roman" w:hAnsiTheme="majorHAnsi" w:cstheme="majorHAnsi"/>
          <w:color w:val="000000" w:themeColor="text1"/>
        </w:rPr>
        <w:t xml:space="preserve"> or </w:t>
      </w:r>
      <w:r w:rsidRPr="00C310C2">
        <w:rPr>
          <w:rFonts w:asciiTheme="majorHAnsi" w:eastAsia="Times New Roman" w:hAnsiTheme="majorHAnsi" w:cstheme="majorHAnsi"/>
          <w:color w:val="000000" w:themeColor="text1"/>
        </w:rPr>
        <w:t>agents. If a</w:t>
      </w:r>
      <w:r>
        <w:rPr>
          <w:rFonts w:asciiTheme="majorHAnsi" w:eastAsia="Times New Roman" w:hAnsiTheme="majorHAnsi" w:cstheme="majorHAnsi"/>
          <w:color w:val="000000" w:themeColor="text1"/>
        </w:rPr>
        <w:t xml:space="preserve">n individual </w:t>
      </w:r>
      <w:r w:rsidRPr="00C310C2">
        <w:rPr>
          <w:rFonts w:asciiTheme="majorHAnsi" w:eastAsia="Times New Roman" w:hAnsiTheme="majorHAnsi" w:cstheme="majorHAnsi"/>
          <w:color w:val="000000" w:themeColor="text1"/>
        </w:rPr>
        <w:t>or entity is found civilly liable for causing harm, the aggrieved party can seek monetary compensation and, in some instances, an injunction to remediate the harm or to stop current or future action by the liable party.</w:t>
      </w:r>
      <w:r>
        <w:rPr>
          <w:rFonts w:asciiTheme="majorHAnsi" w:eastAsia="Times New Roman" w:hAnsiTheme="majorHAnsi" w:cstheme="majorHAnsi"/>
          <w:color w:val="000000" w:themeColor="text1"/>
        </w:rPr>
        <w:t xml:space="preserve"> Civil claims </w:t>
      </w:r>
      <w:r w:rsidRPr="00C310C2">
        <w:rPr>
          <w:rFonts w:asciiTheme="majorHAnsi" w:eastAsia="Times New Roman" w:hAnsiTheme="majorHAnsi" w:cstheme="majorHAnsi"/>
          <w:color w:val="000000" w:themeColor="text1"/>
        </w:rPr>
        <w:t xml:space="preserve">can </w:t>
      </w:r>
      <w:r>
        <w:rPr>
          <w:rFonts w:asciiTheme="majorHAnsi" w:eastAsia="Times New Roman" w:hAnsiTheme="majorHAnsi" w:cstheme="majorHAnsi"/>
          <w:color w:val="000000" w:themeColor="text1"/>
        </w:rPr>
        <w:t xml:space="preserve">generally </w:t>
      </w:r>
      <w:r w:rsidRPr="00C310C2">
        <w:rPr>
          <w:rFonts w:asciiTheme="majorHAnsi" w:eastAsia="Times New Roman" w:hAnsiTheme="majorHAnsi" w:cstheme="majorHAnsi"/>
          <w:color w:val="000000" w:themeColor="text1"/>
        </w:rPr>
        <w:t xml:space="preserve">translate into several different theories, including negligence, </w:t>
      </w:r>
      <w:r w:rsidRPr="00C310C2">
        <w:rPr>
          <w:rFonts w:asciiTheme="majorHAnsi" w:eastAsia="Times New Roman" w:hAnsiTheme="majorHAnsi" w:cstheme="majorHAnsi"/>
          <w:color w:val="000000" w:themeColor="text1"/>
        </w:rPr>
        <w:lastRenderedPageBreak/>
        <w:t>misrepresentations, privacy violations, discrimination, or even intention harm (i.e.</w:t>
      </w:r>
      <w:r>
        <w:rPr>
          <w:rFonts w:asciiTheme="majorHAnsi" w:eastAsia="Times New Roman" w:hAnsiTheme="majorHAnsi" w:cstheme="majorHAnsi"/>
          <w:color w:val="000000" w:themeColor="text1"/>
        </w:rPr>
        <w:t>,</w:t>
      </w:r>
      <w:r w:rsidRPr="00C310C2">
        <w:rPr>
          <w:rFonts w:asciiTheme="majorHAnsi" w:eastAsia="Times New Roman" w:hAnsiTheme="majorHAnsi" w:cstheme="majorHAnsi"/>
          <w:color w:val="000000" w:themeColor="text1"/>
        </w:rPr>
        <w:t xml:space="preserve"> battery).</w:t>
      </w:r>
    </w:p>
    <w:p w14:paraId="5E80CA7D" w14:textId="77777777" w:rsidR="00A318FA" w:rsidRDefault="00A318FA" w:rsidP="00A318FA">
      <w:pPr>
        <w:spacing w:line="360" w:lineRule="auto"/>
        <w:rPr>
          <w:rFonts w:asciiTheme="majorHAnsi" w:eastAsia="Times New Roman" w:hAnsiTheme="majorHAnsi" w:cstheme="majorHAnsi"/>
          <w:color w:val="000000" w:themeColor="text1"/>
          <w:szCs w:val="20"/>
        </w:rPr>
      </w:pPr>
    </w:p>
    <w:p w14:paraId="0DE51599" w14:textId="77777777" w:rsidR="00A318FA" w:rsidRDefault="00A318FA" w:rsidP="00A318FA">
      <w:pPr>
        <w:spacing w:line="360" w:lineRule="auto"/>
        <w:rPr>
          <w:rFonts w:asciiTheme="majorHAnsi" w:hAnsiTheme="majorHAnsi" w:cstheme="majorHAnsi"/>
        </w:rPr>
      </w:pPr>
      <w:r w:rsidRPr="009E1CFA">
        <w:rPr>
          <w:rFonts w:asciiTheme="majorHAnsi" w:eastAsia="Times New Roman" w:hAnsiTheme="majorHAnsi" w:cstheme="majorHAnsi"/>
          <w:color w:val="000000" w:themeColor="text1"/>
          <w:szCs w:val="20"/>
        </w:rPr>
        <w:t xml:space="preserve">A foundational principle to understanding potential </w:t>
      </w:r>
      <w:r>
        <w:rPr>
          <w:rFonts w:asciiTheme="majorHAnsi" w:eastAsia="Times New Roman" w:hAnsiTheme="majorHAnsi" w:cstheme="majorHAnsi"/>
          <w:color w:val="000000" w:themeColor="text1"/>
          <w:szCs w:val="20"/>
        </w:rPr>
        <w:t xml:space="preserve">civil </w:t>
      </w:r>
      <w:r w:rsidRPr="009E1CFA">
        <w:rPr>
          <w:rFonts w:asciiTheme="majorHAnsi" w:eastAsia="Times New Roman" w:hAnsiTheme="majorHAnsi" w:cstheme="majorHAnsi"/>
          <w:color w:val="000000" w:themeColor="text1"/>
          <w:szCs w:val="20"/>
        </w:rPr>
        <w:t>liabilit</w:t>
      </w:r>
      <w:r>
        <w:rPr>
          <w:rFonts w:asciiTheme="majorHAnsi" w:eastAsia="Times New Roman" w:hAnsiTheme="majorHAnsi" w:cstheme="majorHAnsi"/>
          <w:color w:val="000000" w:themeColor="text1"/>
          <w:szCs w:val="20"/>
        </w:rPr>
        <w:t>y</w:t>
      </w:r>
      <w:r w:rsidRPr="009E1CFA">
        <w:rPr>
          <w:rFonts w:asciiTheme="majorHAnsi" w:eastAsia="Times New Roman" w:hAnsiTheme="majorHAnsi" w:cstheme="majorHAnsi"/>
          <w:color w:val="000000" w:themeColor="text1"/>
          <w:szCs w:val="20"/>
        </w:rPr>
        <w:t xml:space="preserve"> is the concept of a tort. </w:t>
      </w:r>
      <w:r>
        <w:rPr>
          <w:rFonts w:asciiTheme="majorHAnsi" w:eastAsia="Times New Roman" w:hAnsiTheme="majorHAnsi" w:cstheme="majorHAnsi"/>
          <w:color w:val="000000" w:themeColor="text1"/>
          <w:szCs w:val="20"/>
        </w:rPr>
        <w:t>In the law, a</w:t>
      </w:r>
      <w:r w:rsidRPr="009E1CFA">
        <w:rPr>
          <w:rFonts w:asciiTheme="majorHAnsi" w:eastAsia="Times New Roman" w:hAnsiTheme="majorHAnsi" w:cstheme="majorHAnsi"/>
          <w:color w:val="000000" w:themeColor="text1"/>
          <w:szCs w:val="20"/>
        </w:rPr>
        <w:t xml:space="preserve"> tort is a wrong committed by an actor (a person or entity) either intentionally or unintentionally that causes harm to another person or property. A tort claim is a type of civil claim that allows an individual or entity to sue the actor in civil court for redress of the harm. </w:t>
      </w:r>
      <w:r>
        <w:rPr>
          <w:rFonts w:asciiTheme="majorHAnsi" w:eastAsia="Times New Roman" w:hAnsiTheme="majorHAnsi" w:cstheme="majorHAnsi"/>
          <w:color w:val="000000" w:themeColor="text1"/>
          <w:szCs w:val="20"/>
        </w:rPr>
        <w:t>(</w:t>
      </w:r>
      <w:r w:rsidRPr="009E1CFA">
        <w:rPr>
          <w:rFonts w:asciiTheme="majorHAnsi" w:eastAsia="Times New Roman" w:hAnsiTheme="majorHAnsi" w:cstheme="majorHAnsi"/>
          <w:color w:val="000000" w:themeColor="text1"/>
          <w:szCs w:val="20"/>
        </w:rPr>
        <w:t xml:space="preserve">This is contrasted with contractual claims in which the parties to a contract sue in civil court over the terms of the contract, and with criminal charges in which </w:t>
      </w:r>
      <w:r>
        <w:rPr>
          <w:rFonts w:asciiTheme="majorHAnsi" w:eastAsia="Times New Roman" w:hAnsiTheme="majorHAnsi" w:cstheme="majorHAnsi"/>
          <w:color w:val="000000" w:themeColor="text1"/>
          <w:szCs w:val="20"/>
        </w:rPr>
        <w:t>a</w:t>
      </w:r>
      <w:r w:rsidRPr="009E1CFA">
        <w:rPr>
          <w:rFonts w:asciiTheme="majorHAnsi" w:eastAsia="Times New Roman" w:hAnsiTheme="majorHAnsi" w:cstheme="majorHAnsi"/>
          <w:color w:val="000000" w:themeColor="text1"/>
          <w:szCs w:val="20"/>
        </w:rPr>
        <w:t xml:space="preserve"> government prosecutes an </w:t>
      </w:r>
      <w:r>
        <w:rPr>
          <w:rFonts w:asciiTheme="majorHAnsi" w:eastAsia="Times New Roman" w:hAnsiTheme="majorHAnsi" w:cstheme="majorHAnsi"/>
          <w:color w:val="000000" w:themeColor="text1"/>
          <w:szCs w:val="20"/>
        </w:rPr>
        <w:t>individual or entity</w:t>
      </w:r>
      <w:r w:rsidRPr="009E1CFA">
        <w:rPr>
          <w:rFonts w:asciiTheme="majorHAnsi" w:eastAsia="Times New Roman" w:hAnsiTheme="majorHAnsi" w:cstheme="majorHAnsi"/>
          <w:color w:val="000000" w:themeColor="text1"/>
          <w:szCs w:val="20"/>
        </w:rPr>
        <w:t>.</w:t>
      </w:r>
      <w:r>
        <w:rPr>
          <w:rFonts w:asciiTheme="majorHAnsi" w:eastAsia="Times New Roman" w:hAnsiTheme="majorHAnsi" w:cstheme="majorHAnsi"/>
          <w:color w:val="000000" w:themeColor="text1"/>
          <w:szCs w:val="20"/>
        </w:rPr>
        <w:t>)</w:t>
      </w:r>
      <w:r w:rsidRPr="009E1CFA">
        <w:rPr>
          <w:rFonts w:asciiTheme="majorHAnsi" w:eastAsia="Times New Roman" w:hAnsiTheme="majorHAnsi" w:cstheme="majorHAnsi"/>
          <w:color w:val="000000" w:themeColor="text1"/>
          <w:szCs w:val="20"/>
        </w:rPr>
        <w:t xml:space="preserve"> Unintentional torts arise if an </w:t>
      </w:r>
      <w:r>
        <w:rPr>
          <w:rFonts w:asciiTheme="majorHAnsi" w:eastAsia="Times New Roman" w:hAnsiTheme="majorHAnsi" w:cstheme="majorHAnsi"/>
          <w:color w:val="000000" w:themeColor="text1"/>
          <w:szCs w:val="20"/>
        </w:rPr>
        <w:t xml:space="preserve">actor harms </w:t>
      </w:r>
      <w:r w:rsidRPr="009E1CFA">
        <w:rPr>
          <w:rFonts w:asciiTheme="majorHAnsi" w:eastAsia="Times New Roman" w:hAnsiTheme="majorHAnsi" w:cstheme="majorHAnsi"/>
          <w:color w:val="000000" w:themeColor="text1"/>
          <w:szCs w:val="20"/>
        </w:rPr>
        <w:t xml:space="preserve">another person or property, but the harm was not intended (i.e., negligence). Conversely, intentional torts occur when an </w:t>
      </w:r>
      <w:r>
        <w:rPr>
          <w:rFonts w:asciiTheme="majorHAnsi" w:eastAsia="Times New Roman" w:hAnsiTheme="majorHAnsi" w:cstheme="majorHAnsi"/>
          <w:color w:val="000000" w:themeColor="text1"/>
          <w:szCs w:val="20"/>
        </w:rPr>
        <w:t>actor</w:t>
      </w:r>
      <w:r w:rsidRPr="009E1CFA">
        <w:rPr>
          <w:rFonts w:asciiTheme="majorHAnsi" w:eastAsia="Times New Roman" w:hAnsiTheme="majorHAnsi" w:cstheme="majorHAnsi"/>
          <w:color w:val="000000" w:themeColor="text1"/>
          <w:szCs w:val="20"/>
        </w:rPr>
        <w:t xml:space="preserve"> intends to cause the harm or injury to another person or property (i.e., </w:t>
      </w:r>
      <w:r>
        <w:rPr>
          <w:rFonts w:asciiTheme="majorHAnsi" w:eastAsia="Times New Roman" w:hAnsiTheme="majorHAnsi" w:cstheme="majorHAnsi"/>
          <w:color w:val="000000" w:themeColor="text1"/>
          <w:szCs w:val="20"/>
        </w:rPr>
        <w:t>fraud</w:t>
      </w:r>
      <w:r w:rsidRPr="009E1CFA">
        <w:rPr>
          <w:rFonts w:asciiTheme="majorHAnsi" w:eastAsia="Times New Roman" w:hAnsiTheme="majorHAnsi" w:cstheme="majorHAnsi"/>
          <w:color w:val="000000" w:themeColor="text1"/>
          <w:szCs w:val="20"/>
        </w:rPr>
        <w:t>).</w:t>
      </w:r>
      <w:r>
        <w:rPr>
          <w:rFonts w:eastAsia="Times New Roman" w:cs="Arial"/>
          <w:color w:val="000000" w:themeColor="text1"/>
          <w:szCs w:val="20"/>
        </w:rPr>
        <w:t xml:space="preserve"> </w:t>
      </w:r>
    </w:p>
    <w:p w14:paraId="287A4F8C" w14:textId="77777777" w:rsidR="00A318FA" w:rsidRDefault="00A318FA" w:rsidP="00A318FA">
      <w:pPr>
        <w:tabs>
          <w:tab w:val="left" w:pos="553"/>
        </w:tabs>
        <w:spacing w:line="360" w:lineRule="auto"/>
        <w:rPr>
          <w:rFonts w:asciiTheme="majorHAnsi" w:hAnsiTheme="majorHAnsi" w:cstheme="majorHAnsi"/>
        </w:rPr>
      </w:pPr>
    </w:p>
    <w:p w14:paraId="774A73D7" w14:textId="77777777" w:rsidR="00A318FA" w:rsidRPr="00092CF5" w:rsidRDefault="00A318FA" w:rsidP="00A318FA">
      <w:pPr>
        <w:tabs>
          <w:tab w:val="left" w:pos="553"/>
        </w:tabs>
        <w:spacing w:line="360" w:lineRule="auto"/>
        <w:rPr>
          <w:rFonts w:ascii="Arial" w:hAnsi="Arial" w:cs="Arial"/>
          <w:b/>
          <w:bCs/>
        </w:rPr>
      </w:pPr>
      <w:r w:rsidRPr="00092CF5">
        <w:rPr>
          <w:rFonts w:ascii="Arial" w:hAnsi="Arial" w:cs="Arial"/>
          <w:b/>
          <w:bCs/>
        </w:rPr>
        <w:t>Understanding Negligence</w:t>
      </w:r>
    </w:p>
    <w:p w14:paraId="7E4AF1F8" w14:textId="77777777" w:rsidR="00A318FA" w:rsidRDefault="00A318FA" w:rsidP="00A318FA">
      <w:pPr>
        <w:tabs>
          <w:tab w:val="left" w:pos="553"/>
        </w:tabs>
        <w:spacing w:line="360" w:lineRule="auto"/>
        <w:rPr>
          <w:rFonts w:asciiTheme="majorHAnsi" w:hAnsiTheme="majorHAnsi" w:cstheme="majorHAnsi"/>
        </w:rPr>
      </w:pPr>
      <w:r w:rsidRPr="00732FDB">
        <w:rPr>
          <w:rFonts w:asciiTheme="majorHAnsi" w:eastAsia="Times New Roman" w:hAnsiTheme="majorHAnsi" w:cstheme="majorHAnsi"/>
          <w:color w:val="000000" w:themeColor="text1"/>
          <w:szCs w:val="20"/>
        </w:rPr>
        <w:t>Negligence occurs when the unintentional but wrongful conduct of an individual or entity (</w:t>
      </w:r>
      <w:r>
        <w:rPr>
          <w:rFonts w:asciiTheme="majorHAnsi" w:eastAsia="Times New Roman" w:hAnsiTheme="majorHAnsi" w:cstheme="majorHAnsi"/>
          <w:color w:val="000000" w:themeColor="text1"/>
          <w:szCs w:val="20"/>
        </w:rPr>
        <w:t xml:space="preserve">the </w:t>
      </w:r>
      <w:r w:rsidRPr="00732FDB">
        <w:rPr>
          <w:rFonts w:asciiTheme="majorHAnsi" w:eastAsia="Times New Roman" w:hAnsiTheme="majorHAnsi" w:cstheme="majorHAnsi"/>
          <w:color w:val="000000" w:themeColor="text1"/>
          <w:szCs w:val="20"/>
        </w:rPr>
        <w:t xml:space="preserve">defendant) causes harm to another or their property. </w:t>
      </w:r>
      <w:r>
        <w:rPr>
          <w:rFonts w:asciiTheme="majorHAnsi" w:eastAsia="Times New Roman" w:hAnsiTheme="majorHAnsi" w:cstheme="majorHAnsi"/>
          <w:color w:val="000000" w:themeColor="text1"/>
          <w:szCs w:val="20"/>
        </w:rPr>
        <w:t>As a general proposition, t</w:t>
      </w:r>
      <w:r w:rsidRPr="00732FDB">
        <w:rPr>
          <w:rFonts w:asciiTheme="majorHAnsi" w:eastAsia="Times New Roman" w:hAnsiTheme="majorHAnsi" w:cstheme="majorHAnsi"/>
          <w:color w:val="000000" w:themeColor="text1"/>
          <w:szCs w:val="20"/>
        </w:rPr>
        <w:t>he injured party (</w:t>
      </w:r>
      <w:r>
        <w:rPr>
          <w:rFonts w:asciiTheme="majorHAnsi" w:eastAsia="Times New Roman" w:hAnsiTheme="majorHAnsi" w:cstheme="majorHAnsi"/>
          <w:color w:val="000000" w:themeColor="text1"/>
          <w:szCs w:val="20"/>
        </w:rPr>
        <w:t xml:space="preserve">the </w:t>
      </w:r>
      <w:r w:rsidRPr="00732FDB">
        <w:rPr>
          <w:rFonts w:asciiTheme="majorHAnsi" w:eastAsia="Times New Roman" w:hAnsiTheme="majorHAnsi" w:cstheme="majorHAnsi"/>
          <w:color w:val="000000" w:themeColor="text1"/>
          <w:szCs w:val="20"/>
        </w:rPr>
        <w:t xml:space="preserve">plaintiff) must prove the following elements for finding of negligence: (1)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 A duty of ordinary care means the amount of care that a reasonable person would take under similar circumstances; this standard is also known as the “reasonable person” standard. However, </w:t>
      </w:r>
      <w:r>
        <w:rPr>
          <w:rFonts w:asciiTheme="majorHAnsi" w:eastAsia="Times New Roman" w:hAnsiTheme="majorHAnsi" w:cstheme="majorHAnsi"/>
          <w:color w:val="000000" w:themeColor="text1"/>
          <w:szCs w:val="20"/>
        </w:rPr>
        <w:t xml:space="preserve">it is important to note that </w:t>
      </w:r>
      <w:r w:rsidRPr="00732FDB">
        <w:rPr>
          <w:rFonts w:asciiTheme="majorHAnsi" w:eastAsia="Times New Roman" w:hAnsiTheme="majorHAnsi" w:cstheme="majorHAnsi"/>
          <w:color w:val="000000" w:themeColor="text1"/>
          <w:szCs w:val="20"/>
        </w:rPr>
        <w:t>the standard of care that would apply to</w:t>
      </w:r>
      <w:r>
        <w:rPr>
          <w:rFonts w:asciiTheme="majorHAnsi" w:eastAsia="Times New Roman" w:hAnsiTheme="majorHAnsi" w:cstheme="majorHAnsi"/>
          <w:color w:val="000000" w:themeColor="text1"/>
          <w:szCs w:val="20"/>
        </w:rPr>
        <w:t xml:space="preserve"> a</w:t>
      </w:r>
      <w:r w:rsidRPr="00732FDB">
        <w:rPr>
          <w:rFonts w:asciiTheme="majorHAnsi" w:eastAsia="Times New Roman" w:hAnsiTheme="majorHAnsi" w:cstheme="majorHAnsi"/>
          <w:color w:val="000000" w:themeColor="text1"/>
          <w:szCs w:val="20"/>
        </w:rPr>
        <w:t xml:space="preserve"> physician or other person with specialized skills may be different than an ordinary care</w:t>
      </w:r>
      <w:r>
        <w:rPr>
          <w:rFonts w:asciiTheme="majorHAnsi" w:eastAsia="Times New Roman" w:hAnsiTheme="majorHAnsi" w:cstheme="majorHAnsi"/>
          <w:color w:val="000000" w:themeColor="text1"/>
          <w:szCs w:val="20"/>
        </w:rPr>
        <w:t xml:space="preserve"> standard. </w:t>
      </w:r>
      <w:r w:rsidRPr="00CA49D9">
        <w:rPr>
          <w:rFonts w:asciiTheme="majorHAnsi" w:hAnsiTheme="majorHAnsi" w:cstheme="majorHAnsi"/>
        </w:rPr>
        <w:t>Similarly, the standard of care may be different depending on what type of facility is involved in the LD outbreak (e.g., hospital, hotel, etc.).</w:t>
      </w:r>
    </w:p>
    <w:p w14:paraId="1C31A278" w14:textId="77777777" w:rsidR="00A318FA" w:rsidRDefault="00A318FA" w:rsidP="00A318FA">
      <w:pPr>
        <w:tabs>
          <w:tab w:val="left" w:pos="553"/>
        </w:tabs>
        <w:spacing w:line="360" w:lineRule="auto"/>
        <w:rPr>
          <w:rFonts w:asciiTheme="majorHAnsi" w:hAnsiTheme="majorHAnsi" w:cstheme="majorHAnsi"/>
        </w:rPr>
      </w:pPr>
    </w:p>
    <w:p w14:paraId="3732944F" w14:textId="77777777" w:rsidR="00A318FA" w:rsidRPr="00361CB3" w:rsidRDefault="00A318FA" w:rsidP="00A318FA">
      <w:pPr>
        <w:spacing w:line="360" w:lineRule="auto"/>
        <w:rPr>
          <w:rFonts w:ascii="Arial" w:eastAsia="Times New Roman" w:hAnsi="Arial" w:cs="Arial"/>
          <w:b/>
          <w:bCs/>
          <w:color w:val="000000" w:themeColor="text1"/>
        </w:rPr>
      </w:pPr>
      <w:r>
        <w:rPr>
          <w:rFonts w:ascii="Arial" w:eastAsia="Times New Roman" w:hAnsi="Arial" w:cs="Arial"/>
          <w:b/>
          <w:bCs/>
          <w:color w:val="000000" w:themeColor="text1"/>
        </w:rPr>
        <w:t xml:space="preserve">Potential </w:t>
      </w:r>
      <w:r w:rsidRPr="00361CB3">
        <w:rPr>
          <w:rFonts w:ascii="Arial" w:eastAsia="Times New Roman" w:hAnsi="Arial" w:cs="Arial"/>
          <w:b/>
          <w:bCs/>
          <w:color w:val="000000" w:themeColor="text1"/>
        </w:rPr>
        <w:t xml:space="preserve">Scenarios </w:t>
      </w:r>
      <w:r>
        <w:rPr>
          <w:rFonts w:ascii="Arial" w:eastAsia="Times New Roman" w:hAnsi="Arial" w:cs="Arial"/>
          <w:b/>
          <w:bCs/>
          <w:color w:val="000000" w:themeColor="text1"/>
        </w:rPr>
        <w:t xml:space="preserve">for LD </w:t>
      </w:r>
      <w:r w:rsidRPr="00361CB3">
        <w:rPr>
          <w:rFonts w:ascii="Arial" w:eastAsia="Times New Roman" w:hAnsi="Arial" w:cs="Arial"/>
          <w:b/>
          <w:bCs/>
          <w:color w:val="000000" w:themeColor="text1"/>
        </w:rPr>
        <w:t>Liability</w:t>
      </w:r>
    </w:p>
    <w:p w14:paraId="2A7075D0" w14:textId="77777777" w:rsidR="00A318FA" w:rsidRDefault="00A318FA" w:rsidP="00A318FA">
      <w:pPr>
        <w:spacing w:line="360" w:lineRule="auto"/>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This discussion will focus on three potential scenarios in which liability for an LD outbreak can arise and the legal theories involved in them:</w:t>
      </w:r>
    </w:p>
    <w:p w14:paraId="3764819B" w14:textId="77777777" w:rsidR="00A318FA" w:rsidRDefault="00A318FA" w:rsidP="00A318FA">
      <w:pPr>
        <w:pStyle w:val="ListParagraph"/>
        <w:numPr>
          <w:ilvl w:val="0"/>
          <w:numId w:val="42"/>
        </w:numPr>
        <w:spacing w:line="360" w:lineRule="auto"/>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Liability of facility for an LD outbreak which caused harm to the persons linked to the facility.</w:t>
      </w:r>
    </w:p>
    <w:p w14:paraId="25CCF75E" w14:textId="77777777" w:rsidR="00A318FA" w:rsidRDefault="00A318FA" w:rsidP="00A318FA">
      <w:pPr>
        <w:pStyle w:val="ListParagraph"/>
        <w:numPr>
          <w:ilvl w:val="0"/>
          <w:numId w:val="42"/>
        </w:numPr>
        <w:spacing w:line="360" w:lineRule="auto"/>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Liability of a facility for potential administrative or regulatory violations arising from an LD outbreak.</w:t>
      </w:r>
    </w:p>
    <w:p w14:paraId="433AA5BE" w14:textId="77777777" w:rsidR="00A318FA" w:rsidRPr="00514FB3" w:rsidRDefault="00A318FA" w:rsidP="00A318FA">
      <w:pPr>
        <w:pStyle w:val="ListParagraph"/>
        <w:numPr>
          <w:ilvl w:val="0"/>
          <w:numId w:val="42"/>
        </w:numPr>
        <w:spacing w:line="360" w:lineRule="auto"/>
        <w:rPr>
          <w:rFonts w:asciiTheme="majorHAnsi" w:eastAsia="Times New Roman" w:hAnsiTheme="majorHAnsi" w:cstheme="majorHAnsi"/>
          <w:color w:val="000000" w:themeColor="text1"/>
        </w:rPr>
      </w:pPr>
      <w:r>
        <w:rPr>
          <w:rFonts w:asciiTheme="majorHAnsi" w:eastAsia="Times New Roman" w:hAnsiTheme="majorHAnsi" w:cstheme="majorHAnsi"/>
          <w:color w:val="000000" w:themeColor="text1"/>
        </w:rPr>
        <w:t>Liability of public health and other governmental officials arising from an LD outbreak.</w:t>
      </w:r>
    </w:p>
    <w:p w14:paraId="3BF546A3" w14:textId="77777777" w:rsidR="00A318FA" w:rsidRDefault="00A318FA" w:rsidP="00A318FA">
      <w:pPr>
        <w:spacing w:line="360" w:lineRule="auto"/>
        <w:rPr>
          <w:rFonts w:asciiTheme="majorHAnsi" w:eastAsia="Times New Roman" w:hAnsiTheme="majorHAnsi" w:cstheme="majorHAnsi"/>
          <w:color w:val="000000" w:themeColor="text1"/>
        </w:rPr>
      </w:pPr>
    </w:p>
    <w:p w14:paraId="4BA3A22C" w14:textId="77777777" w:rsidR="00A318FA" w:rsidRPr="0030745A" w:rsidRDefault="00A318FA" w:rsidP="00A318FA">
      <w:pPr>
        <w:spacing w:line="360" w:lineRule="auto"/>
        <w:rPr>
          <w:rFonts w:asciiTheme="majorHAnsi" w:eastAsia="Times New Roman" w:hAnsiTheme="majorHAnsi" w:cstheme="majorHAnsi"/>
          <w:b/>
          <w:bCs/>
          <w:color w:val="000000" w:themeColor="text1"/>
        </w:rPr>
      </w:pPr>
      <w:r>
        <w:rPr>
          <w:rFonts w:asciiTheme="majorHAnsi" w:eastAsia="Times New Roman" w:hAnsiTheme="majorHAnsi" w:cstheme="majorHAnsi"/>
          <w:b/>
          <w:bCs/>
          <w:color w:val="000000" w:themeColor="text1"/>
        </w:rPr>
        <w:lastRenderedPageBreak/>
        <w:t xml:space="preserve">Liability of a Facility for </w:t>
      </w:r>
      <w:r w:rsidRPr="0030745A">
        <w:rPr>
          <w:rFonts w:asciiTheme="majorHAnsi" w:eastAsia="Times New Roman" w:hAnsiTheme="majorHAnsi" w:cstheme="majorHAnsi"/>
          <w:b/>
          <w:bCs/>
          <w:color w:val="000000" w:themeColor="text1"/>
        </w:rPr>
        <w:t xml:space="preserve">Negligence </w:t>
      </w:r>
    </w:p>
    <w:p w14:paraId="5F914C59" w14:textId="77777777" w:rsidR="00A318FA" w:rsidRPr="000E4022" w:rsidRDefault="00A318FA" w:rsidP="00A318FA">
      <w:pPr>
        <w:spacing w:line="360" w:lineRule="auto"/>
        <w:rPr>
          <w:rFonts w:asciiTheme="majorHAnsi" w:eastAsia="Times New Roman" w:hAnsiTheme="majorHAnsi" w:cs="Arial"/>
          <w:color w:val="000000" w:themeColor="text1"/>
          <w:szCs w:val="20"/>
        </w:rPr>
      </w:pPr>
      <w:r>
        <w:rPr>
          <w:rFonts w:asciiTheme="majorHAnsi" w:eastAsia="Times New Roman" w:hAnsiTheme="majorHAnsi" w:cstheme="majorHAnsi"/>
          <w:color w:val="000000" w:themeColor="text1"/>
        </w:rPr>
        <w:t xml:space="preserve">The </w:t>
      </w:r>
      <w:r w:rsidRPr="00694BFF">
        <w:rPr>
          <w:rFonts w:asciiTheme="majorHAnsi" w:eastAsia="Times New Roman" w:hAnsiTheme="majorHAnsi" w:cstheme="majorHAnsi"/>
          <w:color w:val="000000" w:themeColor="text1"/>
        </w:rPr>
        <w:t xml:space="preserve">individual or entity who owns, controls, and/or operates a facility </w:t>
      </w:r>
      <w:r>
        <w:rPr>
          <w:rFonts w:asciiTheme="majorHAnsi" w:eastAsia="Times New Roman" w:hAnsiTheme="majorHAnsi" w:cstheme="majorHAnsi"/>
          <w:color w:val="000000" w:themeColor="text1"/>
        </w:rPr>
        <w:t>(e.g., hotel, hospital, apartment building, office space) owes a duty to the persons working, living, or visiting the facility to maintain it so as not to cause harm to them. This includes maintaining systems within the facility so as not to cause harm. When an LD outbreak occurs, facilities can be subject to claims of negligence.</w:t>
      </w:r>
      <w:r>
        <w:rPr>
          <w:rStyle w:val="FootnoteReference"/>
          <w:rFonts w:asciiTheme="majorHAnsi" w:eastAsia="Times New Roman" w:hAnsiTheme="majorHAnsi" w:cstheme="majorHAnsi"/>
          <w:color w:val="000000" w:themeColor="text1"/>
        </w:rPr>
        <w:footnoteReference w:id="97"/>
      </w:r>
      <w:r>
        <w:rPr>
          <w:rFonts w:asciiTheme="majorHAnsi" w:eastAsia="Times New Roman" w:hAnsiTheme="majorHAnsi" w:cstheme="majorHAnsi"/>
          <w:color w:val="000000" w:themeColor="text1"/>
        </w:rPr>
        <w:t xml:space="preserve"> </w:t>
      </w:r>
      <w:r w:rsidRPr="004577C2">
        <w:rPr>
          <w:rFonts w:asciiTheme="majorHAnsi" w:eastAsia="Times New Roman" w:hAnsiTheme="majorHAnsi" w:cs="Arial"/>
          <w:color w:val="000000" w:themeColor="text1"/>
          <w:szCs w:val="20"/>
        </w:rPr>
        <w:t xml:space="preserve">The specific standard </w:t>
      </w:r>
      <w:r>
        <w:rPr>
          <w:rFonts w:asciiTheme="majorHAnsi" w:eastAsia="Times New Roman" w:hAnsiTheme="majorHAnsi" w:cs="Arial"/>
          <w:color w:val="000000" w:themeColor="text1"/>
          <w:szCs w:val="20"/>
        </w:rPr>
        <w:t xml:space="preserve">of care </w:t>
      </w:r>
      <w:r w:rsidRPr="004577C2">
        <w:rPr>
          <w:rFonts w:asciiTheme="majorHAnsi" w:eastAsia="Times New Roman" w:hAnsiTheme="majorHAnsi" w:cs="Arial"/>
          <w:color w:val="000000" w:themeColor="text1"/>
          <w:szCs w:val="20"/>
        </w:rPr>
        <w:t xml:space="preserve">that </w:t>
      </w:r>
      <w:r>
        <w:rPr>
          <w:rFonts w:asciiTheme="majorHAnsi" w:eastAsia="Times New Roman" w:hAnsiTheme="majorHAnsi" w:cs="Arial"/>
          <w:color w:val="000000" w:themeColor="text1"/>
          <w:szCs w:val="20"/>
        </w:rPr>
        <w:t>can</w:t>
      </w:r>
      <w:r w:rsidRPr="004577C2">
        <w:rPr>
          <w:rFonts w:asciiTheme="majorHAnsi" w:eastAsia="Times New Roman" w:hAnsiTheme="majorHAnsi" w:cs="Arial"/>
          <w:color w:val="000000" w:themeColor="text1"/>
          <w:szCs w:val="20"/>
        </w:rPr>
        <w:t xml:space="preserve"> be applied to a particular type of facility will be found in statutory and regulatory requirements, industry standards, and court decision</w:t>
      </w:r>
      <w:r>
        <w:rPr>
          <w:rFonts w:asciiTheme="majorHAnsi" w:eastAsia="Times New Roman" w:hAnsiTheme="majorHAnsi" w:cs="Arial"/>
          <w:color w:val="000000" w:themeColor="text1"/>
          <w:szCs w:val="20"/>
        </w:rPr>
        <w:t>s</w:t>
      </w:r>
      <w:r w:rsidRPr="004577C2">
        <w:rPr>
          <w:rFonts w:asciiTheme="majorHAnsi" w:eastAsia="Times New Roman" w:hAnsiTheme="majorHAnsi" w:cs="Arial"/>
          <w:color w:val="000000" w:themeColor="text1"/>
          <w:szCs w:val="20"/>
        </w:rPr>
        <w:t>.</w:t>
      </w:r>
      <w:r>
        <w:rPr>
          <w:rStyle w:val="FootnoteReference"/>
          <w:rFonts w:asciiTheme="majorHAnsi" w:eastAsia="Times New Roman" w:hAnsiTheme="majorHAnsi" w:cs="Arial"/>
          <w:color w:val="000000" w:themeColor="text1"/>
          <w:szCs w:val="20"/>
        </w:rPr>
        <w:footnoteReference w:id="98"/>
      </w:r>
      <w:r w:rsidRPr="004577C2">
        <w:rPr>
          <w:rFonts w:asciiTheme="majorHAnsi" w:eastAsia="Times New Roman" w:hAnsiTheme="majorHAnsi" w:cs="Arial"/>
          <w:color w:val="000000" w:themeColor="text1"/>
          <w:szCs w:val="20"/>
        </w:rPr>
        <w:t xml:space="preserve"> </w:t>
      </w:r>
      <w:r>
        <w:rPr>
          <w:rFonts w:asciiTheme="majorHAnsi" w:eastAsia="Times New Roman" w:hAnsiTheme="majorHAnsi" w:cs="Arial"/>
          <w:color w:val="000000" w:themeColor="text1"/>
          <w:szCs w:val="20"/>
        </w:rPr>
        <w:t xml:space="preserve">State regulations and local ordinances may also adopt by reference specific national standards into their regulations/ordinances, such as </w:t>
      </w:r>
      <w:r w:rsidRPr="00470B33">
        <w:rPr>
          <w:rFonts w:asciiTheme="majorHAnsi" w:eastAsia="Times New Roman" w:hAnsiTheme="majorHAnsi" w:cs="Arial"/>
          <w:color w:val="000000" w:themeColor="text1"/>
          <w:szCs w:val="20"/>
        </w:rPr>
        <w:t>ANSI/ASHRAE 188-2015</w:t>
      </w:r>
      <w:r>
        <w:rPr>
          <w:rFonts w:asciiTheme="majorHAnsi" w:eastAsia="Times New Roman" w:hAnsiTheme="majorHAnsi" w:cs="Arial"/>
          <w:color w:val="000000" w:themeColor="text1"/>
          <w:szCs w:val="20"/>
        </w:rPr>
        <w:t xml:space="preserve"> or </w:t>
      </w:r>
      <w:r w:rsidRPr="00470B33">
        <w:rPr>
          <w:rFonts w:asciiTheme="majorHAnsi" w:eastAsia="Times New Roman" w:hAnsiTheme="majorHAnsi" w:cs="Arial"/>
          <w:color w:val="000000" w:themeColor="text1"/>
          <w:szCs w:val="20"/>
        </w:rPr>
        <w:t>ANSI/ASHRAE 188-201</w:t>
      </w:r>
      <w:r>
        <w:rPr>
          <w:rFonts w:asciiTheme="majorHAnsi" w:eastAsia="Times New Roman" w:hAnsiTheme="majorHAnsi" w:cs="Arial"/>
          <w:color w:val="000000" w:themeColor="text1"/>
          <w:szCs w:val="20"/>
        </w:rPr>
        <w:t>8 (</w:t>
      </w:r>
      <w:r w:rsidRPr="000E4022">
        <w:rPr>
          <w:rFonts w:asciiTheme="majorHAnsi" w:eastAsia="Times New Roman" w:hAnsiTheme="majorHAnsi" w:cs="Arial"/>
          <w:color w:val="000000" w:themeColor="text1"/>
          <w:szCs w:val="20"/>
        </w:rPr>
        <w:t>Legionellosis: Risk Management for Building Water Systems</w:t>
      </w:r>
      <w:r>
        <w:rPr>
          <w:rFonts w:asciiTheme="majorHAnsi" w:eastAsia="Times New Roman" w:hAnsiTheme="majorHAnsi" w:cs="Arial"/>
          <w:color w:val="000000" w:themeColor="text1"/>
          <w:szCs w:val="20"/>
        </w:rPr>
        <w:t>).</w:t>
      </w:r>
      <w:r>
        <w:rPr>
          <w:rStyle w:val="FootnoteReference"/>
          <w:rFonts w:asciiTheme="majorHAnsi" w:eastAsia="Times New Roman" w:hAnsiTheme="majorHAnsi" w:cs="Arial"/>
          <w:color w:val="000000" w:themeColor="text1"/>
          <w:szCs w:val="20"/>
        </w:rPr>
        <w:footnoteReference w:id="99"/>
      </w:r>
      <w:r>
        <w:rPr>
          <w:rFonts w:asciiTheme="majorHAnsi" w:eastAsia="Times New Roman" w:hAnsiTheme="majorHAnsi" w:cs="Arial"/>
          <w:color w:val="000000" w:themeColor="text1"/>
          <w:szCs w:val="20"/>
        </w:rPr>
        <w:t xml:space="preserve"> Even if industry standards like these are not adopted into law or codes, they can still act as evidence of what the standard of care should be regarding managing legionellosis risks.</w:t>
      </w:r>
      <w:r>
        <w:rPr>
          <w:rStyle w:val="FootnoteReference"/>
          <w:rFonts w:asciiTheme="majorHAnsi" w:eastAsia="Times New Roman" w:hAnsiTheme="majorHAnsi" w:cs="Arial"/>
          <w:color w:val="000000" w:themeColor="text1"/>
          <w:szCs w:val="20"/>
        </w:rPr>
        <w:footnoteReference w:id="100"/>
      </w:r>
    </w:p>
    <w:p w14:paraId="642ACE6B" w14:textId="77777777" w:rsidR="00A318FA" w:rsidRDefault="00A318FA" w:rsidP="00A318FA">
      <w:pPr>
        <w:spacing w:line="360" w:lineRule="auto"/>
        <w:textAlignment w:val="baseline"/>
        <w:rPr>
          <w:rFonts w:asciiTheme="majorHAnsi" w:eastAsia="Times New Roman" w:hAnsiTheme="majorHAnsi" w:cs="Arial"/>
          <w:color w:val="000000" w:themeColor="text1"/>
          <w:szCs w:val="20"/>
        </w:rPr>
      </w:pPr>
    </w:p>
    <w:p w14:paraId="593DC1C6" w14:textId="77777777" w:rsidR="00A318FA" w:rsidRPr="00665492" w:rsidRDefault="00A318FA" w:rsidP="00A318FA">
      <w:pPr>
        <w:tabs>
          <w:tab w:val="left" w:pos="553"/>
        </w:tabs>
        <w:spacing w:line="360" w:lineRule="auto"/>
        <w:rPr>
          <w:rFonts w:asciiTheme="majorHAnsi" w:hAnsiTheme="majorHAnsi" w:cstheme="majorHAnsi"/>
          <w:b/>
          <w:bCs/>
        </w:rPr>
      </w:pPr>
      <w:r w:rsidRPr="00665492">
        <w:rPr>
          <w:rFonts w:asciiTheme="majorHAnsi" w:hAnsiTheme="majorHAnsi" w:cstheme="majorHAnsi"/>
          <w:b/>
          <w:bCs/>
        </w:rPr>
        <w:t xml:space="preserve">Regulatory and Administrative </w:t>
      </w:r>
      <w:r>
        <w:rPr>
          <w:rFonts w:asciiTheme="majorHAnsi" w:hAnsiTheme="majorHAnsi" w:cstheme="majorHAnsi"/>
          <w:b/>
          <w:bCs/>
        </w:rPr>
        <w:t>Liability</w:t>
      </w:r>
      <w:r w:rsidRPr="00665492">
        <w:rPr>
          <w:rFonts w:asciiTheme="majorHAnsi" w:hAnsiTheme="majorHAnsi" w:cstheme="majorHAnsi"/>
          <w:b/>
          <w:bCs/>
        </w:rPr>
        <w:t xml:space="preserve"> </w:t>
      </w:r>
      <w:r>
        <w:rPr>
          <w:rFonts w:asciiTheme="majorHAnsi" w:hAnsiTheme="majorHAnsi" w:cstheme="majorHAnsi"/>
          <w:b/>
          <w:bCs/>
        </w:rPr>
        <w:t>for a Facility</w:t>
      </w:r>
    </w:p>
    <w:p w14:paraId="313FC024" w14:textId="77777777" w:rsidR="00A318FA" w:rsidRDefault="00A318FA" w:rsidP="00A318FA">
      <w:pPr>
        <w:tabs>
          <w:tab w:val="left" w:pos="553"/>
        </w:tabs>
        <w:spacing w:line="360" w:lineRule="auto"/>
        <w:rPr>
          <w:rFonts w:asciiTheme="majorHAnsi" w:hAnsiTheme="majorHAnsi" w:cstheme="majorHAnsi"/>
        </w:rPr>
      </w:pPr>
      <w:r>
        <w:rPr>
          <w:rFonts w:asciiTheme="majorHAnsi" w:hAnsiTheme="majorHAnsi" w:cstheme="majorHAnsi"/>
        </w:rPr>
        <w:t xml:space="preserve">Administrative liability can arise when a facility or individual violates the terms of their government-issued permit or license or violates an ordinance, regulation, or statute that governs their operation. Violations of the conditions of a permit, license, or ordinance generally begins with failure to comply with applicable </w:t>
      </w:r>
      <w:r>
        <w:rPr>
          <w:rFonts w:asciiTheme="majorHAnsi" w:hAnsiTheme="majorHAnsi" w:cstheme="majorHAnsi"/>
        </w:rPr>
        <w:lastRenderedPageBreak/>
        <w:t xml:space="preserve">requirements, which are identified via routine inspections and inspections following complaints and cases/outbreaks. This will begin an administrative process in which violations must be addressed and may be challenged through an appeal process by the involved facilities. Typically, involved facilities will be given a schedule by which to remediate identified deficiencies and will be re-inspected to determine if the deficiencies have been properly addressed. For more serious events or repeated violations, a facility may be subject to stronger penalties such as temporary closure and/or fines. If or when these facilities resume operations, they may be involved in a probationary period and be subject to greater oversight of their operations while on probation. For more egregious events, the facility may be ordered to permanently close or the operators may lose their license to operate. The facility will have due process rights as laid out either in federal or STLT administrative procedure laws, or in the specific code governing the business type (e.g., hotels, recreational water facilities, etc.) or the type of violations involved (e.g., health code, sanitation code, building code). Administrative liability can also ultimately give rise to civil monetary fines, and in some cases, criminal monetary </w:t>
      </w:r>
      <w:proofErr w:type="gramStart"/>
      <w:r>
        <w:rPr>
          <w:rFonts w:asciiTheme="majorHAnsi" w:hAnsiTheme="majorHAnsi" w:cstheme="majorHAnsi"/>
        </w:rPr>
        <w:t>penalties</w:t>
      </w:r>
      <w:proofErr w:type="gramEnd"/>
      <w:r>
        <w:rPr>
          <w:rFonts w:asciiTheme="majorHAnsi" w:hAnsiTheme="majorHAnsi" w:cstheme="majorHAnsi"/>
        </w:rPr>
        <w:t xml:space="preserve"> and jail time.</w:t>
      </w:r>
    </w:p>
    <w:p w14:paraId="75BAFE8A" w14:textId="77777777" w:rsidR="00A318FA" w:rsidRDefault="00A318FA" w:rsidP="00A318FA">
      <w:pPr>
        <w:tabs>
          <w:tab w:val="left" w:pos="553"/>
        </w:tabs>
        <w:spacing w:line="360" w:lineRule="auto"/>
        <w:rPr>
          <w:rFonts w:asciiTheme="majorHAnsi" w:hAnsiTheme="majorHAnsi" w:cstheme="majorHAnsi"/>
        </w:rPr>
      </w:pPr>
    </w:p>
    <w:p w14:paraId="21C3EFB1" w14:textId="77777777" w:rsidR="00A318FA" w:rsidRDefault="00A318FA" w:rsidP="00A318FA">
      <w:pPr>
        <w:tabs>
          <w:tab w:val="left" w:pos="553"/>
        </w:tabs>
        <w:spacing w:line="360" w:lineRule="auto"/>
        <w:rPr>
          <w:rFonts w:asciiTheme="majorHAnsi" w:hAnsiTheme="majorHAnsi" w:cstheme="majorHAnsi"/>
        </w:rPr>
      </w:pPr>
      <w:r>
        <w:rPr>
          <w:rFonts w:asciiTheme="majorHAnsi" w:hAnsiTheme="majorHAnsi" w:cstheme="majorHAnsi"/>
        </w:rPr>
        <w:t xml:space="preserve">As with facilities, individuals who are licensed in a jurisdiction for a particular trade or profession are likewise subject to administrative processes and sanctions if they violate the statutes, regulations, or ordinances governing their professions. Administrative penalties can range from reprimand, retraining, temporary suspension, or loss of license to practice in the jurisdiction. Proceedings to investigation-regulated professions are also subject to federal and STLT administrative procedure laws and due process provisions in codes regulating the profession. </w:t>
      </w:r>
    </w:p>
    <w:p w14:paraId="74CF2101" w14:textId="77777777" w:rsidR="00A318FA" w:rsidRDefault="00A318FA" w:rsidP="00A318FA">
      <w:pPr>
        <w:spacing w:line="360" w:lineRule="auto"/>
        <w:textAlignment w:val="baseline"/>
        <w:rPr>
          <w:rFonts w:asciiTheme="majorHAnsi" w:eastAsia="Times New Roman" w:hAnsiTheme="majorHAnsi" w:cs="Arial"/>
          <w:color w:val="000000" w:themeColor="text1"/>
          <w:szCs w:val="20"/>
        </w:rPr>
      </w:pPr>
    </w:p>
    <w:p w14:paraId="49321D0C" w14:textId="77777777" w:rsidR="00A318FA" w:rsidRPr="0069009F" w:rsidRDefault="00A318FA" w:rsidP="00A318FA">
      <w:pPr>
        <w:spacing w:line="360" w:lineRule="auto"/>
        <w:textAlignment w:val="baseline"/>
        <w:rPr>
          <w:rFonts w:asciiTheme="majorHAnsi" w:eastAsia="Times New Roman" w:hAnsiTheme="majorHAnsi" w:cs="Arial"/>
          <w:b/>
          <w:bCs/>
          <w:color w:val="000000" w:themeColor="text1"/>
          <w:szCs w:val="20"/>
        </w:rPr>
      </w:pPr>
      <w:r w:rsidRPr="0069009F">
        <w:rPr>
          <w:rFonts w:asciiTheme="majorHAnsi" w:eastAsia="Times New Roman" w:hAnsiTheme="majorHAnsi" w:cstheme="majorHAnsi"/>
          <w:b/>
          <w:bCs/>
          <w:color w:val="000000" w:themeColor="text1"/>
        </w:rPr>
        <w:t xml:space="preserve">Liability of Public Health and Other Government </w:t>
      </w:r>
      <w:r>
        <w:rPr>
          <w:rFonts w:asciiTheme="majorHAnsi" w:eastAsia="Times New Roman" w:hAnsiTheme="majorHAnsi" w:cstheme="majorHAnsi"/>
          <w:b/>
          <w:bCs/>
          <w:color w:val="000000" w:themeColor="text1"/>
        </w:rPr>
        <w:t>Employees</w:t>
      </w:r>
    </w:p>
    <w:p w14:paraId="22912E9A" w14:textId="77777777" w:rsidR="00A318FA" w:rsidRDefault="00A318FA" w:rsidP="00A318FA">
      <w:pPr>
        <w:tabs>
          <w:tab w:val="left" w:pos="553"/>
        </w:tabs>
        <w:spacing w:line="360" w:lineRule="auto"/>
        <w:rPr>
          <w:rFonts w:asciiTheme="majorHAnsi" w:hAnsiTheme="majorHAnsi" w:cstheme="majorHAnsi"/>
        </w:rPr>
      </w:pPr>
      <w:r>
        <w:rPr>
          <w:rFonts w:asciiTheme="majorHAnsi" w:hAnsiTheme="majorHAnsi" w:cstheme="majorHAnsi"/>
        </w:rPr>
        <w:t>Public health and other government employees may be concerned about the possibility that they can be held liable for their actions (or failures to act) in investigating or inspecting facilities in which a LD outbreak occurred.</w:t>
      </w:r>
      <w:r>
        <w:rPr>
          <w:rStyle w:val="FootnoteReference"/>
          <w:rFonts w:asciiTheme="majorHAnsi" w:hAnsiTheme="majorHAnsi" w:cstheme="majorHAnsi"/>
        </w:rPr>
        <w:footnoteReference w:id="101"/>
      </w:r>
      <w:r>
        <w:rPr>
          <w:rFonts w:asciiTheme="majorHAnsi" w:hAnsiTheme="majorHAnsi" w:cstheme="majorHAnsi"/>
        </w:rPr>
        <w:t xml:space="preserve"> Government employees acting within the scope of their duties are generally immune </w:t>
      </w:r>
      <w:r>
        <w:rPr>
          <w:rFonts w:asciiTheme="majorHAnsi" w:hAnsiTheme="majorHAnsi" w:cstheme="majorHAnsi"/>
        </w:rPr>
        <w:lastRenderedPageBreak/>
        <w:t>from liability under the theory of sovereign/governmental immunity.</w:t>
      </w:r>
      <w:r>
        <w:rPr>
          <w:rStyle w:val="FootnoteReference"/>
          <w:rFonts w:asciiTheme="majorHAnsi" w:hAnsiTheme="majorHAnsi" w:cstheme="majorHAnsi"/>
        </w:rPr>
        <w:footnoteReference w:id="102"/>
      </w:r>
      <w:r>
        <w:rPr>
          <w:rFonts w:asciiTheme="majorHAnsi" w:hAnsiTheme="majorHAnsi" w:cstheme="majorHAnsi"/>
        </w:rPr>
        <w:t xml:space="preserve"> However, the federal government and many states have passed governmental tort claims acts in which injured parties are allowed to sue a government in the same way </w:t>
      </w:r>
      <w:r w:rsidRPr="0099702B">
        <w:rPr>
          <w:rFonts w:eastAsia="Times New Roman" w:cs="Arial"/>
          <w:color w:val="000000" w:themeColor="text1"/>
          <w:szCs w:val="20"/>
        </w:rPr>
        <w:t xml:space="preserve">a private person </w:t>
      </w:r>
      <w:r>
        <w:rPr>
          <w:rFonts w:eastAsia="Times New Roman" w:cs="Arial"/>
          <w:color w:val="000000" w:themeColor="text1"/>
          <w:szCs w:val="20"/>
        </w:rPr>
        <w:t>c</w:t>
      </w:r>
      <w:r w:rsidRPr="0099702B">
        <w:rPr>
          <w:rFonts w:eastAsia="Times New Roman" w:cs="Arial"/>
          <w:color w:val="000000" w:themeColor="text1"/>
          <w:szCs w:val="20"/>
        </w:rPr>
        <w:t xml:space="preserve">ould be </w:t>
      </w:r>
      <w:r>
        <w:rPr>
          <w:rFonts w:eastAsia="Times New Roman" w:cs="Arial"/>
          <w:color w:val="000000" w:themeColor="text1"/>
          <w:szCs w:val="20"/>
        </w:rPr>
        <w:t>sued</w:t>
      </w:r>
      <w:r w:rsidRPr="0099702B">
        <w:rPr>
          <w:rFonts w:eastAsia="Times New Roman" w:cs="Arial"/>
          <w:color w:val="000000" w:themeColor="text1"/>
          <w:szCs w:val="20"/>
        </w:rPr>
        <w:t xml:space="preserve"> </w:t>
      </w:r>
      <w:r>
        <w:rPr>
          <w:rFonts w:eastAsia="Times New Roman" w:cs="Arial"/>
          <w:color w:val="000000" w:themeColor="text1"/>
          <w:szCs w:val="20"/>
        </w:rPr>
        <w:t>for the harm caused to injured parties.</w:t>
      </w:r>
      <w:r>
        <w:rPr>
          <w:rStyle w:val="FootnoteReference"/>
          <w:rFonts w:eastAsia="Times New Roman" w:cs="Arial"/>
          <w:color w:val="000000" w:themeColor="text1"/>
          <w:szCs w:val="20"/>
        </w:rPr>
        <w:footnoteReference w:id="103"/>
      </w:r>
      <w:r>
        <w:rPr>
          <w:rFonts w:eastAsia="Times New Roman" w:cs="Arial"/>
          <w:color w:val="000000" w:themeColor="text1"/>
          <w:szCs w:val="20"/>
        </w:rPr>
        <w:t xml:space="preserve"> </w:t>
      </w:r>
      <w:r>
        <w:rPr>
          <w:rFonts w:asciiTheme="majorHAnsi" w:hAnsiTheme="majorHAnsi" w:cstheme="majorHAnsi"/>
        </w:rPr>
        <w:t>In these cases, the government will stand in the place of the employee being sued. A key exception to providing immunity to government employees is if an employee was engaged in willful, wanton, or criminal conduct that caused the injury. In this scenario, the government employee would not be eligible for immunity coverage.</w:t>
      </w:r>
    </w:p>
    <w:p w14:paraId="36B58A3C" w14:textId="77777777" w:rsidR="00A318FA" w:rsidRDefault="00A318FA" w:rsidP="00A318FA">
      <w:pPr>
        <w:tabs>
          <w:tab w:val="left" w:pos="553"/>
        </w:tabs>
        <w:spacing w:line="360" w:lineRule="auto"/>
        <w:rPr>
          <w:rFonts w:asciiTheme="majorHAnsi" w:hAnsiTheme="majorHAnsi" w:cstheme="majorHAnsi"/>
        </w:rPr>
      </w:pPr>
      <w:r w:rsidRPr="0075240F">
        <w:rPr>
          <w:rFonts w:ascii="Calibri" w:eastAsia="Calibri" w:hAnsi="Calibri" w:cs="Times New Roman"/>
          <w:noProof/>
        </w:rPr>
        <mc:AlternateContent>
          <mc:Choice Requires="wps">
            <w:drawing>
              <wp:anchor distT="45720" distB="45720" distL="114300" distR="114300" simplePos="0" relativeHeight="251679744" behindDoc="0" locked="0" layoutInCell="1" allowOverlap="1" wp14:anchorId="40E603F8" wp14:editId="533312FD">
                <wp:simplePos x="0" y="0"/>
                <wp:positionH relativeFrom="margin">
                  <wp:align>center</wp:align>
                </wp:positionH>
                <wp:positionV relativeFrom="paragraph">
                  <wp:posOffset>396875</wp:posOffset>
                </wp:positionV>
                <wp:extent cx="5779008" cy="3721608"/>
                <wp:effectExtent l="0" t="0" r="12700" b="1270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008" cy="3721608"/>
                        </a:xfrm>
                        <a:prstGeom prst="rect">
                          <a:avLst/>
                        </a:prstGeom>
                        <a:solidFill>
                          <a:srgbClr val="FFFFFF"/>
                        </a:solidFill>
                        <a:ln w="9525">
                          <a:solidFill>
                            <a:srgbClr val="000000"/>
                          </a:solidFill>
                          <a:miter lim="800000"/>
                          <a:headEnd/>
                          <a:tailEnd/>
                        </a:ln>
                      </wps:spPr>
                      <wps:txbx>
                        <w:txbxContent>
                          <w:p w14:paraId="38100ED3" w14:textId="77777777" w:rsidR="00A318FA" w:rsidRDefault="00A318FA" w:rsidP="00A318FA">
                            <w:pPr>
                              <w:spacing w:after="120"/>
                              <w:jc w:val="center"/>
                              <w:rPr>
                                <w:rFonts w:ascii="Arial" w:hAnsi="Arial" w:cs="Arial"/>
                                <w:b/>
                                <w:bCs/>
                              </w:rPr>
                            </w:pPr>
                          </w:p>
                          <w:p w14:paraId="5B158187" w14:textId="77777777" w:rsidR="00A318FA" w:rsidRPr="0058248F" w:rsidRDefault="00A318FA" w:rsidP="00A318FA">
                            <w:pPr>
                              <w:spacing w:after="120"/>
                              <w:jc w:val="center"/>
                              <w:rPr>
                                <w:rFonts w:ascii="Arial" w:hAnsi="Arial" w:cs="Arial"/>
                                <w:b/>
                                <w:bCs/>
                              </w:rPr>
                            </w:pPr>
                            <w:r>
                              <w:rPr>
                                <w:rFonts w:ascii="Arial" w:hAnsi="Arial" w:cs="Arial"/>
                                <w:b/>
                                <w:bCs/>
                              </w:rPr>
                              <w:t>Resources</w:t>
                            </w:r>
                          </w:p>
                          <w:p w14:paraId="6316FFD1" w14:textId="77777777" w:rsidR="00A318FA" w:rsidRPr="0058248F" w:rsidRDefault="00A318FA" w:rsidP="00A318FA">
                            <w:pPr>
                              <w:jc w:val="center"/>
                              <w:rPr>
                                <w:rFonts w:ascii="Arial" w:hAnsi="Arial" w:cs="Arial"/>
                                <w:b/>
                                <w:bCs/>
                              </w:rPr>
                            </w:pPr>
                          </w:p>
                          <w:p w14:paraId="0460E4B9" w14:textId="77777777" w:rsidR="00A318FA" w:rsidRPr="0070495B" w:rsidRDefault="00A318FA" w:rsidP="00A318FA">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143340FC" w14:textId="77777777" w:rsidR="00A318FA" w:rsidRDefault="00A318FA" w:rsidP="00A318FA">
                            <w:pPr>
                              <w:rPr>
                                <w:rFonts w:ascii="Arial" w:hAnsi="Arial" w:cs="Arial"/>
                                <w:sz w:val="20"/>
                                <w:szCs w:val="20"/>
                              </w:rPr>
                            </w:pPr>
                          </w:p>
                          <w:p w14:paraId="0D50CABB" w14:textId="77777777" w:rsidR="00A318FA" w:rsidRDefault="00A318FA" w:rsidP="00A318FA">
                            <w:pPr>
                              <w:rPr>
                                <w:rFonts w:ascii="Arial" w:hAnsi="Arial" w:cs="Arial"/>
                                <w:sz w:val="20"/>
                                <w:szCs w:val="20"/>
                              </w:rPr>
                            </w:pPr>
                          </w:p>
                          <w:p w14:paraId="6F7E30D6" w14:textId="77777777" w:rsidR="00A318FA" w:rsidRDefault="00A318FA" w:rsidP="00A318FA">
                            <w:pPr>
                              <w:pStyle w:val="ListParagraph"/>
                              <w:numPr>
                                <w:ilvl w:val="0"/>
                                <w:numId w:val="41"/>
                              </w:numPr>
                              <w:ind w:left="1080"/>
                              <w:rPr>
                                <w:rFonts w:ascii="Arial" w:hAnsi="Arial" w:cs="Arial"/>
                                <w:sz w:val="20"/>
                                <w:szCs w:val="20"/>
                              </w:rPr>
                            </w:pPr>
                            <w:r w:rsidRPr="00624A37">
                              <w:rPr>
                                <w:rFonts w:ascii="Arial" w:hAnsi="Arial" w:cs="Arial"/>
                                <w:sz w:val="20"/>
                                <w:szCs w:val="20"/>
                              </w:rPr>
                              <w:t xml:space="preserve">ASHRAE. ASHRAE Publishes Updated Legionellosis Standard. August 13, 2018. </w:t>
                            </w:r>
                            <w:r>
                              <w:rPr>
                                <w:rFonts w:ascii="Arial" w:hAnsi="Arial" w:cs="Arial"/>
                                <w:sz w:val="20"/>
                                <w:szCs w:val="20"/>
                              </w:rPr>
                              <w:t>Available at</w:t>
                            </w:r>
                            <w:r w:rsidRPr="00624A37">
                              <w:rPr>
                                <w:rFonts w:ascii="Arial" w:hAnsi="Arial" w:cs="Arial"/>
                                <w:sz w:val="20"/>
                                <w:szCs w:val="20"/>
                              </w:rPr>
                              <w:t xml:space="preserve"> </w:t>
                            </w:r>
                            <w:hyperlink r:id="rId45" w:history="1">
                              <w:r w:rsidRPr="00624A37">
                                <w:rPr>
                                  <w:rStyle w:val="Hyperlink"/>
                                  <w:rFonts w:ascii="Arial" w:hAnsi="Arial" w:cs="Arial"/>
                                </w:rPr>
                                <w:t>https://www.ashrae.org/about/news/2018/ashrae-publishes-updated-legionellosis-standard</w:t>
                              </w:r>
                            </w:hyperlink>
                          </w:p>
                          <w:p w14:paraId="572477D4" w14:textId="77777777" w:rsidR="00A318FA" w:rsidRDefault="00A318FA" w:rsidP="00A318FA">
                            <w:pPr>
                              <w:pStyle w:val="ListParagraph"/>
                              <w:ind w:left="360"/>
                              <w:rPr>
                                <w:rFonts w:ascii="Arial" w:hAnsi="Arial" w:cs="Arial"/>
                                <w:sz w:val="20"/>
                                <w:szCs w:val="20"/>
                              </w:rPr>
                            </w:pPr>
                          </w:p>
                          <w:p w14:paraId="2D15E40C" w14:textId="77777777" w:rsidR="00A318FA" w:rsidRDefault="00A318FA" w:rsidP="00A318FA">
                            <w:pPr>
                              <w:pStyle w:val="ListParagraph"/>
                              <w:numPr>
                                <w:ilvl w:val="0"/>
                                <w:numId w:val="41"/>
                              </w:numPr>
                              <w:ind w:left="1080"/>
                              <w:rPr>
                                <w:rFonts w:ascii="Arial" w:hAnsi="Arial" w:cs="Arial"/>
                                <w:sz w:val="20"/>
                                <w:szCs w:val="20"/>
                              </w:rPr>
                            </w:pPr>
                            <w:r w:rsidRPr="00D4531F">
                              <w:rPr>
                                <w:rFonts w:ascii="Arial" w:hAnsi="Arial" w:cs="Arial"/>
                                <w:sz w:val="20"/>
                                <w:szCs w:val="20"/>
                              </w:rPr>
                              <w:t>Bernier</w:t>
                            </w:r>
                            <w:r>
                              <w:rPr>
                                <w:rFonts w:ascii="Arial" w:hAnsi="Arial" w:cs="Arial"/>
                                <w:sz w:val="20"/>
                                <w:szCs w:val="20"/>
                              </w:rPr>
                              <w:t>, T.P.</w:t>
                            </w:r>
                            <w:r w:rsidRPr="00D4531F">
                              <w:rPr>
                                <w:rFonts w:ascii="Arial" w:hAnsi="Arial" w:cs="Arial"/>
                                <w:sz w:val="20"/>
                                <w:szCs w:val="20"/>
                              </w:rPr>
                              <w:t xml:space="preserve"> and Smith</w:t>
                            </w:r>
                            <w:r>
                              <w:rPr>
                                <w:rFonts w:ascii="Arial" w:hAnsi="Arial" w:cs="Arial"/>
                                <w:sz w:val="20"/>
                                <w:szCs w:val="20"/>
                              </w:rPr>
                              <w:t xml:space="preserve">, S.E. </w:t>
                            </w:r>
                            <w:r w:rsidRPr="000B334F">
                              <w:rPr>
                                <w:rFonts w:ascii="Arial" w:hAnsi="Arial" w:cs="Arial"/>
                                <w:sz w:val="20"/>
                                <w:szCs w:val="20"/>
                              </w:rPr>
                              <w:t>Lessons Learned</w:t>
                            </w:r>
                            <w:r>
                              <w:rPr>
                                <w:rFonts w:ascii="Arial" w:hAnsi="Arial" w:cs="Arial"/>
                                <w:sz w:val="20"/>
                                <w:szCs w:val="20"/>
                              </w:rPr>
                              <w:t xml:space="preserve"> </w:t>
                            </w:r>
                            <w:r w:rsidRPr="000B334F">
                              <w:rPr>
                                <w:rFonts w:ascii="Arial" w:hAnsi="Arial" w:cs="Arial"/>
                                <w:sz w:val="20"/>
                                <w:szCs w:val="20"/>
                              </w:rPr>
                              <w:t>from Legionnaires’</w:t>
                            </w:r>
                            <w:r>
                              <w:rPr>
                                <w:rFonts w:ascii="Arial" w:hAnsi="Arial" w:cs="Arial"/>
                                <w:sz w:val="20"/>
                                <w:szCs w:val="20"/>
                              </w:rPr>
                              <w:t xml:space="preserve"> </w:t>
                            </w:r>
                            <w:r w:rsidRPr="000B334F">
                              <w:rPr>
                                <w:rFonts w:ascii="Arial" w:hAnsi="Arial" w:cs="Arial"/>
                                <w:sz w:val="20"/>
                                <w:szCs w:val="20"/>
                              </w:rPr>
                              <w:t>Disease Litigation</w:t>
                            </w:r>
                            <w:r>
                              <w:rPr>
                                <w:rFonts w:ascii="Arial" w:hAnsi="Arial" w:cs="Arial"/>
                                <w:sz w:val="20"/>
                                <w:szCs w:val="20"/>
                              </w:rPr>
                              <w:t xml:space="preserve">: </w:t>
                            </w:r>
                            <w:r w:rsidRPr="00D14891">
                              <w:rPr>
                                <w:rFonts w:ascii="Arial" w:hAnsi="Arial" w:cs="Arial"/>
                                <w:sz w:val="20"/>
                                <w:szCs w:val="20"/>
                              </w:rPr>
                              <w:t>The Standard of Care Defense in Emerging Toxic Tort Claim</w:t>
                            </w:r>
                            <w:r>
                              <w:rPr>
                                <w:rFonts w:ascii="Arial" w:hAnsi="Arial" w:cs="Arial"/>
                                <w:sz w:val="20"/>
                                <w:szCs w:val="20"/>
                              </w:rPr>
                              <w:t xml:space="preserve">s. April 2014. Available at </w:t>
                            </w:r>
                            <w:hyperlink r:id="rId46" w:history="1">
                              <w:r>
                                <w:rPr>
                                  <w:rStyle w:val="Hyperlink"/>
                                </w:rPr>
                                <w:t>https://media.goldbergsegalla.com/uploads/tpb_ses%20dri%20standard%20of%20care.pdf</w:t>
                              </w:r>
                            </w:hyperlink>
                          </w:p>
                          <w:p w14:paraId="3BDA66A5" w14:textId="77777777" w:rsidR="00A318FA" w:rsidRDefault="00A318FA" w:rsidP="00A318FA">
                            <w:pPr>
                              <w:pStyle w:val="ListParagraph"/>
                              <w:ind w:left="360"/>
                              <w:rPr>
                                <w:rFonts w:ascii="Arial" w:hAnsi="Arial" w:cs="Arial"/>
                                <w:sz w:val="20"/>
                                <w:szCs w:val="20"/>
                              </w:rPr>
                            </w:pPr>
                          </w:p>
                          <w:p w14:paraId="44A089F4" w14:textId="77777777" w:rsidR="00A318FA" w:rsidRPr="0013450D" w:rsidRDefault="00A318FA" w:rsidP="00A318FA">
                            <w:pPr>
                              <w:pStyle w:val="ListParagraph"/>
                              <w:numPr>
                                <w:ilvl w:val="0"/>
                                <w:numId w:val="41"/>
                              </w:numPr>
                              <w:ind w:left="1080"/>
                              <w:rPr>
                                <w:rFonts w:ascii="Arial" w:hAnsi="Arial" w:cs="Arial"/>
                                <w:sz w:val="20"/>
                                <w:szCs w:val="20"/>
                              </w:rPr>
                            </w:pPr>
                            <w:r w:rsidRPr="001561C5">
                              <w:rPr>
                                <w:rFonts w:ascii="Arial" w:hAnsi="Arial" w:cs="Arial"/>
                                <w:sz w:val="20"/>
                                <w:szCs w:val="20"/>
                              </w:rPr>
                              <w:t xml:space="preserve">Stout, J.E. and Boehlert, G.R. Legal Significance of ANSI/ASHRAE Standard 188-2015. </w:t>
                            </w:r>
                            <w:r>
                              <w:rPr>
                                <w:rFonts w:ascii="Arial" w:hAnsi="Arial" w:cs="Arial"/>
                                <w:sz w:val="20"/>
                                <w:szCs w:val="20"/>
                              </w:rPr>
                              <w:t>Available at</w:t>
                            </w:r>
                            <w:r w:rsidRPr="001561C5">
                              <w:rPr>
                                <w:rFonts w:ascii="Arial" w:hAnsi="Arial" w:cs="Arial"/>
                                <w:sz w:val="20"/>
                                <w:szCs w:val="20"/>
                              </w:rPr>
                              <w:t xml:space="preserve"> </w:t>
                            </w:r>
                            <w:hyperlink r:id="rId47" w:history="1">
                              <w:r w:rsidRPr="001561C5">
                                <w:rPr>
                                  <w:rStyle w:val="Hyperlink"/>
                                  <w:rFonts w:ascii="Arial" w:hAnsi="Arial" w:cs="Arial"/>
                                </w:rPr>
                                <w:t>https://www.facilitiesnet.com/facilitiesmanagement/article/Legal-Significance-of-ANSIASHRAE-Standard-188-2015--16353</w:t>
                              </w:r>
                            </w:hyperlink>
                          </w:p>
                          <w:p w14:paraId="5DD93074" w14:textId="77777777" w:rsidR="00A318FA" w:rsidRDefault="00A318FA" w:rsidP="00A318F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E603F8" id="Text Box 15" o:spid="_x0000_s1035" type="#_x0000_t202" style="position:absolute;margin-left:0;margin-top:31.25pt;width:455.05pt;height:293.05pt;z-index:251679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">
                <v:textbox>
                  <w:txbxContent>
                    <w:p w14:paraId="38100ED3" w14:textId="77777777" w:rsidR="00A318FA" w:rsidRDefault="00A318FA" w:rsidP="00A318FA">
                      <w:pPr>
                        <w:spacing w:after="120"/>
                        <w:jc w:val="center"/>
                        <w:rPr>
                          <w:rFonts w:ascii="Arial" w:hAnsi="Arial" w:cs="Arial"/>
                          <w:b/>
                          <w:bCs/>
                        </w:rPr>
                      </w:pPr>
                    </w:p>
                    <w:p w14:paraId="5B158187" w14:textId="77777777" w:rsidR="00A318FA" w:rsidRPr="0058248F" w:rsidRDefault="00A318FA" w:rsidP="00A318FA">
                      <w:pPr>
                        <w:spacing w:after="120"/>
                        <w:jc w:val="center"/>
                        <w:rPr>
                          <w:rFonts w:ascii="Arial" w:hAnsi="Arial" w:cs="Arial"/>
                          <w:b/>
                          <w:bCs/>
                        </w:rPr>
                      </w:pPr>
                      <w:r>
                        <w:rPr>
                          <w:rFonts w:ascii="Arial" w:hAnsi="Arial" w:cs="Arial"/>
                          <w:b/>
                          <w:bCs/>
                        </w:rPr>
                        <w:t>Resources</w:t>
                      </w:r>
                    </w:p>
                    <w:p w14:paraId="6316FFD1" w14:textId="77777777" w:rsidR="00A318FA" w:rsidRPr="0058248F" w:rsidRDefault="00A318FA" w:rsidP="00A318FA">
                      <w:pPr>
                        <w:jc w:val="center"/>
                        <w:rPr>
                          <w:rFonts w:ascii="Arial" w:hAnsi="Arial" w:cs="Arial"/>
                          <w:b/>
                          <w:bCs/>
                        </w:rPr>
                      </w:pPr>
                    </w:p>
                    <w:p w14:paraId="0460E4B9" w14:textId="77777777" w:rsidR="00A318FA" w:rsidRPr="0070495B" w:rsidRDefault="00A318FA" w:rsidP="00A318FA">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143340FC" w14:textId="77777777" w:rsidR="00A318FA" w:rsidRDefault="00A318FA" w:rsidP="00A318FA">
                      <w:pPr>
                        <w:rPr>
                          <w:rFonts w:ascii="Arial" w:hAnsi="Arial" w:cs="Arial"/>
                          <w:sz w:val="20"/>
                          <w:szCs w:val="20"/>
                        </w:rPr>
                      </w:pPr>
                    </w:p>
                    <w:p w14:paraId="0D50CABB" w14:textId="77777777" w:rsidR="00A318FA" w:rsidRDefault="00A318FA" w:rsidP="00A318FA">
                      <w:pPr>
                        <w:rPr>
                          <w:rFonts w:ascii="Arial" w:hAnsi="Arial" w:cs="Arial"/>
                          <w:sz w:val="20"/>
                          <w:szCs w:val="20"/>
                        </w:rPr>
                      </w:pPr>
                    </w:p>
                    <w:p w14:paraId="6F7E30D6" w14:textId="77777777" w:rsidR="00A318FA" w:rsidRDefault="00A318FA" w:rsidP="00A318FA">
                      <w:pPr>
                        <w:pStyle w:val="ListParagraph"/>
                        <w:numPr>
                          <w:ilvl w:val="0"/>
                          <w:numId w:val="41"/>
                        </w:numPr>
                        <w:ind w:left="1080"/>
                        <w:rPr>
                          <w:rFonts w:ascii="Arial" w:hAnsi="Arial" w:cs="Arial"/>
                          <w:sz w:val="20"/>
                          <w:szCs w:val="20"/>
                        </w:rPr>
                      </w:pPr>
                      <w:r w:rsidRPr="00624A37">
                        <w:rPr>
                          <w:rFonts w:ascii="Arial" w:hAnsi="Arial" w:cs="Arial"/>
                          <w:sz w:val="20"/>
                          <w:szCs w:val="20"/>
                        </w:rPr>
                        <w:t xml:space="preserve">ASHRAE. ASHRAE Publishes Updated Legionellosis Standard. August 13, 2018. </w:t>
                      </w:r>
                      <w:r>
                        <w:rPr>
                          <w:rFonts w:ascii="Arial" w:hAnsi="Arial" w:cs="Arial"/>
                          <w:sz w:val="20"/>
                          <w:szCs w:val="20"/>
                        </w:rPr>
                        <w:t>Available at</w:t>
                      </w:r>
                      <w:r w:rsidRPr="00624A37">
                        <w:rPr>
                          <w:rFonts w:ascii="Arial" w:hAnsi="Arial" w:cs="Arial"/>
                          <w:sz w:val="20"/>
                          <w:szCs w:val="20"/>
                        </w:rPr>
                        <w:t xml:space="preserve"> </w:t>
                      </w:r>
                      <w:hyperlink r:id="rId48" w:history="1">
                        <w:r w:rsidRPr="00624A37">
                          <w:rPr>
                            <w:rStyle w:val="Hyperlink"/>
                            <w:rFonts w:ascii="Arial" w:hAnsi="Arial" w:cs="Arial"/>
                          </w:rPr>
                          <w:t>https://www.ashrae.org/about/news/2018/ashrae-publishes-updated-legionellosis-standard</w:t>
                        </w:r>
                      </w:hyperlink>
                    </w:p>
                    <w:p w14:paraId="572477D4" w14:textId="77777777" w:rsidR="00A318FA" w:rsidRDefault="00A318FA" w:rsidP="00A318FA">
                      <w:pPr>
                        <w:pStyle w:val="ListParagraph"/>
                        <w:ind w:left="360"/>
                        <w:rPr>
                          <w:rFonts w:ascii="Arial" w:hAnsi="Arial" w:cs="Arial"/>
                          <w:sz w:val="20"/>
                          <w:szCs w:val="20"/>
                        </w:rPr>
                      </w:pPr>
                    </w:p>
                    <w:p w14:paraId="2D15E40C" w14:textId="77777777" w:rsidR="00A318FA" w:rsidRDefault="00A318FA" w:rsidP="00A318FA">
                      <w:pPr>
                        <w:pStyle w:val="ListParagraph"/>
                        <w:numPr>
                          <w:ilvl w:val="0"/>
                          <w:numId w:val="41"/>
                        </w:numPr>
                        <w:ind w:left="1080"/>
                        <w:rPr>
                          <w:rFonts w:ascii="Arial" w:hAnsi="Arial" w:cs="Arial"/>
                          <w:sz w:val="20"/>
                          <w:szCs w:val="20"/>
                        </w:rPr>
                      </w:pPr>
                      <w:r w:rsidRPr="00D4531F">
                        <w:rPr>
                          <w:rFonts w:ascii="Arial" w:hAnsi="Arial" w:cs="Arial"/>
                          <w:sz w:val="20"/>
                          <w:szCs w:val="20"/>
                        </w:rPr>
                        <w:t>Bernier</w:t>
                      </w:r>
                      <w:r>
                        <w:rPr>
                          <w:rFonts w:ascii="Arial" w:hAnsi="Arial" w:cs="Arial"/>
                          <w:sz w:val="20"/>
                          <w:szCs w:val="20"/>
                        </w:rPr>
                        <w:t>, T.P.</w:t>
                      </w:r>
                      <w:r w:rsidRPr="00D4531F">
                        <w:rPr>
                          <w:rFonts w:ascii="Arial" w:hAnsi="Arial" w:cs="Arial"/>
                          <w:sz w:val="20"/>
                          <w:szCs w:val="20"/>
                        </w:rPr>
                        <w:t xml:space="preserve"> and Smith</w:t>
                      </w:r>
                      <w:r>
                        <w:rPr>
                          <w:rFonts w:ascii="Arial" w:hAnsi="Arial" w:cs="Arial"/>
                          <w:sz w:val="20"/>
                          <w:szCs w:val="20"/>
                        </w:rPr>
                        <w:t xml:space="preserve">, S.E. </w:t>
                      </w:r>
                      <w:r w:rsidRPr="000B334F">
                        <w:rPr>
                          <w:rFonts w:ascii="Arial" w:hAnsi="Arial" w:cs="Arial"/>
                          <w:sz w:val="20"/>
                          <w:szCs w:val="20"/>
                        </w:rPr>
                        <w:t>Lessons Learned</w:t>
                      </w:r>
                      <w:r>
                        <w:rPr>
                          <w:rFonts w:ascii="Arial" w:hAnsi="Arial" w:cs="Arial"/>
                          <w:sz w:val="20"/>
                          <w:szCs w:val="20"/>
                        </w:rPr>
                        <w:t xml:space="preserve"> </w:t>
                      </w:r>
                      <w:r w:rsidRPr="000B334F">
                        <w:rPr>
                          <w:rFonts w:ascii="Arial" w:hAnsi="Arial" w:cs="Arial"/>
                          <w:sz w:val="20"/>
                          <w:szCs w:val="20"/>
                        </w:rPr>
                        <w:t>from Legionnaires’</w:t>
                      </w:r>
                      <w:r>
                        <w:rPr>
                          <w:rFonts w:ascii="Arial" w:hAnsi="Arial" w:cs="Arial"/>
                          <w:sz w:val="20"/>
                          <w:szCs w:val="20"/>
                        </w:rPr>
                        <w:t xml:space="preserve"> </w:t>
                      </w:r>
                      <w:r w:rsidRPr="000B334F">
                        <w:rPr>
                          <w:rFonts w:ascii="Arial" w:hAnsi="Arial" w:cs="Arial"/>
                          <w:sz w:val="20"/>
                          <w:szCs w:val="20"/>
                        </w:rPr>
                        <w:t>Disease Litigation</w:t>
                      </w:r>
                      <w:r>
                        <w:rPr>
                          <w:rFonts w:ascii="Arial" w:hAnsi="Arial" w:cs="Arial"/>
                          <w:sz w:val="20"/>
                          <w:szCs w:val="20"/>
                        </w:rPr>
                        <w:t xml:space="preserve">: </w:t>
                      </w:r>
                      <w:r w:rsidRPr="00D14891">
                        <w:rPr>
                          <w:rFonts w:ascii="Arial" w:hAnsi="Arial" w:cs="Arial"/>
                          <w:sz w:val="20"/>
                          <w:szCs w:val="20"/>
                        </w:rPr>
                        <w:t>The Standard of Care Defense in Emerging Toxic Tort Claim</w:t>
                      </w:r>
                      <w:r>
                        <w:rPr>
                          <w:rFonts w:ascii="Arial" w:hAnsi="Arial" w:cs="Arial"/>
                          <w:sz w:val="20"/>
                          <w:szCs w:val="20"/>
                        </w:rPr>
                        <w:t xml:space="preserve">s. April 2014. Available at </w:t>
                      </w:r>
                      <w:hyperlink r:id="rId49" w:history="1">
                        <w:r>
                          <w:rPr>
                            <w:rStyle w:val="Hyperlink"/>
                          </w:rPr>
                          <w:t>https://media.goldbergsegalla.com/uploads/tpb_ses%20dri%20standard%20of%20care.pdf</w:t>
                        </w:r>
                      </w:hyperlink>
                    </w:p>
                    <w:p w14:paraId="3BDA66A5" w14:textId="77777777" w:rsidR="00A318FA" w:rsidRDefault="00A318FA" w:rsidP="00A318FA">
                      <w:pPr>
                        <w:pStyle w:val="ListParagraph"/>
                        <w:ind w:left="360"/>
                        <w:rPr>
                          <w:rFonts w:ascii="Arial" w:hAnsi="Arial" w:cs="Arial"/>
                          <w:sz w:val="20"/>
                          <w:szCs w:val="20"/>
                        </w:rPr>
                      </w:pPr>
                    </w:p>
                    <w:p w14:paraId="44A089F4" w14:textId="77777777" w:rsidR="00A318FA" w:rsidRPr="0013450D" w:rsidRDefault="00A318FA" w:rsidP="00A318FA">
                      <w:pPr>
                        <w:pStyle w:val="ListParagraph"/>
                        <w:numPr>
                          <w:ilvl w:val="0"/>
                          <w:numId w:val="41"/>
                        </w:numPr>
                        <w:ind w:left="1080"/>
                        <w:rPr>
                          <w:rFonts w:ascii="Arial" w:hAnsi="Arial" w:cs="Arial"/>
                          <w:sz w:val="20"/>
                          <w:szCs w:val="20"/>
                        </w:rPr>
                      </w:pPr>
                      <w:r w:rsidRPr="001561C5">
                        <w:rPr>
                          <w:rFonts w:ascii="Arial" w:hAnsi="Arial" w:cs="Arial"/>
                          <w:sz w:val="20"/>
                          <w:szCs w:val="20"/>
                        </w:rPr>
                        <w:t xml:space="preserve">Stout, J.E. and Boehlert, G.R. Legal Significance of ANSI/ASHRAE Standard 188-2015. </w:t>
                      </w:r>
                      <w:r>
                        <w:rPr>
                          <w:rFonts w:ascii="Arial" w:hAnsi="Arial" w:cs="Arial"/>
                          <w:sz w:val="20"/>
                          <w:szCs w:val="20"/>
                        </w:rPr>
                        <w:t>Available at</w:t>
                      </w:r>
                      <w:r w:rsidRPr="001561C5">
                        <w:rPr>
                          <w:rFonts w:ascii="Arial" w:hAnsi="Arial" w:cs="Arial"/>
                          <w:sz w:val="20"/>
                          <w:szCs w:val="20"/>
                        </w:rPr>
                        <w:t xml:space="preserve"> </w:t>
                      </w:r>
                      <w:hyperlink r:id="rId50" w:history="1">
                        <w:r w:rsidRPr="001561C5">
                          <w:rPr>
                            <w:rStyle w:val="Hyperlink"/>
                            <w:rFonts w:ascii="Arial" w:hAnsi="Arial" w:cs="Arial"/>
                          </w:rPr>
                          <w:t>https://www.facilitiesnet.com/facilitiesmanagement/article/Legal-Significance-of-ANSIASHRAE-Standard-188-2015--16353</w:t>
                        </w:r>
                      </w:hyperlink>
                    </w:p>
                    <w:p w14:paraId="5DD93074" w14:textId="77777777" w:rsidR="00A318FA" w:rsidRDefault="00A318FA" w:rsidP="00A318FA"/>
                  </w:txbxContent>
                </v:textbox>
                <w10:wrap type="square" anchorx="margin"/>
              </v:shape>
            </w:pict>
          </mc:Fallback>
        </mc:AlternateContent>
      </w:r>
    </w:p>
    <w:p w14:paraId="6D84F3CA" w14:textId="5BA88C35" w:rsidR="00A318FA" w:rsidRDefault="00A318FA" w:rsidP="00A318FA">
      <w:pPr>
        <w:tabs>
          <w:tab w:val="left" w:pos="553"/>
        </w:tabs>
        <w:spacing w:line="360" w:lineRule="auto"/>
      </w:pPr>
    </w:p>
    <w:p w14:paraId="6C17C1B1" w14:textId="77777777" w:rsidR="00A318FA" w:rsidRDefault="00A318FA" w:rsidP="00A318FA">
      <w:pPr>
        <w:tabs>
          <w:tab w:val="left" w:pos="553"/>
        </w:tabs>
        <w:spacing w:line="360" w:lineRule="auto"/>
      </w:pPr>
    </w:p>
    <w:p w14:paraId="34AE4F0D" w14:textId="77777777" w:rsidR="00A318FA" w:rsidRDefault="00A318FA">
      <w:pPr>
        <w:sectPr w:rsidR="00A318FA" w:rsidSect="00527549">
          <w:footnotePr>
            <w:numRestart w:val="eachSect"/>
          </w:footnotePr>
          <w:pgSz w:w="12240" w:h="15840"/>
          <w:pgMar w:top="1440" w:right="1440" w:bottom="1440" w:left="1440" w:header="720" w:footer="720" w:gutter="0"/>
          <w:cols w:space="720"/>
          <w:docGrid w:linePitch="360"/>
        </w:sectPr>
      </w:pPr>
    </w:p>
    <w:p w14:paraId="19173BA9" w14:textId="77777777" w:rsidR="008B13C9" w:rsidRPr="00724A3D" w:rsidRDefault="008B13C9" w:rsidP="008B13C9">
      <w:pPr>
        <w:spacing w:after="120"/>
        <w:jc w:val="center"/>
        <w:rPr>
          <w:rFonts w:ascii="Arial" w:hAnsi="Arial" w:cs="Arial"/>
          <w:b/>
          <w:bCs/>
          <w:sz w:val="24"/>
          <w:szCs w:val="24"/>
        </w:rPr>
      </w:pPr>
      <w:r w:rsidRPr="00724A3D">
        <w:rPr>
          <w:rFonts w:ascii="Arial" w:hAnsi="Arial" w:cs="Arial"/>
          <w:b/>
          <w:bCs/>
          <w:sz w:val="24"/>
          <w:szCs w:val="24"/>
        </w:rPr>
        <w:lastRenderedPageBreak/>
        <w:t xml:space="preserve">Chapter </w:t>
      </w:r>
      <w:r>
        <w:rPr>
          <w:rFonts w:ascii="Arial" w:hAnsi="Arial" w:cs="Arial"/>
          <w:b/>
          <w:bCs/>
          <w:sz w:val="24"/>
          <w:szCs w:val="24"/>
        </w:rPr>
        <w:t>5</w:t>
      </w:r>
    </w:p>
    <w:p w14:paraId="2B5891AC" w14:textId="77777777" w:rsidR="008B13C9" w:rsidRPr="001A3AB0" w:rsidRDefault="008B13C9" w:rsidP="008B13C9">
      <w:pPr>
        <w:spacing w:line="360" w:lineRule="auto"/>
        <w:jc w:val="center"/>
        <w:rPr>
          <w:rFonts w:ascii="Arial" w:hAnsi="Arial" w:cs="Arial"/>
          <w:sz w:val="24"/>
          <w:szCs w:val="24"/>
        </w:rPr>
      </w:pPr>
      <w:r>
        <w:rPr>
          <w:rFonts w:ascii="Arial" w:hAnsi="Arial" w:cs="Arial"/>
          <w:b/>
          <w:bCs/>
          <w:sz w:val="24"/>
          <w:szCs w:val="24"/>
        </w:rPr>
        <w:t>Communication Considerations</w:t>
      </w:r>
    </w:p>
    <w:p w14:paraId="7FD92DB3" w14:textId="414B0997" w:rsidR="008B13C9" w:rsidRDefault="008B13C9" w:rsidP="008B13C9"/>
    <w:p w14:paraId="76BBB19B" w14:textId="77777777" w:rsidR="00CE1B38" w:rsidRDefault="00CE1B38" w:rsidP="008B13C9"/>
    <w:p w14:paraId="2D62FC2F" w14:textId="77777777" w:rsidR="008B13C9" w:rsidRPr="003C4DDC" w:rsidRDefault="008B13C9" w:rsidP="008B13C9">
      <w:pPr>
        <w:spacing w:line="360" w:lineRule="auto"/>
        <w:rPr>
          <w:rFonts w:asciiTheme="majorHAnsi" w:hAnsiTheme="majorHAnsi"/>
        </w:rPr>
      </w:pPr>
      <w:r w:rsidRPr="003C4DDC">
        <w:rPr>
          <w:rFonts w:asciiTheme="majorHAnsi" w:hAnsiTheme="majorHAnsi"/>
        </w:rPr>
        <w:t>Effectively communicating about public health risks is essential</w:t>
      </w:r>
      <w:r>
        <w:rPr>
          <w:rFonts w:asciiTheme="majorHAnsi" w:hAnsiTheme="majorHAnsi"/>
        </w:rPr>
        <w:t>. To quote one</w:t>
      </w:r>
      <w:r w:rsidRPr="003C4DDC">
        <w:rPr>
          <w:rFonts w:asciiTheme="majorHAnsi" w:hAnsiTheme="majorHAnsi"/>
        </w:rPr>
        <w:t xml:space="preserve"> risk communicator:</w:t>
      </w:r>
    </w:p>
    <w:p w14:paraId="497160A7" w14:textId="77777777" w:rsidR="008B13C9" w:rsidRPr="003C4DDC" w:rsidRDefault="008B13C9" w:rsidP="008B13C9">
      <w:pPr>
        <w:spacing w:line="360" w:lineRule="auto"/>
        <w:rPr>
          <w:rFonts w:asciiTheme="majorHAnsi" w:hAnsiTheme="majorHAnsi"/>
        </w:rPr>
      </w:pPr>
    </w:p>
    <w:p w14:paraId="1D95CEBF" w14:textId="77777777" w:rsidR="008B13C9" w:rsidRPr="003C4DDC" w:rsidRDefault="008B13C9" w:rsidP="008B13C9">
      <w:pPr>
        <w:spacing w:line="360" w:lineRule="auto"/>
        <w:jc w:val="center"/>
        <w:rPr>
          <w:rFonts w:asciiTheme="majorHAnsi" w:hAnsiTheme="majorHAnsi"/>
        </w:rPr>
      </w:pPr>
      <w:r w:rsidRPr="003C4DDC">
        <w:rPr>
          <w:rFonts w:asciiTheme="majorHAnsi" w:hAnsiTheme="majorHAnsi"/>
        </w:rPr>
        <w:t>“The right message at the right time from the right person can save lives.”</w:t>
      </w:r>
      <w:r w:rsidRPr="003C4DDC">
        <w:rPr>
          <w:rStyle w:val="FootnoteReference"/>
          <w:rFonts w:asciiTheme="majorHAnsi" w:hAnsiTheme="majorHAnsi"/>
        </w:rPr>
        <w:footnoteReference w:id="104"/>
      </w:r>
    </w:p>
    <w:p w14:paraId="17293454" w14:textId="77777777" w:rsidR="008B13C9" w:rsidRPr="003C4DDC" w:rsidRDefault="008B13C9" w:rsidP="008B13C9">
      <w:pPr>
        <w:spacing w:line="360" w:lineRule="auto"/>
        <w:jc w:val="center"/>
        <w:rPr>
          <w:rFonts w:asciiTheme="majorHAnsi" w:hAnsiTheme="majorHAnsi"/>
        </w:rPr>
      </w:pPr>
    </w:p>
    <w:p w14:paraId="22C9442C" w14:textId="77777777" w:rsidR="008B13C9" w:rsidRPr="003C4DDC" w:rsidRDefault="008B13C9" w:rsidP="008B13C9">
      <w:pPr>
        <w:spacing w:after="120" w:line="360" w:lineRule="auto"/>
        <w:contextualSpacing/>
        <w:rPr>
          <w:rFonts w:asciiTheme="majorHAnsi" w:hAnsiTheme="majorHAnsi"/>
        </w:rPr>
      </w:pPr>
      <w:r w:rsidRPr="003C4DDC">
        <w:rPr>
          <w:rFonts w:asciiTheme="majorHAnsi" w:hAnsiTheme="majorHAnsi"/>
        </w:rPr>
        <w:t xml:space="preserve">This sentiment motivates the work of public health professionals to provide accurate and timely information about health threats that people use to improve their health and the health of their communities. The efforts of public health agencies to identify cases of Legionnaires’ disease (LD), find and mitigate the sources of </w:t>
      </w:r>
      <w:r>
        <w:rPr>
          <w:rFonts w:asciiTheme="majorHAnsi" w:hAnsiTheme="majorHAnsi"/>
        </w:rPr>
        <w:t xml:space="preserve">exposure to </w:t>
      </w:r>
      <w:r>
        <w:rPr>
          <w:rFonts w:asciiTheme="majorHAnsi" w:hAnsiTheme="majorHAnsi"/>
          <w:i/>
          <w:iCs/>
        </w:rPr>
        <w:t>Legionella</w:t>
      </w:r>
      <w:r w:rsidRPr="003C4DDC">
        <w:rPr>
          <w:rFonts w:asciiTheme="majorHAnsi" w:hAnsiTheme="majorHAnsi"/>
        </w:rPr>
        <w:t>, and work to prevent future outbreaks depend on the</w:t>
      </w:r>
      <w:r>
        <w:rPr>
          <w:rFonts w:asciiTheme="majorHAnsi" w:hAnsiTheme="majorHAnsi"/>
        </w:rPr>
        <w:t>se</w:t>
      </w:r>
      <w:r w:rsidRPr="003C4DDC">
        <w:rPr>
          <w:rFonts w:asciiTheme="majorHAnsi" w:hAnsiTheme="majorHAnsi"/>
        </w:rPr>
        <w:t xml:space="preserve"> agencies’ abilities to simultaneously communicate across multiple audiences with messages tailored to </w:t>
      </w:r>
      <w:r>
        <w:rPr>
          <w:rFonts w:asciiTheme="majorHAnsi" w:hAnsiTheme="majorHAnsi"/>
        </w:rPr>
        <w:t>each</w:t>
      </w:r>
      <w:r w:rsidRPr="003C4DDC">
        <w:rPr>
          <w:rFonts w:asciiTheme="majorHAnsi" w:hAnsiTheme="majorHAnsi"/>
        </w:rPr>
        <w:t xml:space="preserve">. This can be a challenge given the high-profile, fast-moving nature of some LD outbreaks. To accomplish this, public health agencies </w:t>
      </w:r>
      <w:r>
        <w:rPr>
          <w:rFonts w:asciiTheme="majorHAnsi" w:hAnsiTheme="majorHAnsi"/>
        </w:rPr>
        <w:t>can</w:t>
      </w:r>
      <w:r w:rsidRPr="003C4DDC">
        <w:rPr>
          <w:rFonts w:asciiTheme="majorHAnsi" w:hAnsiTheme="majorHAnsi"/>
        </w:rPr>
        <w:t xml:space="preserve"> develop messaging strategies and tools in advance of outbreaks to be prepared for the next event. With each new outbreak, these plans and materials can be refined to incorporate lessons learned. The messaging maps and templates contained in the setting-specific modules of this toolkit will provide guidance about responding to LD outbreaks arising in different settings. </w:t>
      </w:r>
      <w:r>
        <w:rPr>
          <w:rFonts w:asciiTheme="majorHAnsi" w:hAnsiTheme="majorHAnsi"/>
        </w:rPr>
        <w:t>This</w:t>
      </w:r>
      <w:r w:rsidRPr="003C4DDC">
        <w:rPr>
          <w:rFonts w:asciiTheme="majorHAnsi" w:hAnsiTheme="majorHAnsi"/>
        </w:rPr>
        <w:t xml:space="preserve"> chapter presents an overview of foundational risk communication concepts and how these apply in the context of LD. The chapter addresses:</w:t>
      </w:r>
    </w:p>
    <w:p w14:paraId="1E4914AB" w14:textId="77777777" w:rsidR="008B13C9" w:rsidRDefault="008B13C9" w:rsidP="008B13C9">
      <w:pPr>
        <w:pStyle w:val="ListParagraph"/>
        <w:numPr>
          <w:ilvl w:val="0"/>
          <w:numId w:val="24"/>
        </w:numPr>
        <w:spacing w:after="120" w:line="360" w:lineRule="auto"/>
        <w:rPr>
          <w:rFonts w:asciiTheme="majorHAnsi" w:hAnsiTheme="majorHAnsi"/>
        </w:rPr>
      </w:pPr>
      <w:r w:rsidRPr="003C4DDC">
        <w:rPr>
          <w:rFonts w:asciiTheme="majorHAnsi" w:hAnsiTheme="majorHAnsi"/>
        </w:rPr>
        <w:t>Creating a risk communication strategy</w:t>
      </w:r>
    </w:p>
    <w:p w14:paraId="74AA9EF0" w14:textId="77777777" w:rsidR="008B13C9" w:rsidRPr="003C4DDC" w:rsidRDefault="008B13C9" w:rsidP="008B13C9">
      <w:pPr>
        <w:pStyle w:val="ListParagraph"/>
        <w:numPr>
          <w:ilvl w:val="0"/>
          <w:numId w:val="24"/>
        </w:numPr>
        <w:spacing w:after="120" w:line="360" w:lineRule="auto"/>
        <w:rPr>
          <w:rFonts w:asciiTheme="majorHAnsi" w:hAnsiTheme="majorHAnsi"/>
        </w:rPr>
      </w:pPr>
      <w:r>
        <w:rPr>
          <w:rFonts w:asciiTheme="majorHAnsi" w:hAnsiTheme="majorHAnsi"/>
        </w:rPr>
        <w:t>Identifying key audiences</w:t>
      </w:r>
    </w:p>
    <w:p w14:paraId="50A04D94" w14:textId="77777777" w:rsidR="008B13C9" w:rsidRPr="003C4DDC" w:rsidRDefault="008B13C9" w:rsidP="008B13C9">
      <w:pPr>
        <w:pStyle w:val="ListParagraph"/>
        <w:numPr>
          <w:ilvl w:val="0"/>
          <w:numId w:val="24"/>
        </w:numPr>
        <w:spacing w:line="360" w:lineRule="auto"/>
        <w:rPr>
          <w:rFonts w:asciiTheme="majorHAnsi" w:hAnsiTheme="majorHAnsi"/>
        </w:rPr>
      </w:pPr>
      <w:r w:rsidRPr="003C4DDC">
        <w:rPr>
          <w:rFonts w:asciiTheme="majorHAnsi" w:hAnsiTheme="majorHAnsi"/>
        </w:rPr>
        <w:t>Developing messages for different audiences and scenarios</w:t>
      </w:r>
    </w:p>
    <w:p w14:paraId="30CD124A" w14:textId="77777777" w:rsidR="008B13C9" w:rsidRPr="003C4DDC" w:rsidRDefault="008B13C9" w:rsidP="008B13C9">
      <w:pPr>
        <w:spacing w:line="360" w:lineRule="auto"/>
        <w:rPr>
          <w:rFonts w:asciiTheme="majorHAnsi" w:hAnsiTheme="majorHAnsi"/>
        </w:rPr>
      </w:pPr>
    </w:p>
    <w:p w14:paraId="46436D76" w14:textId="77777777" w:rsidR="008B13C9" w:rsidRPr="003C4DDC" w:rsidRDefault="008B13C9" w:rsidP="008B13C9">
      <w:pPr>
        <w:spacing w:after="120" w:line="360" w:lineRule="auto"/>
        <w:rPr>
          <w:rFonts w:ascii="Arial" w:hAnsi="Arial" w:cs="Arial"/>
          <w:b/>
          <w:bCs/>
        </w:rPr>
      </w:pPr>
      <w:r w:rsidRPr="003C4DDC">
        <w:rPr>
          <w:rFonts w:ascii="Arial" w:hAnsi="Arial" w:cs="Arial"/>
          <w:b/>
          <w:bCs/>
        </w:rPr>
        <w:t>Creat</w:t>
      </w:r>
      <w:r>
        <w:rPr>
          <w:rFonts w:ascii="Arial" w:hAnsi="Arial" w:cs="Arial"/>
          <w:b/>
          <w:bCs/>
        </w:rPr>
        <w:t>ing</w:t>
      </w:r>
      <w:r w:rsidRPr="003C4DDC">
        <w:rPr>
          <w:rFonts w:ascii="Arial" w:hAnsi="Arial" w:cs="Arial"/>
          <w:b/>
          <w:bCs/>
        </w:rPr>
        <w:t xml:space="preserve"> a Risk Communication Strategy </w:t>
      </w:r>
    </w:p>
    <w:p w14:paraId="23CB13C6" w14:textId="77777777" w:rsidR="008B13C9" w:rsidRPr="003C4DDC" w:rsidRDefault="008B13C9" w:rsidP="008B13C9">
      <w:pPr>
        <w:spacing w:line="360" w:lineRule="auto"/>
        <w:rPr>
          <w:rFonts w:asciiTheme="majorHAnsi" w:hAnsiTheme="majorHAnsi"/>
        </w:rPr>
      </w:pPr>
      <w:r>
        <w:rPr>
          <w:rFonts w:asciiTheme="majorHAnsi" w:hAnsiTheme="majorHAnsi"/>
        </w:rPr>
        <w:t>Best practice is to c</w:t>
      </w:r>
      <w:r w:rsidRPr="003C4DDC">
        <w:rPr>
          <w:rFonts w:asciiTheme="majorHAnsi" w:hAnsiTheme="majorHAnsi"/>
        </w:rPr>
        <w:t xml:space="preserve">reate a strategy for communicating during an outbreak before </w:t>
      </w:r>
      <w:r>
        <w:rPr>
          <w:rFonts w:asciiTheme="majorHAnsi" w:hAnsiTheme="majorHAnsi"/>
        </w:rPr>
        <w:t>an</w:t>
      </w:r>
      <w:r w:rsidRPr="003C4DDC">
        <w:rPr>
          <w:rFonts w:asciiTheme="majorHAnsi" w:hAnsiTheme="majorHAnsi"/>
        </w:rPr>
        <w:t xml:space="preserve"> outbreak occurs. Because public health agencies have experience responding to </w:t>
      </w:r>
      <w:r>
        <w:rPr>
          <w:rFonts w:asciiTheme="majorHAnsi" w:hAnsiTheme="majorHAnsi"/>
        </w:rPr>
        <w:t xml:space="preserve">infectious disease outbreaks (including </w:t>
      </w:r>
      <w:r w:rsidRPr="003C4DDC">
        <w:rPr>
          <w:rFonts w:asciiTheme="majorHAnsi" w:hAnsiTheme="majorHAnsi"/>
          <w:i/>
          <w:iCs/>
        </w:rPr>
        <w:t>Legionella</w:t>
      </w:r>
      <w:r>
        <w:rPr>
          <w:rFonts w:asciiTheme="majorHAnsi" w:hAnsiTheme="majorHAnsi"/>
        </w:rPr>
        <w:t>)</w:t>
      </w:r>
      <w:r w:rsidRPr="003C4DDC">
        <w:rPr>
          <w:rFonts w:asciiTheme="majorHAnsi" w:hAnsiTheme="majorHAnsi"/>
        </w:rPr>
        <w:t>, most already have established procedures for conducting epidemiological investigation</w:t>
      </w:r>
      <w:r>
        <w:rPr>
          <w:rFonts w:asciiTheme="majorHAnsi" w:hAnsiTheme="majorHAnsi"/>
        </w:rPr>
        <w:t>s</w:t>
      </w:r>
      <w:r w:rsidRPr="003C4DDC">
        <w:rPr>
          <w:rFonts w:asciiTheme="majorHAnsi" w:hAnsiTheme="majorHAnsi"/>
        </w:rPr>
        <w:t xml:space="preserve">. It is </w:t>
      </w:r>
      <w:r w:rsidRPr="003C4DDC">
        <w:rPr>
          <w:rFonts w:asciiTheme="majorHAnsi" w:hAnsiTheme="majorHAnsi"/>
        </w:rPr>
        <w:lastRenderedPageBreak/>
        <w:t>equally important to have plans for contacting key audiences at various points in an investigation. Broadly speaking, the communication strategy should identify:</w:t>
      </w:r>
    </w:p>
    <w:p w14:paraId="40C2467B" w14:textId="77777777" w:rsidR="008B13C9" w:rsidRPr="003C4DDC" w:rsidRDefault="008B13C9" w:rsidP="008B13C9">
      <w:pPr>
        <w:spacing w:line="360" w:lineRule="auto"/>
        <w:ind w:left="720"/>
        <w:rPr>
          <w:rFonts w:asciiTheme="majorHAnsi" w:hAnsiTheme="majorHAnsi"/>
        </w:rPr>
      </w:pPr>
      <w:r w:rsidRPr="003C4DDC">
        <w:rPr>
          <w:rFonts w:asciiTheme="majorHAnsi" w:hAnsiTheme="majorHAnsi"/>
        </w:rPr>
        <w:t xml:space="preserve">(1) the types of persons, facilities, entities, and media to be contacted, </w:t>
      </w:r>
    </w:p>
    <w:p w14:paraId="7816B552" w14:textId="77777777" w:rsidR="008B13C9" w:rsidRPr="003C4DDC" w:rsidRDefault="008B13C9" w:rsidP="008B13C9">
      <w:pPr>
        <w:spacing w:line="360" w:lineRule="auto"/>
        <w:ind w:left="720"/>
        <w:rPr>
          <w:rFonts w:asciiTheme="majorHAnsi" w:hAnsiTheme="majorHAnsi"/>
        </w:rPr>
      </w:pPr>
      <w:r w:rsidRPr="003C4DDC">
        <w:rPr>
          <w:rFonts w:asciiTheme="majorHAnsi" w:hAnsiTheme="majorHAnsi"/>
        </w:rPr>
        <w:t xml:space="preserve">(2) what they </w:t>
      </w:r>
      <w:r>
        <w:rPr>
          <w:rFonts w:asciiTheme="majorHAnsi" w:hAnsiTheme="majorHAnsi"/>
        </w:rPr>
        <w:t xml:space="preserve">should </w:t>
      </w:r>
      <w:r w:rsidRPr="003C4DDC">
        <w:rPr>
          <w:rFonts w:asciiTheme="majorHAnsi" w:hAnsiTheme="majorHAnsi"/>
        </w:rPr>
        <w:t>be informed about, and</w:t>
      </w:r>
    </w:p>
    <w:p w14:paraId="1A37066C" w14:textId="77777777" w:rsidR="008B13C9" w:rsidRDefault="008B13C9" w:rsidP="008B13C9">
      <w:pPr>
        <w:spacing w:line="360" w:lineRule="auto"/>
        <w:ind w:left="720"/>
        <w:rPr>
          <w:rFonts w:asciiTheme="majorHAnsi" w:hAnsiTheme="majorHAnsi"/>
        </w:rPr>
      </w:pPr>
      <w:r w:rsidRPr="003C4DDC">
        <w:rPr>
          <w:rFonts w:asciiTheme="majorHAnsi" w:hAnsiTheme="majorHAnsi"/>
        </w:rPr>
        <w:t xml:space="preserve">(3) when they </w:t>
      </w:r>
      <w:r>
        <w:rPr>
          <w:rFonts w:asciiTheme="majorHAnsi" w:hAnsiTheme="majorHAnsi"/>
        </w:rPr>
        <w:t xml:space="preserve">should </w:t>
      </w:r>
      <w:r w:rsidRPr="003C4DDC">
        <w:rPr>
          <w:rFonts w:asciiTheme="majorHAnsi" w:hAnsiTheme="majorHAnsi"/>
        </w:rPr>
        <w:t xml:space="preserve">be informed. </w:t>
      </w:r>
    </w:p>
    <w:p w14:paraId="4BFE2BFC" w14:textId="77777777" w:rsidR="008B13C9" w:rsidRPr="003C4DDC" w:rsidRDefault="008B13C9" w:rsidP="008B13C9">
      <w:pPr>
        <w:spacing w:line="360" w:lineRule="auto"/>
        <w:ind w:left="720"/>
        <w:rPr>
          <w:rFonts w:asciiTheme="majorHAnsi" w:hAnsiTheme="majorHAnsi"/>
        </w:rPr>
      </w:pPr>
      <w:r w:rsidRPr="003C4DDC">
        <w:rPr>
          <w:rFonts w:asciiTheme="majorHAnsi" w:hAnsiTheme="majorHAnsi" w:cstheme="majorHAnsi"/>
          <w:b/>
          <w:bCs/>
          <w:noProof/>
        </w:rPr>
        <mc:AlternateContent>
          <mc:Choice Requires="wps">
            <w:drawing>
              <wp:anchor distT="45720" distB="45720" distL="114300" distR="114300" simplePos="0" relativeHeight="251671552" behindDoc="0" locked="0" layoutInCell="1" allowOverlap="1" wp14:anchorId="39EA2098" wp14:editId="65F13A2A">
                <wp:simplePos x="0" y="0"/>
                <wp:positionH relativeFrom="margin">
                  <wp:align>right</wp:align>
                </wp:positionH>
                <wp:positionV relativeFrom="paragraph">
                  <wp:posOffset>2540</wp:posOffset>
                </wp:positionV>
                <wp:extent cx="2212848" cy="1627632"/>
                <wp:effectExtent l="0" t="0" r="16510" b="1079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848" cy="1627632"/>
                        </a:xfrm>
                        <a:prstGeom prst="rect">
                          <a:avLst/>
                        </a:prstGeom>
                        <a:solidFill>
                          <a:srgbClr val="FFFFFF"/>
                        </a:solidFill>
                        <a:ln w="9525">
                          <a:solidFill>
                            <a:srgbClr val="000000"/>
                          </a:solidFill>
                          <a:miter lim="800000"/>
                          <a:headEnd/>
                          <a:tailEnd/>
                        </a:ln>
                      </wps:spPr>
                      <wps:txbx>
                        <w:txbxContent>
                          <w:p w14:paraId="51DB0DC3" w14:textId="77777777" w:rsidR="00A318FA" w:rsidRPr="004A3F52" w:rsidRDefault="00A318FA" w:rsidP="008B13C9">
                            <w:pPr>
                              <w:rPr>
                                <w:rFonts w:ascii="Arial" w:hAnsi="Arial" w:cs="Arial"/>
                                <w:b/>
                                <w:bCs/>
                                <w:sz w:val="18"/>
                                <w:szCs w:val="18"/>
                              </w:rPr>
                            </w:pPr>
                            <w:r w:rsidRPr="004A3F52">
                              <w:rPr>
                                <w:rFonts w:ascii="Arial" w:hAnsi="Arial" w:cs="Arial"/>
                                <w:b/>
                                <w:bCs/>
                                <w:sz w:val="18"/>
                                <w:szCs w:val="18"/>
                              </w:rPr>
                              <w:t>For More Information….</w:t>
                            </w:r>
                          </w:p>
                          <w:p w14:paraId="5BABC3A9" w14:textId="77777777" w:rsidR="00A318FA" w:rsidRPr="004A3F52" w:rsidRDefault="00A318FA" w:rsidP="008B13C9">
                            <w:pPr>
                              <w:rPr>
                                <w:rFonts w:ascii="Arial" w:hAnsi="Arial" w:cs="Arial"/>
                                <w:sz w:val="18"/>
                                <w:szCs w:val="18"/>
                              </w:rPr>
                            </w:pPr>
                          </w:p>
                          <w:p w14:paraId="677E11B8" w14:textId="77777777" w:rsidR="00A318FA" w:rsidRDefault="00A318FA" w:rsidP="008B13C9">
                            <w:pPr>
                              <w:rPr>
                                <w:rFonts w:ascii="Arial" w:hAnsi="Arial" w:cs="Arial"/>
                                <w:sz w:val="18"/>
                                <w:szCs w:val="18"/>
                              </w:rPr>
                            </w:pPr>
                            <w:r w:rsidRPr="004A3F52">
                              <w:rPr>
                                <w:rFonts w:ascii="Arial" w:hAnsi="Arial" w:cs="Arial"/>
                                <w:sz w:val="18"/>
                                <w:szCs w:val="18"/>
                              </w:rPr>
                              <w:t xml:space="preserve">See </w:t>
                            </w:r>
                            <w:proofErr w:type="gramStart"/>
                            <w:r w:rsidRPr="004C680A">
                              <w:rPr>
                                <w:rFonts w:ascii="Arial" w:hAnsi="Arial" w:cs="Arial"/>
                                <w:i/>
                                <w:iCs/>
                                <w:sz w:val="18"/>
                                <w:szCs w:val="18"/>
                              </w:rPr>
                              <w:t>The</w:t>
                            </w:r>
                            <w:proofErr w:type="gramEnd"/>
                            <w:r w:rsidRPr="004C680A">
                              <w:rPr>
                                <w:rFonts w:ascii="Arial" w:hAnsi="Arial" w:cs="Arial"/>
                                <w:i/>
                                <w:iCs/>
                                <w:sz w:val="18"/>
                                <w:szCs w:val="18"/>
                              </w:rPr>
                              <w:t xml:space="preserve"> CDC Field Epidemiology Manual</w:t>
                            </w:r>
                            <w:r>
                              <w:rPr>
                                <w:rFonts w:ascii="Arial" w:hAnsi="Arial" w:cs="Arial"/>
                                <w:sz w:val="18"/>
                                <w:szCs w:val="18"/>
                              </w:rPr>
                              <w:t xml:space="preserve"> chapter “</w:t>
                            </w:r>
                            <w:r w:rsidRPr="004430B8">
                              <w:rPr>
                                <w:rFonts w:ascii="Arial" w:hAnsi="Arial" w:cs="Arial"/>
                                <w:sz w:val="18"/>
                                <w:szCs w:val="18"/>
                              </w:rPr>
                              <w:t>Communicating During an Outbreak or Public Health Investigation</w:t>
                            </w:r>
                            <w:r>
                              <w:rPr>
                                <w:rFonts w:ascii="Arial" w:hAnsi="Arial" w:cs="Arial"/>
                                <w:sz w:val="18"/>
                                <w:szCs w:val="18"/>
                              </w:rPr>
                              <w:t>” for detailed guidance on developing messaging and working with the media.</w:t>
                            </w:r>
                          </w:p>
                          <w:p w14:paraId="6A7AAC30" w14:textId="77777777" w:rsidR="00A318FA" w:rsidRPr="004A3F52" w:rsidRDefault="00A318FA" w:rsidP="008B13C9">
                            <w:pPr>
                              <w:rPr>
                                <w:rFonts w:ascii="Arial" w:hAnsi="Arial" w:cs="Arial"/>
                                <w:sz w:val="18"/>
                                <w:szCs w:val="18"/>
                              </w:rPr>
                            </w:pPr>
                            <w:hyperlink r:id="rId51" w:anchor="anchor_1543608945" w:history="1">
                              <w:r w:rsidRPr="004C680A">
                                <w:rPr>
                                  <w:rStyle w:val="Hyperlink"/>
                                  <w:rFonts w:ascii="Arial" w:hAnsi="Arial" w:cs="Arial"/>
                                  <w:sz w:val="18"/>
                                  <w:szCs w:val="18"/>
                                </w:rPr>
                                <w:t>https://www.cdc.gov/eis/field-epi-manual/chapters/Communicating-Investigation.html#anchor_1543608945</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A2098" id="_x0000_s1036" type="#_x0000_t202" style="position:absolute;left:0;text-align:left;margin-left:123.05pt;margin-top:.2pt;width:174.25pt;height:128.1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">
                <v:textbox>
                  <w:txbxContent>
                    <w:p w14:paraId="51DB0DC3" w14:textId="77777777" w:rsidR="00A318FA" w:rsidRPr="004A3F52" w:rsidRDefault="00A318FA" w:rsidP="008B13C9">
                      <w:pPr>
                        <w:rPr>
                          <w:rFonts w:ascii="Arial" w:hAnsi="Arial" w:cs="Arial"/>
                          <w:b/>
                          <w:bCs/>
                          <w:sz w:val="18"/>
                          <w:szCs w:val="18"/>
                        </w:rPr>
                      </w:pPr>
                      <w:r w:rsidRPr="004A3F52">
                        <w:rPr>
                          <w:rFonts w:ascii="Arial" w:hAnsi="Arial" w:cs="Arial"/>
                          <w:b/>
                          <w:bCs/>
                          <w:sz w:val="18"/>
                          <w:szCs w:val="18"/>
                        </w:rPr>
                        <w:t>For More Information….</w:t>
                      </w:r>
                    </w:p>
                    <w:p w14:paraId="5BABC3A9" w14:textId="77777777" w:rsidR="00A318FA" w:rsidRPr="004A3F52" w:rsidRDefault="00A318FA" w:rsidP="008B13C9">
                      <w:pPr>
                        <w:rPr>
                          <w:rFonts w:ascii="Arial" w:hAnsi="Arial" w:cs="Arial"/>
                          <w:sz w:val="18"/>
                          <w:szCs w:val="18"/>
                        </w:rPr>
                      </w:pPr>
                    </w:p>
                    <w:p w14:paraId="677E11B8" w14:textId="77777777" w:rsidR="00A318FA" w:rsidRDefault="00A318FA" w:rsidP="008B13C9">
                      <w:pPr>
                        <w:rPr>
                          <w:rFonts w:ascii="Arial" w:hAnsi="Arial" w:cs="Arial"/>
                          <w:sz w:val="18"/>
                          <w:szCs w:val="18"/>
                        </w:rPr>
                      </w:pPr>
                      <w:r w:rsidRPr="004A3F52">
                        <w:rPr>
                          <w:rFonts w:ascii="Arial" w:hAnsi="Arial" w:cs="Arial"/>
                          <w:sz w:val="18"/>
                          <w:szCs w:val="18"/>
                        </w:rPr>
                        <w:t xml:space="preserve">See </w:t>
                      </w:r>
                      <w:proofErr w:type="gramStart"/>
                      <w:r w:rsidRPr="004C680A">
                        <w:rPr>
                          <w:rFonts w:ascii="Arial" w:hAnsi="Arial" w:cs="Arial"/>
                          <w:i/>
                          <w:iCs/>
                          <w:sz w:val="18"/>
                          <w:szCs w:val="18"/>
                        </w:rPr>
                        <w:t>The</w:t>
                      </w:r>
                      <w:proofErr w:type="gramEnd"/>
                      <w:r w:rsidRPr="004C680A">
                        <w:rPr>
                          <w:rFonts w:ascii="Arial" w:hAnsi="Arial" w:cs="Arial"/>
                          <w:i/>
                          <w:iCs/>
                          <w:sz w:val="18"/>
                          <w:szCs w:val="18"/>
                        </w:rPr>
                        <w:t xml:space="preserve"> CDC Field Epidemiology Manual</w:t>
                      </w:r>
                      <w:r>
                        <w:rPr>
                          <w:rFonts w:ascii="Arial" w:hAnsi="Arial" w:cs="Arial"/>
                          <w:sz w:val="18"/>
                          <w:szCs w:val="18"/>
                        </w:rPr>
                        <w:t xml:space="preserve"> chapter “</w:t>
                      </w:r>
                      <w:r w:rsidRPr="004430B8">
                        <w:rPr>
                          <w:rFonts w:ascii="Arial" w:hAnsi="Arial" w:cs="Arial"/>
                          <w:sz w:val="18"/>
                          <w:szCs w:val="18"/>
                        </w:rPr>
                        <w:t>Communicating During an Outbreak or Public Health Investigation</w:t>
                      </w:r>
                      <w:r>
                        <w:rPr>
                          <w:rFonts w:ascii="Arial" w:hAnsi="Arial" w:cs="Arial"/>
                          <w:sz w:val="18"/>
                          <w:szCs w:val="18"/>
                        </w:rPr>
                        <w:t>” for detailed guidance on developing messaging and working with the media.</w:t>
                      </w:r>
                    </w:p>
                    <w:p w14:paraId="6A7AAC30" w14:textId="77777777" w:rsidR="00A318FA" w:rsidRPr="004A3F52" w:rsidRDefault="00A318FA" w:rsidP="008B13C9">
                      <w:pPr>
                        <w:rPr>
                          <w:rFonts w:ascii="Arial" w:hAnsi="Arial" w:cs="Arial"/>
                          <w:sz w:val="18"/>
                          <w:szCs w:val="18"/>
                        </w:rPr>
                      </w:pPr>
                      <w:hyperlink r:id="rId52" w:anchor="anchor_1543608945" w:history="1">
                        <w:r w:rsidRPr="004C680A">
                          <w:rPr>
                            <w:rStyle w:val="Hyperlink"/>
                            <w:rFonts w:ascii="Arial" w:hAnsi="Arial" w:cs="Arial"/>
                            <w:sz w:val="18"/>
                            <w:szCs w:val="18"/>
                          </w:rPr>
                          <w:t>https://www.cdc.gov/eis/field-epi-manual/chapters/Communicating-Investigation.html#anchor_1543608945</w:t>
                        </w:r>
                      </w:hyperlink>
                    </w:p>
                  </w:txbxContent>
                </v:textbox>
                <w10:wrap type="square" anchorx="margin"/>
              </v:shape>
            </w:pict>
          </mc:Fallback>
        </mc:AlternateContent>
      </w:r>
    </w:p>
    <w:p w14:paraId="70EA38B6" w14:textId="77777777" w:rsidR="008B13C9" w:rsidRPr="003C4DDC" w:rsidRDefault="008B13C9" w:rsidP="008B13C9">
      <w:pPr>
        <w:spacing w:line="360" w:lineRule="auto"/>
        <w:rPr>
          <w:rFonts w:asciiTheme="majorHAnsi" w:hAnsiTheme="majorHAnsi"/>
        </w:rPr>
      </w:pPr>
      <w:r w:rsidRPr="003C4DDC">
        <w:rPr>
          <w:rFonts w:asciiTheme="majorHAnsi" w:hAnsiTheme="majorHAnsi"/>
        </w:rPr>
        <w:t>This communication process will</w:t>
      </w:r>
      <w:r>
        <w:rPr>
          <w:rFonts w:asciiTheme="majorHAnsi" w:hAnsiTheme="majorHAnsi"/>
        </w:rPr>
        <w:t xml:space="preserve"> likely </w:t>
      </w:r>
      <w:r w:rsidRPr="003C4DDC">
        <w:rPr>
          <w:rFonts w:asciiTheme="majorHAnsi" w:hAnsiTheme="majorHAnsi"/>
        </w:rPr>
        <w:t>be an iterative one</w:t>
      </w:r>
      <w:r>
        <w:rPr>
          <w:rFonts w:asciiTheme="majorHAnsi" w:hAnsiTheme="majorHAnsi"/>
        </w:rPr>
        <w:t>: a</w:t>
      </w:r>
      <w:r w:rsidRPr="003C4DDC">
        <w:rPr>
          <w:rFonts w:asciiTheme="majorHAnsi" w:hAnsiTheme="majorHAnsi"/>
        </w:rPr>
        <w:t>s the outbreak investigation proceeds</w:t>
      </w:r>
      <w:r>
        <w:rPr>
          <w:rFonts w:asciiTheme="majorHAnsi" w:hAnsiTheme="majorHAnsi"/>
        </w:rPr>
        <w:t>,</w:t>
      </w:r>
      <w:r w:rsidRPr="003C4DDC">
        <w:rPr>
          <w:rFonts w:asciiTheme="majorHAnsi" w:hAnsiTheme="majorHAnsi"/>
        </w:rPr>
        <w:t xml:space="preserve"> communication needs </w:t>
      </w:r>
      <w:r>
        <w:rPr>
          <w:rFonts w:asciiTheme="majorHAnsi" w:hAnsiTheme="majorHAnsi"/>
        </w:rPr>
        <w:t>can</w:t>
      </w:r>
      <w:r w:rsidRPr="003C4DDC">
        <w:rPr>
          <w:rFonts w:asciiTheme="majorHAnsi" w:hAnsiTheme="majorHAnsi"/>
        </w:rPr>
        <w:t xml:space="preserve"> evolve as new information is received. Furthermore</w:t>
      </w:r>
      <w:r>
        <w:rPr>
          <w:rFonts w:asciiTheme="majorHAnsi" w:hAnsiTheme="majorHAnsi"/>
        </w:rPr>
        <w:t>, multiple</w:t>
      </w:r>
      <w:r w:rsidRPr="003C4DDC">
        <w:rPr>
          <w:rFonts w:asciiTheme="majorHAnsi" w:hAnsiTheme="majorHAnsi"/>
        </w:rPr>
        <w:t xml:space="preserve"> version</w:t>
      </w:r>
      <w:r>
        <w:rPr>
          <w:rFonts w:asciiTheme="majorHAnsi" w:hAnsiTheme="majorHAnsi"/>
        </w:rPr>
        <w:t>s</w:t>
      </w:r>
      <w:r w:rsidRPr="003C4DDC">
        <w:rPr>
          <w:rFonts w:asciiTheme="majorHAnsi" w:hAnsiTheme="majorHAnsi"/>
        </w:rPr>
        <w:t xml:space="preserve"> of an LD communication strategy </w:t>
      </w:r>
      <w:r>
        <w:rPr>
          <w:rFonts w:asciiTheme="majorHAnsi" w:hAnsiTheme="majorHAnsi"/>
        </w:rPr>
        <w:t>may</w:t>
      </w:r>
      <w:r w:rsidRPr="003C4DDC">
        <w:rPr>
          <w:rFonts w:asciiTheme="majorHAnsi" w:hAnsiTheme="majorHAnsi"/>
        </w:rPr>
        <w:t xml:space="preserve"> be necessary based on the setting in which an outbreak is occurring, such as in </w:t>
      </w:r>
      <w:r>
        <w:rPr>
          <w:rFonts w:asciiTheme="majorHAnsi" w:hAnsiTheme="majorHAnsi"/>
        </w:rPr>
        <w:t xml:space="preserve">a </w:t>
      </w:r>
      <w:r w:rsidRPr="003C4DDC">
        <w:rPr>
          <w:rFonts w:asciiTheme="majorHAnsi" w:hAnsiTheme="majorHAnsi"/>
        </w:rPr>
        <w:t>healthcare</w:t>
      </w:r>
      <w:r>
        <w:rPr>
          <w:rFonts w:asciiTheme="majorHAnsi" w:hAnsiTheme="majorHAnsi"/>
        </w:rPr>
        <w:t xml:space="preserve"> or travel-related</w:t>
      </w:r>
      <w:r w:rsidRPr="003C4DDC">
        <w:rPr>
          <w:rFonts w:asciiTheme="majorHAnsi" w:hAnsiTheme="majorHAnsi"/>
        </w:rPr>
        <w:t xml:space="preserve"> setting.</w:t>
      </w:r>
    </w:p>
    <w:p w14:paraId="648E99F9" w14:textId="77777777" w:rsidR="008B13C9" w:rsidRDefault="008B13C9" w:rsidP="008B13C9">
      <w:pPr>
        <w:spacing w:line="360" w:lineRule="auto"/>
      </w:pPr>
    </w:p>
    <w:p w14:paraId="4DB5C909" w14:textId="77777777" w:rsidR="008B13C9" w:rsidRPr="009C0579" w:rsidRDefault="008B13C9" w:rsidP="008B13C9">
      <w:pPr>
        <w:spacing w:after="120" w:line="360" w:lineRule="auto"/>
        <w:rPr>
          <w:rFonts w:ascii="Arial" w:hAnsi="Arial" w:cs="Arial"/>
          <w:b/>
          <w:bCs/>
        </w:rPr>
      </w:pPr>
      <w:r>
        <w:rPr>
          <w:rFonts w:ascii="Arial" w:hAnsi="Arial" w:cs="Arial"/>
          <w:b/>
          <w:bCs/>
        </w:rPr>
        <w:t xml:space="preserve">Identifying </w:t>
      </w:r>
      <w:r w:rsidRPr="009C0579">
        <w:rPr>
          <w:rFonts w:ascii="Arial" w:hAnsi="Arial" w:cs="Arial"/>
          <w:b/>
          <w:bCs/>
        </w:rPr>
        <w:t>Key Audiences for LD Risk Communication Messaging</w:t>
      </w:r>
    </w:p>
    <w:p w14:paraId="51EE4778" w14:textId="77777777" w:rsidR="008B13C9" w:rsidRPr="003C4DDC" w:rsidRDefault="008B13C9" w:rsidP="008B13C9">
      <w:pPr>
        <w:spacing w:after="120" w:line="360" w:lineRule="auto"/>
        <w:rPr>
          <w:rFonts w:asciiTheme="majorHAnsi" w:hAnsiTheme="majorHAnsi"/>
        </w:rPr>
      </w:pPr>
      <w:r w:rsidRPr="003C4DDC">
        <w:rPr>
          <w:rFonts w:asciiTheme="majorHAnsi" w:hAnsiTheme="majorHAnsi"/>
        </w:rPr>
        <w:t xml:space="preserve">This section identifies some of the key audiences </w:t>
      </w:r>
      <w:r>
        <w:rPr>
          <w:rFonts w:asciiTheme="majorHAnsi" w:hAnsiTheme="majorHAnsi"/>
        </w:rPr>
        <w:t xml:space="preserve">that </w:t>
      </w:r>
      <w:r w:rsidRPr="003C4DDC">
        <w:rPr>
          <w:rFonts w:asciiTheme="majorHAnsi" w:hAnsiTheme="majorHAnsi"/>
        </w:rPr>
        <w:t xml:space="preserve">a risk communication strategy </w:t>
      </w:r>
      <w:r>
        <w:rPr>
          <w:rFonts w:asciiTheme="majorHAnsi" w:hAnsiTheme="majorHAnsi"/>
        </w:rPr>
        <w:t>is likely to</w:t>
      </w:r>
      <w:r w:rsidRPr="003C4DDC">
        <w:rPr>
          <w:rFonts w:asciiTheme="majorHAnsi" w:hAnsiTheme="majorHAnsi"/>
        </w:rPr>
        <w:t xml:space="preserve"> include. A specific jurisdiction or outbreak may require additional or different audiences as part of its plan. The strategy </w:t>
      </w:r>
      <w:r>
        <w:rPr>
          <w:rFonts w:asciiTheme="majorHAnsi" w:hAnsiTheme="majorHAnsi"/>
        </w:rPr>
        <w:t xml:space="preserve">can be used </w:t>
      </w:r>
      <w:r w:rsidRPr="003C4DDC">
        <w:rPr>
          <w:rFonts w:asciiTheme="majorHAnsi" w:hAnsiTheme="majorHAnsi"/>
        </w:rPr>
        <w:t xml:space="preserve">as a framework for ensuring that all appropriate audiences are included, but </w:t>
      </w:r>
      <w:r>
        <w:rPr>
          <w:rFonts w:asciiTheme="majorHAnsi" w:hAnsiTheme="majorHAnsi"/>
        </w:rPr>
        <w:t xml:space="preserve">which is </w:t>
      </w:r>
      <w:r w:rsidRPr="003C4DDC">
        <w:rPr>
          <w:rFonts w:asciiTheme="majorHAnsi" w:hAnsiTheme="majorHAnsi"/>
        </w:rPr>
        <w:t>also flexible enough to adapt to the event.</w:t>
      </w:r>
    </w:p>
    <w:p w14:paraId="3D38A155" w14:textId="77777777" w:rsidR="008B13C9" w:rsidRPr="003C4DDC" w:rsidRDefault="008B13C9" w:rsidP="008B13C9">
      <w:pPr>
        <w:pStyle w:val="ListParagraph"/>
        <w:numPr>
          <w:ilvl w:val="0"/>
          <w:numId w:val="25"/>
        </w:numPr>
        <w:spacing w:after="120" w:line="360" w:lineRule="auto"/>
        <w:contextualSpacing w:val="0"/>
        <w:rPr>
          <w:rFonts w:asciiTheme="majorHAnsi" w:hAnsiTheme="majorHAnsi"/>
        </w:rPr>
      </w:pPr>
      <w:r w:rsidRPr="003C4DDC">
        <w:rPr>
          <w:rFonts w:asciiTheme="majorHAnsi" w:hAnsiTheme="majorHAnsi"/>
          <w:b/>
          <w:bCs/>
        </w:rPr>
        <w:t xml:space="preserve">Involved facility </w:t>
      </w:r>
      <w:r>
        <w:rPr>
          <w:rFonts w:asciiTheme="majorHAnsi" w:hAnsiTheme="majorHAnsi"/>
          <w:b/>
          <w:bCs/>
        </w:rPr>
        <w:t>or exposure source</w:t>
      </w:r>
      <w:r w:rsidRPr="003C4DDC">
        <w:rPr>
          <w:rFonts w:asciiTheme="majorHAnsi" w:hAnsiTheme="majorHAnsi"/>
          <w:b/>
          <w:bCs/>
        </w:rPr>
        <w:t xml:space="preserve"> —</w:t>
      </w:r>
      <w:r w:rsidRPr="003C4DDC">
        <w:rPr>
          <w:rFonts w:asciiTheme="majorHAnsi" w:hAnsiTheme="majorHAnsi"/>
        </w:rPr>
        <w:t xml:space="preserve"> This is the known or suspected</w:t>
      </w:r>
      <w:r>
        <w:rPr>
          <w:rFonts w:asciiTheme="majorHAnsi" w:hAnsiTheme="majorHAnsi"/>
        </w:rPr>
        <w:t xml:space="preserve"> </w:t>
      </w:r>
      <w:r w:rsidRPr="007E43BD">
        <w:rPr>
          <w:rFonts w:asciiTheme="majorHAnsi" w:hAnsiTheme="majorHAnsi"/>
        </w:rPr>
        <w:t xml:space="preserve">potential source of exposure to </w:t>
      </w:r>
      <w:r w:rsidRPr="00651982">
        <w:rPr>
          <w:rFonts w:asciiTheme="majorHAnsi" w:hAnsiTheme="majorHAnsi"/>
          <w:i/>
          <w:iCs/>
        </w:rPr>
        <w:t>Legionella</w:t>
      </w:r>
      <w:r w:rsidRPr="003C4DDC">
        <w:rPr>
          <w:rFonts w:asciiTheme="majorHAnsi" w:hAnsiTheme="majorHAnsi"/>
        </w:rPr>
        <w:t xml:space="preserve">; </w:t>
      </w:r>
      <w:r>
        <w:rPr>
          <w:rFonts w:asciiTheme="majorHAnsi" w:hAnsiTheme="majorHAnsi"/>
        </w:rPr>
        <w:t>it</w:t>
      </w:r>
      <w:r w:rsidRPr="003C4DDC">
        <w:rPr>
          <w:rFonts w:asciiTheme="majorHAnsi" w:hAnsiTheme="majorHAnsi"/>
        </w:rPr>
        <w:t xml:space="preserve"> might not be known until later in the investigation.</w:t>
      </w:r>
    </w:p>
    <w:p w14:paraId="40921272" w14:textId="77777777" w:rsidR="008B13C9" w:rsidRPr="003C4DDC" w:rsidRDefault="008B13C9" w:rsidP="008B13C9">
      <w:pPr>
        <w:pStyle w:val="ListParagraph"/>
        <w:numPr>
          <w:ilvl w:val="0"/>
          <w:numId w:val="25"/>
        </w:numPr>
        <w:spacing w:after="120" w:line="360" w:lineRule="auto"/>
        <w:contextualSpacing w:val="0"/>
        <w:rPr>
          <w:rFonts w:asciiTheme="majorHAnsi" w:hAnsiTheme="majorHAnsi"/>
        </w:rPr>
      </w:pPr>
      <w:r w:rsidRPr="003C4DDC">
        <w:rPr>
          <w:rFonts w:asciiTheme="majorHAnsi" w:hAnsiTheme="majorHAnsi"/>
          <w:b/>
          <w:bCs/>
        </w:rPr>
        <w:t>Involved persons —</w:t>
      </w:r>
      <w:r w:rsidRPr="003C4DDC">
        <w:rPr>
          <w:rFonts w:asciiTheme="majorHAnsi" w:hAnsiTheme="majorHAnsi"/>
        </w:rPr>
        <w:t xml:space="preserve"> These are the persons who have been confirmed or suspected of having LD, or who may have been exposed to </w:t>
      </w:r>
      <w:r w:rsidRPr="001A2396">
        <w:rPr>
          <w:rFonts w:asciiTheme="majorHAnsi" w:hAnsiTheme="majorHAnsi"/>
          <w:i/>
          <w:iCs/>
        </w:rPr>
        <w:t>Legionella</w:t>
      </w:r>
      <w:r w:rsidRPr="003C4DDC">
        <w:rPr>
          <w:rFonts w:asciiTheme="majorHAnsi" w:hAnsiTheme="majorHAnsi"/>
        </w:rPr>
        <w:t xml:space="preserve"> in a location in which a confirm</w:t>
      </w:r>
      <w:r>
        <w:rPr>
          <w:rFonts w:asciiTheme="majorHAnsi" w:hAnsiTheme="majorHAnsi"/>
        </w:rPr>
        <w:t xml:space="preserve">ed </w:t>
      </w:r>
      <w:r w:rsidRPr="003C4DDC">
        <w:rPr>
          <w:rFonts w:asciiTheme="majorHAnsi" w:hAnsiTheme="majorHAnsi"/>
        </w:rPr>
        <w:t>or suspected case has occurred.</w:t>
      </w:r>
      <w:r>
        <w:rPr>
          <w:rFonts w:asciiTheme="majorHAnsi" w:hAnsiTheme="majorHAnsi"/>
        </w:rPr>
        <w:t xml:space="preserve"> This can potentially encompass a larger number of people depending on the size and type of facility. Involved persons could include, for instance, guests, patients, employees, contractors, vendors, visitors, and others.</w:t>
      </w:r>
    </w:p>
    <w:p w14:paraId="3EDA6DB7" w14:textId="77777777" w:rsidR="008B13C9" w:rsidRPr="003C4DDC" w:rsidRDefault="008B13C9" w:rsidP="008B13C9">
      <w:pPr>
        <w:pStyle w:val="ListParagraph"/>
        <w:numPr>
          <w:ilvl w:val="0"/>
          <w:numId w:val="25"/>
        </w:numPr>
        <w:spacing w:after="120" w:line="360" w:lineRule="auto"/>
        <w:contextualSpacing w:val="0"/>
        <w:rPr>
          <w:rFonts w:asciiTheme="majorHAnsi" w:hAnsiTheme="majorHAnsi"/>
        </w:rPr>
      </w:pPr>
      <w:r w:rsidRPr="003C4DDC">
        <w:rPr>
          <w:rFonts w:asciiTheme="majorHAnsi" w:hAnsiTheme="majorHAnsi"/>
          <w:b/>
          <w:bCs/>
        </w:rPr>
        <w:t>Healthcare providers and facilities</w:t>
      </w:r>
      <w:r w:rsidRPr="003C4DDC">
        <w:rPr>
          <w:rFonts w:asciiTheme="majorHAnsi" w:hAnsiTheme="majorHAnsi"/>
        </w:rPr>
        <w:t xml:space="preserve"> — </w:t>
      </w:r>
      <w:r>
        <w:rPr>
          <w:rFonts w:asciiTheme="majorHAnsi" w:hAnsiTheme="majorHAnsi"/>
        </w:rPr>
        <w:t xml:space="preserve">Communicating with medical professionals can increase their ability to identify, diagnose, and report persons with LD. Public health agencies can notify healthcare providers when an LD outbreak is being investigated to inform them to consider LD as a possible diagnosis if a patient presents with clinically compatible symptoms. This is particularly true in areas in which LD is uncommon or infrequently diagnosed. </w:t>
      </w:r>
    </w:p>
    <w:p w14:paraId="5CAFD833" w14:textId="77777777" w:rsidR="008B13C9" w:rsidRPr="003C4DDC" w:rsidRDefault="008B13C9" w:rsidP="008B13C9">
      <w:pPr>
        <w:pStyle w:val="ListParagraph"/>
        <w:numPr>
          <w:ilvl w:val="0"/>
          <w:numId w:val="25"/>
        </w:numPr>
        <w:spacing w:after="120" w:line="360" w:lineRule="auto"/>
        <w:contextualSpacing w:val="0"/>
        <w:rPr>
          <w:rFonts w:asciiTheme="majorHAnsi" w:hAnsiTheme="majorHAnsi"/>
          <w:b/>
          <w:bCs/>
        </w:rPr>
      </w:pPr>
      <w:r w:rsidRPr="003C4DDC">
        <w:rPr>
          <w:rFonts w:asciiTheme="majorHAnsi" w:hAnsiTheme="majorHAnsi"/>
          <w:b/>
          <w:bCs/>
        </w:rPr>
        <w:lastRenderedPageBreak/>
        <w:t xml:space="preserve">Other agencies and governments — </w:t>
      </w:r>
      <w:r w:rsidRPr="003C4DDC">
        <w:rPr>
          <w:rFonts w:asciiTheme="majorHAnsi" w:hAnsiTheme="majorHAnsi"/>
        </w:rPr>
        <w:t xml:space="preserve">Because LD can arise in multiple settings, other governmental agencies or divisions may have legal authority over </w:t>
      </w:r>
      <w:r>
        <w:rPr>
          <w:rFonts w:asciiTheme="majorHAnsi" w:hAnsiTheme="majorHAnsi"/>
        </w:rPr>
        <w:t xml:space="preserve">or other interest in </w:t>
      </w:r>
      <w:r w:rsidRPr="003C4DDC">
        <w:rPr>
          <w:rFonts w:asciiTheme="majorHAnsi" w:hAnsiTheme="majorHAnsi"/>
        </w:rPr>
        <w:t>systems or facilities involved or implicated in an outbreak. Coordination among local, regional, state, and federal agencies can enhance the investigation and response to the outbreak.</w:t>
      </w:r>
      <w:r>
        <w:rPr>
          <w:rFonts w:asciiTheme="majorHAnsi" w:hAnsiTheme="majorHAnsi"/>
        </w:rPr>
        <w:t xml:space="preserve"> In outbreaks occurring in more than one jurisdiction or in which a person is diagnosed with LD after staying at a facility in another jurisdiction, sharing information with other jurisdictions will allow for follow-up with the facility where the exposure likely </w:t>
      </w:r>
      <w:proofErr w:type="spellStart"/>
      <w:r>
        <w:rPr>
          <w:rFonts w:asciiTheme="majorHAnsi" w:hAnsiTheme="majorHAnsi"/>
        </w:rPr>
        <w:t>occured</w:t>
      </w:r>
      <w:proofErr w:type="spellEnd"/>
      <w:r>
        <w:rPr>
          <w:rFonts w:asciiTheme="majorHAnsi" w:hAnsiTheme="majorHAnsi"/>
        </w:rPr>
        <w:t>.</w:t>
      </w:r>
      <w:r w:rsidRPr="003C4DDC">
        <w:rPr>
          <w:rFonts w:asciiTheme="majorHAnsi" w:hAnsiTheme="majorHAnsi"/>
        </w:rPr>
        <w:t xml:space="preserve"> Establishing procedures for keeping other public health agencies informed may</w:t>
      </w:r>
      <w:r>
        <w:rPr>
          <w:rFonts w:asciiTheme="majorHAnsi" w:hAnsiTheme="majorHAnsi"/>
        </w:rPr>
        <w:t xml:space="preserve"> </w:t>
      </w:r>
      <w:r w:rsidRPr="003C4DDC">
        <w:rPr>
          <w:rFonts w:asciiTheme="majorHAnsi" w:hAnsiTheme="majorHAnsi"/>
        </w:rPr>
        <w:t>also be part of the communication strategy.</w:t>
      </w:r>
    </w:p>
    <w:p w14:paraId="61060ABF" w14:textId="77777777" w:rsidR="008B13C9" w:rsidRPr="003C4DDC" w:rsidRDefault="008B13C9" w:rsidP="008B13C9">
      <w:pPr>
        <w:pStyle w:val="ListParagraph"/>
        <w:numPr>
          <w:ilvl w:val="0"/>
          <w:numId w:val="25"/>
        </w:numPr>
        <w:spacing w:line="360" w:lineRule="auto"/>
        <w:rPr>
          <w:rFonts w:asciiTheme="majorHAnsi" w:hAnsiTheme="majorHAnsi"/>
          <w:b/>
          <w:bCs/>
        </w:rPr>
      </w:pPr>
      <w:r w:rsidRPr="003C4DDC">
        <w:rPr>
          <w:rFonts w:asciiTheme="majorHAnsi" w:hAnsiTheme="majorHAnsi" w:cstheme="majorHAnsi"/>
          <w:b/>
          <w:bCs/>
        </w:rPr>
        <w:t>Media and the public —</w:t>
      </w:r>
      <w:r w:rsidRPr="005936F7">
        <w:rPr>
          <w:rFonts w:asciiTheme="majorHAnsi" w:hAnsiTheme="majorHAnsi" w:cstheme="majorHAnsi"/>
        </w:rPr>
        <w:t>LD outbreaks</w:t>
      </w:r>
      <w:r>
        <w:rPr>
          <w:rFonts w:asciiTheme="majorHAnsi" w:hAnsiTheme="majorHAnsi" w:cstheme="majorHAnsi"/>
        </w:rPr>
        <w:t xml:space="preserve"> </w:t>
      </w:r>
      <w:r w:rsidRPr="005936F7">
        <w:rPr>
          <w:rFonts w:asciiTheme="majorHAnsi" w:hAnsiTheme="majorHAnsi" w:cstheme="majorHAnsi"/>
        </w:rPr>
        <w:t>can result in extensive media attention and public interest</w:t>
      </w:r>
      <w:r>
        <w:rPr>
          <w:rFonts w:asciiTheme="majorHAnsi" w:hAnsiTheme="majorHAnsi" w:cstheme="majorHAnsi"/>
        </w:rPr>
        <w:t xml:space="preserve"> regardless of size or setting. Id</w:t>
      </w:r>
      <w:r w:rsidRPr="003C4DDC">
        <w:rPr>
          <w:rFonts w:asciiTheme="majorHAnsi" w:hAnsiTheme="majorHAnsi"/>
        </w:rPr>
        <w:t xml:space="preserve">entify the types of media mechanisms that </w:t>
      </w:r>
      <w:r>
        <w:rPr>
          <w:rFonts w:asciiTheme="majorHAnsi" w:hAnsiTheme="majorHAnsi"/>
        </w:rPr>
        <w:t>may</w:t>
      </w:r>
      <w:r w:rsidRPr="003C4DDC">
        <w:rPr>
          <w:rFonts w:asciiTheme="majorHAnsi" w:hAnsiTheme="majorHAnsi"/>
        </w:rPr>
        <w:t xml:space="preserve"> be used (e.g., tv, radio, press, social media) to inform the public and to reach specific audiences. </w:t>
      </w:r>
    </w:p>
    <w:p w14:paraId="3FD722A5" w14:textId="77777777" w:rsidR="008B13C9" w:rsidRPr="003C4DDC" w:rsidRDefault="008B13C9" w:rsidP="008B13C9">
      <w:pPr>
        <w:spacing w:line="360" w:lineRule="auto"/>
        <w:ind w:left="360"/>
        <w:rPr>
          <w:rFonts w:asciiTheme="majorHAnsi" w:hAnsiTheme="majorHAnsi"/>
          <w:b/>
          <w:bCs/>
        </w:rPr>
      </w:pPr>
    </w:p>
    <w:p w14:paraId="3B58E4F1" w14:textId="77777777" w:rsidR="008B13C9" w:rsidRPr="00FF61ED" w:rsidRDefault="008B13C9" w:rsidP="008B13C9">
      <w:pPr>
        <w:spacing w:after="120" w:line="360" w:lineRule="auto"/>
        <w:ind w:left="360"/>
        <w:rPr>
          <w:rFonts w:ascii="Arial" w:hAnsi="Arial" w:cs="Arial"/>
          <w:b/>
          <w:bCs/>
        </w:rPr>
      </w:pPr>
      <w:r w:rsidRPr="00FF61ED">
        <w:rPr>
          <w:rFonts w:ascii="Arial" w:hAnsi="Arial" w:cs="Arial"/>
          <w:b/>
          <w:bCs/>
        </w:rPr>
        <w:t>Develop</w:t>
      </w:r>
      <w:r>
        <w:rPr>
          <w:rFonts w:ascii="Arial" w:hAnsi="Arial" w:cs="Arial"/>
          <w:b/>
          <w:bCs/>
        </w:rPr>
        <w:t>ing</w:t>
      </w:r>
      <w:r w:rsidRPr="00FF61ED">
        <w:rPr>
          <w:rFonts w:ascii="Arial" w:hAnsi="Arial" w:cs="Arial"/>
          <w:b/>
          <w:bCs/>
        </w:rPr>
        <w:t xml:space="preserve"> Messages for Difference Audiences and Scenarios</w:t>
      </w:r>
    </w:p>
    <w:p w14:paraId="5C53B296" w14:textId="77777777" w:rsidR="008B13C9" w:rsidRPr="003C4DDC" w:rsidRDefault="008B13C9" w:rsidP="008B13C9">
      <w:pPr>
        <w:spacing w:line="360" w:lineRule="auto"/>
        <w:ind w:left="360"/>
        <w:rPr>
          <w:rFonts w:asciiTheme="majorHAnsi" w:hAnsiTheme="majorHAnsi"/>
        </w:rPr>
      </w:pPr>
      <w:r w:rsidRPr="003C4DDC">
        <w:rPr>
          <w:rFonts w:asciiTheme="majorHAnsi" w:hAnsiTheme="majorHAnsi"/>
        </w:rPr>
        <w:t xml:space="preserve">Each audience identified in the strategy </w:t>
      </w:r>
      <w:r>
        <w:rPr>
          <w:rFonts w:asciiTheme="majorHAnsi" w:hAnsiTheme="majorHAnsi"/>
        </w:rPr>
        <w:t>may</w:t>
      </w:r>
      <w:r w:rsidRPr="003C4DDC">
        <w:rPr>
          <w:rFonts w:asciiTheme="majorHAnsi" w:hAnsiTheme="majorHAnsi"/>
        </w:rPr>
        <w:t xml:space="preserve"> require different messages for various scenarios during </w:t>
      </w:r>
      <w:r>
        <w:rPr>
          <w:rFonts w:asciiTheme="majorHAnsi" w:hAnsiTheme="majorHAnsi"/>
        </w:rPr>
        <w:t>an</w:t>
      </w:r>
      <w:r w:rsidRPr="003C4DDC">
        <w:rPr>
          <w:rFonts w:asciiTheme="majorHAnsi" w:hAnsiTheme="majorHAnsi"/>
        </w:rPr>
        <w:t xml:space="preserve"> outbreak. The kinds of information and the level of detail contained in a message can</w:t>
      </w:r>
      <w:r>
        <w:rPr>
          <w:rFonts w:asciiTheme="majorHAnsi" w:hAnsiTheme="majorHAnsi"/>
        </w:rPr>
        <w:t xml:space="preserve"> </w:t>
      </w:r>
      <w:r w:rsidRPr="003C4DDC">
        <w:rPr>
          <w:rFonts w:asciiTheme="majorHAnsi" w:hAnsiTheme="majorHAnsi"/>
        </w:rPr>
        <w:t xml:space="preserve">also vary with the audience. Information provided to </w:t>
      </w:r>
      <w:r>
        <w:rPr>
          <w:rFonts w:asciiTheme="majorHAnsi" w:hAnsiTheme="majorHAnsi"/>
        </w:rPr>
        <w:t xml:space="preserve">a </w:t>
      </w:r>
      <w:r w:rsidRPr="003C4DDC">
        <w:rPr>
          <w:rFonts w:asciiTheme="majorHAnsi" w:hAnsiTheme="majorHAnsi"/>
        </w:rPr>
        <w:t xml:space="preserve">healthcare professional about the specific symptoms and </w:t>
      </w:r>
      <w:r>
        <w:rPr>
          <w:rFonts w:asciiTheme="majorHAnsi" w:hAnsiTheme="majorHAnsi"/>
        </w:rPr>
        <w:t>diagnostic to methods</w:t>
      </w:r>
      <w:r w:rsidRPr="003C4DDC">
        <w:rPr>
          <w:rFonts w:asciiTheme="majorHAnsi" w:hAnsiTheme="majorHAnsi"/>
        </w:rPr>
        <w:t xml:space="preserve"> for LD will </w:t>
      </w:r>
      <w:r>
        <w:rPr>
          <w:rFonts w:asciiTheme="majorHAnsi" w:hAnsiTheme="majorHAnsi"/>
        </w:rPr>
        <w:t>likely</w:t>
      </w:r>
      <w:r w:rsidRPr="003C4DDC">
        <w:rPr>
          <w:rFonts w:asciiTheme="majorHAnsi" w:hAnsiTheme="majorHAnsi"/>
        </w:rPr>
        <w:t xml:space="preserve"> differ from that provided to a layperson being notified about potential exposure.</w:t>
      </w:r>
    </w:p>
    <w:p w14:paraId="11F717CF" w14:textId="77777777" w:rsidR="008B13C9" w:rsidRPr="003C4DDC" w:rsidRDefault="008B13C9" w:rsidP="008B13C9">
      <w:pPr>
        <w:spacing w:line="360" w:lineRule="auto"/>
        <w:ind w:left="360"/>
        <w:rPr>
          <w:rFonts w:asciiTheme="majorHAnsi" w:hAnsiTheme="majorHAnsi"/>
        </w:rPr>
      </w:pPr>
    </w:p>
    <w:p w14:paraId="4F592894" w14:textId="77777777" w:rsidR="008B13C9" w:rsidRPr="003C4DDC" w:rsidRDefault="008B13C9" w:rsidP="008B13C9">
      <w:pPr>
        <w:spacing w:line="360" w:lineRule="auto"/>
        <w:ind w:left="360"/>
        <w:rPr>
          <w:rFonts w:asciiTheme="majorHAnsi" w:hAnsiTheme="majorHAnsi"/>
          <w:b/>
          <w:bCs/>
        </w:rPr>
      </w:pPr>
      <w:r w:rsidRPr="003C4DDC">
        <w:rPr>
          <w:rFonts w:asciiTheme="majorHAnsi" w:hAnsiTheme="majorHAnsi"/>
          <w:b/>
          <w:bCs/>
        </w:rPr>
        <w:t>Notification Letters</w:t>
      </w:r>
    </w:p>
    <w:p w14:paraId="2A76A170" w14:textId="77777777" w:rsidR="008B13C9" w:rsidRPr="003C4DDC" w:rsidRDefault="008B13C9" w:rsidP="008B13C9">
      <w:pPr>
        <w:spacing w:line="360" w:lineRule="auto"/>
        <w:ind w:left="360"/>
        <w:rPr>
          <w:rFonts w:asciiTheme="majorHAnsi" w:hAnsiTheme="majorHAnsi"/>
        </w:rPr>
      </w:pPr>
      <w:r w:rsidRPr="003C4DDC">
        <w:rPr>
          <w:rFonts w:asciiTheme="majorHAnsi" w:hAnsiTheme="majorHAnsi"/>
        </w:rPr>
        <w:t xml:space="preserve">Notification letters are </w:t>
      </w:r>
      <w:r>
        <w:rPr>
          <w:rFonts w:asciiTheme="majorHAnsi" w:hAnsiTheme="majorHAnsi"/>
        </w:rPr>
        <w:t>can be</w:t>
      </w:r>
      <w:r w:rsidRPr="003C4DDC">
        <w:rPr>
          <w:rFonts w:asciiTheme="majorHAnsi" w:hAnsiTheme="majorHAnsi"/>
        </w:rPr>
        <w:t xml:space="preserve"> important tools for providing basic information about LD, as well as specific information about the suspected or confirmed source of </w:t>
      </w:r>
      <w:r>
        <w:rPr>
          <w:rFonts w:asciiTheme="majorHAnsi" w:hAnsiTheme="majorHAnsi"/>
          <w:i/>
          <w:iCs/>
        </w:rPr>
        <w:t>Legionella</w:t>
      </w:r>
      <w:r w:rsidRPr="003C4DDC">
        <w:rPr>
          <w:rFonts w:asciiTheme="majorHAnsi" w:hAnsiTheme="majorHAnsi"/>
        </w:rPr>
        <w:t xml:space="preserve">. These letters </w:t>
      </w:r>
      <w:r>
        <w:rPr>
          <w:rFonts w:asciiTheme="majorHAnsi" w:hAnsiTheme="majorHAnsi"/>
        </w:rPr>
        <w:t>can</w:t>
      </w:r>
      <w:r w:rsidRPr="003C4DDC">
        <w:rPr>
          <w:rFonts w:asciiTheme="majorHAnsi" w:hAnsiTheme="majorHAnsi"/>
        </w:rPr>
        <w:t xml:space="preserve"> also </w:t>
      </w:r>
      <w:r>
        <w:rPr>
          <w:rFonts w:asciiTheme="majorHAnsi" w:hAnsiTheme="majorHAnsi"/>
        </w:rPr>
        <w:t>be</w:t>
      </w:r>
      <w:r w:rsidRPr="003C4DDC">
        <w:rPr>
          <w:rFonts w:asciiTheme="majorHAnsi" w:hAnsiTheme="majorHAnsi"/>
        </w:rPr>
        <w:t xml:space="preserve"> tailored </w:t>
      </w:r>
      <w:r>
        <w:rPr>
          <w:rFonts w:asciiTheme="majorHAnsi" w:hAnsiTheme="majorHAnsi"/>
        </w:rPr>
        <w:t>to</w:t>
      </w:r>
      <w:r w:rsidRPr="003C4DDC">
        <w:rPr>
          <w:rFonts w:asciiTheme="majorHAnsi" w:hAnsiTheme="majorHAnsi"/>
        </w:rPr>
        <w:t xml:space="preserve"> the perspective of the audience</w:t>
      </w:r>
      <w:r>
        <w:rPr>
          <w:rFonts w:asciiTheme="majorHAnsi" w:hAnsiTheme="majorHAnsi"/>
        </w:rPr>
        <w:t>s r</w:t>
      </w:r>
      <w:r w:rsidRPr="003C4DDC">
        <w:rPr>
          <w:rFonts w:asciiTheme="majorHAnsi" w:hAnsiTheme="majorHAnsi"/>
        </w:rPr>
        <w:t>eceiving them (e.g., facility operator, resident at the facility</w:t>
      </w:r>
      <w:r>
        <w:rPr>
          <w:rFonts w:asciiTheme="majorHAnsi" w:hAnsiTheme="majorHAnsi"/>
        </w:rPr>
        <w:t>, etc.</w:t>
      </w:r>
      <w:r w:rsidRPr="003C4DDC">
        <w:rPr>
          <w:rFonts w:asciiTheme="majorHAnsi" w:hAnsiTheme="majorHAnsi"/>
        </w:rPr>
        <w:t xml:space="preserve">). </w:t>
      </w:r>
      <w:r>
        <w:rPr>
          <w:rFonts w:asciiTheme="majorHAnsi" w:hAnsiTheme="majorHAnsi"/>
        </w:rPr>
        <w:t xml:space="preserve">For example, in the case of an LD outbreak at a hotel, prior guests who were exposed to </w:t>
      </w:r>
      <w:r w:rsidRPr="00C60D9B">
        <w:rPr>
          <w:rFonts w:asciiTheme="majorHAnsi" w:hAnsiTheme="majorHAnsi"/>
          <w:i/>
          <w:iCs/>
        </w:rPr>
        <w:t>Legionella</w:t>
      </w:r>
      <w:r>
        <w:rPr>
          <w:rFonts w:asciiTheme="majorHAnsi" w:hAnsiTheme="majorHAnsi"/>
        </w:rPr>
        <w:t xml:space="preserve"> before an outbreak was recognized will likely get a notification letter with some common elements to the one provided to prospective guests staying at the hotel after the outbreak was recognized, but with some information unique to their status. </w:t>
      </w:r>
      <w:r w:rsidRPr="003C4DDC">
        <w:rPr>
          <w:rFonts w:asciiTheme="majorHAnsi" w:hAnsiTheme="majorHAnsi"/>
        </w:rPr>
        <w:t>CDC has summarized key considerations when drafting notification letters (see Box 1).</w:t>
      </w:r>
    </w:p>
    <w:p w14:paraId="241C2034" w14:textId="77777777" w:rsidR="008B13C9" w:rsidRPr="003C4DDC" w:rsidRDefault="008B13C9" w:rsidP="008B13C9">
      <w:pPr>
        <w:spacing w:line="360" w:lineRule="auto"/>
        <w:ind w:left="360"/>
        <w:rPr>
          <w:rFonts w:asciiTheme="majorHAnsi" w:hAnsiTheme="majorHAnsi"/>
        </w:rPr>
      </w:pPr>
    </w:p>
    <w:p w14:paraId="660C2E8D" w14:textId="77777777" w:rsidR="008B13C9" w:rsidRPr="003C4DDC" w:rsidRDefault="008B13C9" w:rsidP="008B13C9">
      <w:pPr>
        <w:keepNext/>
        <w:spacing w:line="360" w:lineRule="auto"/>
        <w:ind w:left="360"/>
        <w:rPr>
          <w:rFonts w:asciiTheme="majorHAnsi" w:hAnsiTheme="majorHAnsi"/>
          <w:b/>
          <w:bCs/>
        </w:rPr>
      </w:pPr>
      <w:r w:rsidRPr="003C4DDC">
        <w:rPr>
          <w:rFonts w:asciiTheme="majorHAnsi" w:hAnsiTheme="majorHAnsi"/>
          <w:b/>
          <w:bCs/>
        </w:rPr>
        <w:lastRenderedPageBreak/>
        <w:t>Factsheets and FAQs</w:t>
      </w:r>
    </w:p>
    <w:p w14:paraId="7C62B1E2" w14:textId="77777777" w:rsidR="008B13C9" w:rsidRPr="003C4DDC" w:rsidRDefault="008B13C9" w:rsidP="008B13C9">
      <w:pPr>
        <w:spacing w:line="360" w:lineRule="auto"/>
        <w:ind w:left="360"/>
        <w:rPr>
          <w:rFonts w:asciiTheme="majorHAnsi" w:hAnsiTheme="majorHAnsi"/>
        </w:rPr>
      </w:pPr>
      <w:r>
        <w:rPr>
          <w:noProof/>
        </w:rPr>
        <mc:AlternateContent>
          <mc:Choice Requires="wps">
            <w:drawing>
              <wp:anchor distT="45720" distB="45720" distL="114300" distR="114300" simplePos="0" relativeHeight="251670528" behindDoc="0" locked="0" layoutInCell="1" allowOverlap="1" wp14:anchorId="72513A04" wp14:editId="312BA6B6">
                <wp:simplePos x="0" y="0"/>
                <wp:positionH relativeFrom="margin">
                  <wp:align>center</wp:align>
                </wp:positionH>
                <wp:positionV relativeFrom="paragraph">
                  <wp:posOffset>1649730</wp:posOffset>
                </wp:positionV>
                <wp:extent cx="5806440" cy="4928616"/>
                <wp:effectExtent l="0" t="0" r="22860" b="24765"/>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4928616"/>
                        </a:xfrm>
                        <a:prstGeom prst="rect">
                          <a:avLst/>
                        </a:prstGeom>
                        <a:solidFill>
                          <a:srgbClr val="FFFFFF"/>
                        </a:solidFill>
                        <a:ln w="9525">
                          <a:solidFill>
                            <a:srgbClr val="000000"/>
                          </a:solidFill>
                          <a:miter lim="800000"/>
                          <a:headEnd/>
                          <a:tailEnd/>
                        </a:ln>
                      </wps:spPr>
                      <wps:txbx>
                        <w:txbxContent>
                          <w:p w14:paraId="6E0E9544" w14:textId="77777777" w:rsidR="00A318FA" w:rsidRPr="008F7FF9" w:rsidRDefault="00A318FA" w:rsidP="008B13C9">
                            <w:pPr>
                              <w:spacing w:before="120"/>
                              <w:jc w:val="center"/>
                              <w:rPr>
                                <w:rFonts w:ascii="Arial" w:hAnsi="Arial" w:cs="Arial"/>
                                <w:b/>
                                <w:bCs/>
                                <w:sz w:val="18"/>
                                <w:szCs w:val="18"/>
                              </w:rPr>
                            </w:pPr>
                            <w:r>
                              <w:rPr>
                                <w:rFonts w:ascii="Arial" w:hAnsi="Arial" w:cs="Arial"/>
                                <w:b/>
                                <w:bCs/>
                                <w:sz w:val="18"/>
                                <w:szCs w:val="18"/>
                              </w:rPr>
                              <w:t>BOX 1</w:t>
                            </w:r>
                          </w:p>
                          <w:p w14:paraId="4081561A" w14:textId="77777777" w:rsidR="00A318FA" w:rsidRPr="007133A1" w:rsidRDefault="00A318FA" w:rsidP="008B13C9">
                            <w:pPr>
                              <w:spacing w:before="120"/>
                              <w:jc w:val="center"/>
                              <w:rPr>
                                <w:rFonts w:ascii="Arial" w:hAnsi="Arial" w:cs="Arial"/>
                                <w:b/>
                                <w:bCs/>
                                <w:sz w:val="18"/>
                                <w:szCs w:val="18"/>
                              </w:rPr>
                            </w:pPr>
                            <w:r w:rsidRPr="007133A1">
                              <w:rPr>
                                <w:rFonts w:ascii="Arial" w:hAnsi="Arial" w:cs="Arial"/>
                                <w:b/>
                                <w:bCs/>
                                <w:i/>
                                <w:iCs/>
                                <w:sz w:val="18"/>
                                <w:szCs w:val="18"/>
                              </w:rPr>
                              <w:t>Legionella</w:t>
                            </w:r>
                            <w:r w:rsidRPr="007133A1">
                              <w:rPr>
                                <w:rFonts w:ascii="Arial" w:hAnsi="Arial" w:cs="Arial"/>
                                <w:b/>
                                <w:bCs/>
                                <w:sz w:val="18"/>
                                <w:szCs w:val="18"/>
                              </w:rPr>
                              <w:t xml:space="preserve"> Notification Letter</w:t>
                            </w:r>
                            <w:r>
                              <w:rPr>
                                <w:rFonts w:ascii="Arial" w:hAnsi="Arial" w:cs="Arial"/>
                                <w:b/>
                                <w:bCs/>
                                <w:sz w:val="18"/>
                                <w:szCs w:val="18"/>
                              </w:rPr>
                              <w:t>s</w:t>
                            </w:r>
                          </w:p>
                          <w:p w14:paraId="3CD0FBC9" w14:textId="77777777" w:rsidR="00A318FA" w:rsidRDefault="00A318FA" w:rsidP="008B13C9">
                            <w:pPr>
                              <w:jc w:val="center"/>
                              <w:rPr>
                                <w:rFonts w:ascii="Arial" w:hAnsi="Arial" w:cs="Arial"/>
                                <w:i/>
                                <w:iCs/>
                                <w:sz w:val="18"/>
                                <w:szCs w:val="18"/>
                              </w:rPr>
                            </w:pPr>
                          </w:p>
                          <w:p w14:paraId="38582DC7" w14:textId="77777777" w:rsidR="00A318FA" w:rsidRPr="000D70D8" w:rsidRDefault="00A318FA" w:rsidP="008B13C9">
                            <w:pPr>
                              <w:jc w:val="center"/>
                              <w:rPr>
                                <w:rFonts w:ascii="Arial" w:hAnsi="Arial" w:cs="Arial"/>
                                <w:sz w:val="18"/>
                                <w:szCs w:val="18"/>
                              </w:rPr>
                            </w:pPr>
                            <w:r>
                              <w:rPr>
                                <w:rFonts w:ascii="Arial" w:hAnsi="Arial" w:cs="Arial"/>
                                <w:i/>
                                <w:iCs/>
                                <w:sz w:val="18"/>
                                <w:szCs w:val="18"/>
                              </w:rPr>
                              <w:t>(</w:t>
                            </w:r>
                            <w:r w:rsidRPr="00C94393">
                              <w:rPr>
                                <w:rFonts w:ascii="Arial" w:hAnsi="Arial" w:cs="Arial"/>
                                <w:i/>
                                <w:iCs/>
                                <w:sz w:val="18"/>
                                <w:szCs w:val="18"/>
                              </w:rPr>
                              <w:t>Excerpted from</w:t>
                            </w:r>
                            <w:r>
                              <w:rPr>
                                <w:rFonts w:ascii="Arial" w:hAnsi="Arial" w:cs="Arial"/>
                                <w:sz w:val="18"/>
                                <w:szCs w:val="18"/>
                              </w:rPr>
                              <w:t xml:space="preserve"> CDC Legionella Communication Resources </w:t>
                            </w:r>
                            <w:proofErr w:type="spellStart"/>
                            <w:r>
                              <w:rPr>
                                <w:rFonts w:ascii="Arial" w:hAnsi="Arial" w:cs="Arial"/>
                                <w:sz w:val="18"/>
                                <w:szCs w:val="18"/>
                              </w:rPr>
                              <w:t>website</w:t>
                            </w:r>
                            <w:r>
                              <w:rPr>
                                <w:rFonts w:ascii="Arial" w:hAnsi="Arial" w:cs="Arial"/>
                                <w:sz w:val="18"/>
                                <w:szCs w:val="18"/>
                                <w:vertAlign w:val="superscript"/>
                              </w:rPr>
                              <w:t>i</w:t>
                            </w:r>
                            <w:proofErr w:type="spellEnd"/>
                            <w:r>
                              <w:rPr>
                                <w:rFonts w:ascii="Arial" w:hAnsi="Arial" w:cs="Arial"/>
                                <w:sz w:val="18"/>
                                <w:szCs w:val="18"/>
                              </w:rPr>
                              <w:t>)</w:t>
                            </w:r>
                          </w:p>
                          <w:p w14:paraId="29E10A61" w14:textId="77777777" w:rsidR="00A318FA" w:rsidRDefault="00A318FA" w:rsidP="008B13C9">
                            <w:pPr>
                              <w:rPr>
                                <w:rFonts w:ascii="Arial" w:hAnsi="Arial" w:cs="Arial"/>
                                <w:sz w:val="18"/>
                                <w:szCs w:val="18"/>
                              </w:rPr>
                            </w:pPr>
                          </w:p>
                          <w:p w14:paraId="3957F1F9" w14:textId="77777777" w:rsidR="00A318FA" w:rsidRPr="00584402" w:rsidRDefault="00A318FA" w:rsidP="008B13C9">
                            <w:pPr>
                              <w:spacing w:after="40"/>
                              <w:rPr>
                                <w:rFonts w:ascii="Arial" w:hAnsi="Arial" w:cs="Arial"/>
                                <w:sz w:val="18"/>
                                <w:szCs w:val="18"/>
                              </w:rPr>
                            </w:pPr>
                            <w:r w:rsidRPr="002C6186">
                              <w:rPr>
                                <w:rFonts w:ascii="Arial" w:hAnsi="Arial" w:cs="Arial"/>
                                <w:sz w:val="18"/>
                                <w:szCs w:val="18"/>
                              </w:rPr>
                              <w:t>In notification letters, you want to convey what you know about the situation, who is at risk, and what you are doing to protect against further illness. Consider addressing the following elements when drafting notification letters:</w:t>
                            </w:r>
                          </w:p>
                          <w:p w14:paraId="7DEAA2E9" w14:textId="77777777" w:rsidR="00A318FA" w:rsidRDefault="00A318FA" w:rsidP="008B13C9">
                            <w:pPr>
                              <w:pStyle w:val="ListParagraph"/>
                              <w:numPr>
                                <w:ilvl w:val="0"/>
                                <w:numId w:val="26"/>
                              </w:numPr>
                              <w:spacing w:after="40"/>
                              <w:contextualSpacing w:val="0"/>
                              <w:rPr>
                                <w:rFonts w:ascii="Arial" w:hAnsi="Arial" w:cs="Arial"/>
                                <w:sz w:val="18"/>
                                <w:szCs w:val="18"/>
                              </w:rPr>
                            </w:pPr>
                            <w:r w:rsidRPr="007217FD">
                              <w:rPr>
                                <w:rFonts w:ascii="Arial" w:hAnsi="Arial" w:cs="Arial"/>
                                <w:sz w:val="18"/>
                                <w:szCs w:val="18"/>
                              </w:rPr>
                              <w:t>Who is the intended audience (i.e., hotel/travel accommodation guests, healthcare facility staff, patients and their families, community members)?</w:t>
                            </w:r>
                          </w:p>
                          <w:p w14:paraId="2D78D376" w14:textId="77777777" w:rsidR="00A318FA" w:rsidRDefault="00A318FA" w:rsidP="008B13C9">
                            <w:pPr>
                              <w:pStyle w:val="ListParagraph"/>
                              <w:numPr>
                                <w:ilvl w:val="0"/>
                                <w:numId w:val="26"/>
                              </w:numPr>
                              <w:rPr>
                                <w:rFonts w:ascii="Arial" w:hAnsi="Arial" w:cs="Arial"/>
                                <w:sz w:val="18"/>
                                <w:szCs w:val="18"/>
                              </w:rPr>
                            </w:pPr>
                            <w:r w:rsidRPr="007217FD">
                              <w:rPr>
                                <w:rFonts w:ascii="Arial" w:hAnsi="Arial" w:cs="Arial"/>
                                <w:sz w:val="18"/>
                                <w:szCs w:val="18"/>
                              </w:rPr>
                              <w:t>What do you know about the case exposures (i.e., does the available epidemiologic information point to a given setting or device as the source of exposure)?</w:t>
                            </w:r>
                          </w:p>
                          <w:p w14:paraId="0F551170" w14:textId="77777777" w:rsidR="00A318FA" w:rsidRDefault="00A318FA" w:rsidP="008B13C9">
                            <w:pPr>
                              <w:pStyle w:val="ListParagraph"/>
                              <w:numPr>
                                <w:ilvl w:val="1"/>
                                <w:numId w:val="26"/>
                              </w:numPr>
                              <w:rPr>
                                <w:rFonts w:ascii="Arial" w:hAnsi="Arial" w:cs="Arial"/>
                                <w:sz w:val="18"/>
                                <w:szCs w:val="18"/>
                              </w:rPr>
                            </w:pPr>
                            <w:r w:rsidRPr="007217FD">
                              <w:rPr>
                                <w:rFonts w:ascii="Arial" w:hAnsi="Arial" w:cs="Arial"/>
                                <w:sz w:val="18"/>
                                <w:szCs w:val="18"/>
                              </w:rPr>
                              <w:t>How many cases have common exposures?</w:t>
                            </w:r>
                          </w:p>
                          <w:p w14:paraId="4D8AB8AC" w14:textId="77777777" w:rsidR="00A318FA" w:rsidRDefault="00A318FA" w:rsidP="008B13C9">
                            <w:pPr>
                              <w:pStyle w:val="ListParagraph"/>
                              <w:numPr>
                                <w:ilvl w:val="1"/>
                                <w:numId w:val="26"/>
                              </w:numPr>
                              <w:rPr>
                                <w:rFonts w:ascii="Arial" w:hAnsi="Arial" w:cs="Arial"/>
                                <w:sz w:val="18"/>
                                <w:szCs w:val="18"/>
                              </w:rPr>
                            </w:pPr>
                            <w:r w:rsidRPr="007217FD">
                              <w:rPr>
                                <w:rFonts w:ascii="Arial" w:hAnsi="Arial" w:cs="Arial"/>
                                <w:sz w:val="18"/>
                                <w:szCs w:val="18"/>
                              </w:rPr>
                              <w:t>What type of exposures are potentially implicated?</w:t>
                            </w:r>
                          </w:p>
                          <w:p w14:paraId="5DDB8728" w14:textId="77777777" w:rsidR="00A318FA" w:rsidRDefault="00A318FA" w:rsidP="008B13C9">
                            <w:pPr>
                              <w:pStyle w:val="ListParagraph"/>
                              <w:numPr>
                                <w:ilvl w:val="1"/>
                                <w:numId w:val="26"/>
                              </w:numPr>
                              <w:spacing w:after="40"/>
                              <w:contextualSpacing w:val="0"/>
                              <w:rPr>
                                <w:rFonts w:ascii="Arial" w:hAnsi="Arial" w:cs="Arial"/>
                                <w:sz w:val="18"/>
                                <w:szCs w:val="18"/>
                              </w:rPr>
                            </w:pPr>
                            <w:r w:rsidRPr="007217FD">
                              <w:rPr>
                                <w:rFonts w:ascii="Arial" w:hAnsi="Arial" w:cs="Arial"/>
                                <w:sz w:val="18"/>
                                <w:szCs w:val="18"/>
                              </w:rPr>
                              <w:t>How tightly clustered in time were the cases?</w:t>
                            </w:r>
                          </w:p>
                          <w:p w14:paraId="49DD0038" w14:textId="77777777" w:rsidR="00A318FA" w:rsidRDefault="00A318FA" w:rsidP="008B13C9">
                            <w:pPr>
                              <w:pStyle w:val="ListParagraph"/>
                              <w:numPr>
                                <w:ilvl w:val="0"/>
                                <w:numId w:val="26"/>
                              </w:numPr>
                              <w:rPr>
                                <w:rFonts w:ascii="Arial" w:hAnsi="Arial" w:cs="Arial"/>
                                <w:sz w:val="18"/>
                                <w:szCs w:val="18"/>
                              </w:rPr>
                            </w:pPr>
                            <w:r w:rsidRPr="007217FD">
                              <w:rPr>
                                <w:rFonts w:ascii="Arial" w:hAnsi="Arial" w:cs="Arial"/>
                                <w:sz w:val="18"/>
                                <w:szCs w:val="18"/>
                              </w:rPr>
                              <w:t>What do you know about the environment (i.e., the level of certainty that the implicated setting was the source of exposure)?</w:t>
                            </w:r>
                          </w:p>
                          <w:p w14:paraId="3E5E3365" w14:textId="77777777" w:rsidR="00A318FA" w:rsidRDefault="00A318FA" w:rsidP="008B13C9">
                            <w:pPr>
                              <w:pStyle w:val="ListParagraph"/>
                              <w:numPr>
                                <w:ilvl w:val="1"/>
                                <w:numId w:val="26"/>
                              </w:numPr>
                              <w:rPr>
                                <w:rFonts w:ascii="Arial" w:hAnsi="Arial" w:cs="Arial"/>
                                <w:sz w:val="18"/>
                                <w:szCs w:val="18"/>
                              </w:rPr>
                            </w:pPr>
                            <w:r w:rsidRPr="007217FD">
                              <w:rPr>
                                <w:rFonts w:ascii="Arial" w:hAnsi="Arial" w:cs="Arial"/>
                                <w:sz w:val="18"/>
                                <w:szCs w:val="18"/>
                              </w:rPr>
                              <w:t>Have you already performed environmental sampling? Were any samples positive for Legionella?</w:t>
                            </w:r>
                          </w:p>
                          <w:p w14:paraId="3EE6755F" w14:textId="77777777" w:rsidR="00A318FA" w:rsidRDefault="00A318FA" w:rsidP="008B13C9">
                            <w:pPr>
                              <w:pStyle w:val="ListParagraph"/>
                              <w:numPr>
                                <w:ilvl w:val="1"/>
                                <w:numId w:val="26"/>
                              </w:numPr>
                              <w:spacing w:after="40"/>
                              <w:contextualSpacing w:val="0"/>
                              <w:rPr>
                                <w:rFonts w:ascii="Arial" w:hAnsi="Arial" w:cs="Arial"/>
                                <w:sz w:val="18"/>
                                <w:szCs w:val="18"/>
                              </w:rPr>
                            </w:pPr>
                            <w:r w:rsidRPr="007217FD">
                              <w:rPr>
                                <w:rFonts w:ascii="Arial" w:hAnsi="Arial" w:cs="Arial"/>
                                <w:sz w:val="18"/>
                                <w:szCs w:val="18"/>
                              </w:rPr>
                              <w:t>Have you already obtained and characterized clinical and environmental isolates in order to confirm the exposure source?</w:t>
                            </w:r>
                          </w:p>
                          <w:p w14:paraId="2A318286" w14:textId="77777777" w:rsidR="00A318FA" w:rsidRDefault="00A318FA" w:rsidP="008B13C9">
                            <w:pPr>
                              <w:pStyle w:val="ListParagraph"/>
                              <w:numPr>
                                <w:ilvl w:val="0"/>
                                <w:numId w:val="26"/>
                              </w:numPr>
                              <w:spacing w:after="40"/>
                              <w:contextualSpacing w:val="0"/>
                              <w:rPr>
                                <w:rFonts w:ascii="Arial" w:hAnsi="Arial" w:cs="Arial"/>
                                <w:sz w:val="18"/>
                                <w:szCs w:val="18"/>
                              </w:rPr>
                            </w:pPr>
                            <w:r w:rsidRPr="007217FD">
                              <w:rPr>
                                <w:rFonts w:ascii="Arial" w:hAnsi="Arial" w:cs="Arial"/>
                                <w:sz w:val="18"/>
                                <w:szCs w:val="18"/>
                              </w:rPr>
                              <w:t>What measures have been taken so far or will be taken to prevent further cases (e.g., shutting down/draining hot tubs, remediating the hot water system, water restrictions, installation of point-of-use filters)?</w:t>
                            </w:r>
                          </w:p>
                          <w:p w14:paraId="48690D52" w14:textId="77777777" w:rsidR="00A318FA" w:rsidRPr="007217FD" w:rsidRDefault="00A318FA" w:rsidP="008B13C9">
                            <w:pPr>
                              <w:pStyle w:val="ListParagraph"/>
                              <w:numPr>
                                <w:ilvl w:val="0"/>
                                <w:numId w:val="26"/>
                              </w:numPr>
                              <w:spacing w:after="40"/>
                              <w:contextualSpacing w:val="0"/>
                              <w:rPr>
                                <w:rFonts w:ascii="Arial" w:hAnsi="Arial" w:cs="Arial"/>
                                <w:sz w:val="18"/>
                                <w:szCs w:val="18"/>
                              </w:rPr>
                            </w:pPr>
                            <w:r w:rsidRPr="007217FD">
                              <w:rPr>
                                <w:rFonts w:ascii="Arial" w:hAnsi="Arial" w:cs="Arial"/>
                                <w:sz w:val="18"/>
                                <w:szCs w:val="18"/>
                              </w:rPr>
                              <w:t>How can those at risk protect themselves (i.e., who is at increased risk, how is it spread and treated, where can more information be found [include contact information for the appropriate public health jurisdiction])?</w:t>
                            </w:r>
                          </w:p>
                          <w:p w14:paraId="0130D6F0" w14:textId="77777777" w:rsidR="00A318FA" w:rsidRPr="00584402" w:rsidRDefault="00A318FA" w:rsidP="008B13C9">
                            <w:pPr>
                              <w:spacing w:after="40"/>
                              <w:rPr>
                                <w:rFonts w:ascii="Arial" w:hAnsi="Arial" w:cs="Arial"/>
                                <w:sz w:val="18"/>
                                <w:szCs w:val="18"/>
                              </w:rPr>
                            </w:pPr>
                            <w:r w:rsidRPr="00584402">
                              <w:rPr>
                                <w:rFonts w:ascii="Arial" w:hAnsi="Arial" w:cs="Arial"/>
                                <w:sz w:val="18"/>
                                <w:szCs w:val="18"/>
                              </w:rPr>
                              <w:t>For travel outbreaks, consider</w:t>
                            </w:r>
                          </w:p>
                          <w:p w14:paraId="49B267FD" w14:textId="77777777" w:rsidR="00A318FA" w:rsidRDefault="00A318FA" w:rsidP="008B13C9">
                            <w:pPr>
                              <w:pStyle w:val="ListParagraph"/>
                              <w:numPr>
                                <w:ilvl w:val="0"/>
                                <w:numId w:val="27"/>
                              </w:numPr>
                              <w:spacing w:after="40"/>
                              <w:contextualSpacing w:val="0"/>
                              <w:rPr>
                                <w:rFonts w:ascii="Arial" w:hAnsi="Arial" w:cs="Arial"/>
                                <w:sz w:val="18"/>
                                <w:szCs w:val="18"/>
                              </w:rPr>
                            </w:pPr>
                            <w:r w:rsidRPr="007217FD">
                              <w:rPr>
                                <w:rFonts w:ascii="Arial" w:hAnsi="Arial" w:cs="Arial"/>
                                <w:sz w:val="18"/>
                                <w:szCs w:val="18"/>
                              </w:rPr>
                              <w:t>Whether past guests who may have unrecognized or incubating infections should be notified about possible exposures that may have already occurred</w:t>
                            </w:r>
                            <w:r>
                              <w:rPr>
                                <w:rFonts w:ascii="Arial" w:hAnsi="Arial" w:cs="Arial"/>
                                <w:sz w:val="18"/>
                                <w:szCs w:val="18"/>
                              </w:rPr>
                              <w:t>.</w:t>
                            </w:r>
                          </w:p>
                          <w:p w14:paraId="5C4C3498" w14:textId="77777777" w:rsidR="00A318FA" w:rsidRPr="007217FD" w:rsidRDefault="00A318FA" w:rsidP="008B13C9">
                            <w:pPr>
                              <w:pStyle w:val="ListParagraph"/>
                              <w:numPr>
                                <w:ilvl w:val="0"/>
                                <w:numId w:val="27"/>
                              </w:numPr>
                              <w:rPr>
                                <w:rFonts w:ascii="Arial" w:hAnsi="Arial" w:cs="Arial"/>
                                <w:sz w:val="18"/>
                                <w:szCs w:val="18"/>
                              </w:rPr>
                            </w:pPr>
                            <w:r w:rsidRPr="007217FD">
                              <w:rPr>
                                <w:rFonts w:ascii="Arial" w:hAnsi="Arial" w:cs="Arial"/>
                                <w:sz w:val="18"/>
                                <w:szCs w:val="18"/>
                              </w:rPr>
                              <w:t>Whether future guests should be notified of the potential for exposure prior to or upon arrival so that they have an opportunity to find another accommodation if they are at increased risk</w:t>
                            </w:r>
                            <w:r>
                              <w:rPr>
                                <w:rFonts w:ascii="Arial" w:hAnsi="Arial" w:cs="Arial"/>
                                <w:sz w:val="18"/>
                                <w:szCs w:val="18"/>
                              </w:rPr>
                              <w:t>.</w:t>
                            </w:r>
                          </w:p>
                          <w:p w14:paraId="728A8ECC" w14:textId="77777777" w:rsidR="00A318FA" w:rsidRDefault="00A318FA" w:rsidP="008B13C9">
                            <w:pPr>
                              <w:rPr>
                                <w:rFonts w:ascii="Arial" w:hAnsi="Arial" w:cs="Arial"/>
                                <w:sz w:val="18"/>
                                <w:szCs w:val="18"/>
                              </w:rPr>
                            </w:pPr>
                          </w:p>
                          <w:p w14:paraId="4895114F" w14:textId="46665660" w:rsidR="00A318FA" w:rsidRPr="00947100" w:rsidRDefault="00A318FA" w:rsidP="008B13C9">
                            <w:pPr>
                              <w:rPr>
                                <w:rFonts w:ascii="Arial" w:hAnsi="Arial" w:cs="Arial"/>
                                <w:i/>
                                <w:iCs/>
                                <w:sz w:val="16"/>
                                <w:szCs w:val="16"/>
                              </w:rPr>
                            </w:pPr>
                            <w:proofErr w:type="spellStart"/>
                            <w:r w:rsidRPr="007217FD">
                              <w:rPr>
                                <w:rFonts w:ascii="Arial" w:hAnsi="Arial" w:cs="Arial"/>
                                <w:i/>
                                <w:iCs/>
                                <w:sz w:val="16"/>
                                <w:szCs w:val="16"/>
                                <w:vertAlign w:val="superscript"/>
                              </w:rPr>
                              <w:t>i</w:t>
                            </w:r>
                            <w:proofErr w:type="spellEnd"/>
                            <w:r w:rsidRPr="007217FD">
                              <w:rPr>
                                <w:rFonts w:ascii="Arial" w:hAnsi="Arial" w:cs="Arial"/>
                                <w:i/>
                                <w:iCs/>
                                <w:sz w:val="16"/>
                                <w:szCs w:val="16"/>
                              </w:rPr>
                              <w:t xml:space="preserve"> </w:t>
                            </w:r>
                            <w:r w:rsidRPr="00947100">
                              <w:rPr>
                                <w:rFonts w:ascii="Arial" w:hAnsi="Arial" w:cs="Arial"/>
                                <w:i/>
                                <w:iCs/>
                                <w:sz w:val="16"/>
                                <w:szCs w:val="16"/>
                              </w:rPr>
                              <w:t xml:space="preserve">Retrieved from </w:t>
                            </w:r>
                            <w:hyperlink r:id="rId53" w:history="1">
                              <w:r w:rsidRPr="00947100">
                                <w:rPr>
                                  <w:rStyle w:val="Hyperlink"/>
                                  <w:rFonts w:ascii="Arial" w:hAnsi="Arial" w:cs="Arial"/>
                                  <w:i/>
                                  <w:iCs/>
                                  <w:sz w:val="16"/>
                                  <w:szCs w:val="16"/>
                                </w:rPr>
                                <w:t>https://www.cdc.gov/legionella/health-depts/comm</w:t>
                              </w:r>
                              <w:r w:rsidRPr="00947100">
                                <w:rPr>
                                  <w:rStyle w:val="Hyperlink"/>
                                  <w:rFonts w:ascii="Arial" w:hAnsi="Arial" w:cs="Arial"/>
                                  <w:i/>
                                  <w:iCs/>
                                  <w:sz w:val="16"/>
                                  <w:szCs w:val="16"/>
                                </w:rPr>
                                <w:t>u</w:t>
                              </w:r>
                              <w:r w:rsidRPr="00947100">
                                <w:rPr>
                                  <w:rStyle w:val="Hyperlink"/>
                                  <w:rFonts w:ascii="Arial" w:hAnsi="Arial" w:cs="Arial"/>
                                  <w:i/>
                                  <w:iCs/>
                                  <w:sz w:val="16"/>
                                  <w:szCs w:val="16"/>
                                </w:rPr>
                                <w:t>nications-resources.html</w:t>
                              </w:r>
                            </w:hyperlink>
                            <w:r w:rsidRPr="00947100">
                              <w:rPr>
                                <w:rFonts w:ascii="Arial" w:hAnsi="Arial" w:cs="Arial"/>
                                <w:i/>
                                <w:iCs/>
                                <w:sz w:val="16"/>
                                <w:szCs w:val="16"/>
                              </w:rPr>
                              <w:t xml:space="preserve">. Accessed </w:t>
                            </w:r>
                            <w:r>
                              <w:rPr>
                                <w:rFonts w:ascii="Arial" w:hAnsi="Arial" w:cs="Arial"/>
                                <w:i/>
                                <w:iCs/>
                                <w:sz w:val="16"/>
                                <w:szCs w:val="16"/>
                              </w:rPr>
                              <w:t>December 16</w:t>
                            </w:r>
                            <w:r w:rsidRPr="00947100">
                              <w:rPr>
                                <w:rFonts w:ascii="Arial" w:hAnsi="Arial" w:cs="Arial"/>
                                <w:i/>
                                <w:iCs/>
                                <w:sz w:val="16"/>
                                <w:szCs w:val="16"/>
                              </w:rPr>
                              <w:t>,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513A04" id="_x0000_s1037" type="#_x0000_t202" style="position:absolute;left:0;text-align:left;margin-left:0;margin-top:129.9pt;width:457.2pt;height:388.1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">
                <v:textbox>
                  <w:txbxContent>
                    <w:p w14:paraId="6E0E9544" w14:textId="77777777" w:rsidR="00A318FA" w:rsidRPr="008F7FF9" w:rsidRDefault="00A318FA" w:rsidP="008B13C9">
                      <w:pPr>
                        <w:spacing w:before="120"/>
                        <w:jc w:val="center"/>
                        <w:rPr>
                          <w:rFonts w:ascii="Arial" w:hAnsi="Arial" w:cs="Arial"/>
                          <w:b/>
                          <w:bCs/>
                          <w:sz w:val="18"/>
                          <w:szCs w:val="18"/>
                        </w:rPr>
                      </w:pPr>
                      <w:r>
                        <w:rPr>
                          <w:rFonts w:ascii="Arial" w:hAnsi="Arial" w:cs="Arial"/>
                          <w:b/>
                          <w:bCs/>
                          <w:sz w:val="18"/>
                          <w:szCs w:val="18"/>
                        </w:rPr>
                        <w:t>BOX 1</w:t>
                      </w:r>
                    </w:p>
                    <w:p w14:paraId="4081561A" w14:textId="77777777" w:rsidR="00A318FA" w:rsidRPr="007133A1" w:rsidRDefault="00A318FA" w:rsidP="008B13C9">
                      <w:pPr>
                        <w:spacing w:before="120"/>
                        <w:jc w:val="center"/>
                        <w:rPr>
                          <w:rFonts w:ascii="Arial" w:hAnsi="Arial" w:cs="Arial"/>
                          <w:b/>
                          <w:bCs/>
                          <w:sz w:val="18"/>
                          <w:szCs w:val="18"/>
                        </w:rPr>
                      </w:pPr>
                      <w:r w:rsidRPr="007133A1">
                        <w:rPr>
                          <w:rFonts w:ascii="Arial" w:hAnsi="Arial" w:cs="Arial"/>
                          <w:b/>
                          <w:bCs/>
                          <w:i/>
                          <w:iCs/>
                          <w:sz w:val="18"/>
                          <w:szCs w:val="18"/>
                        </w:rPr>
                        <w:t>Legionella</w:t>
                      </w:r>
                      <w:r w:rsidRPr="007133A1">
                        <w:rPr>
                          <w:rFonts w:ascii="Arial" w:hAnsi="Arial" w:cs="Arial"/>
                          <w:b/>
                          <w:bCs/>
                          <w:sz w:val="18"/>
                          <w:szCs w:val="18"/>
                        </w:rPr>
                        <w:t xml:space="preserve"> Notification Letter</w:t>
                      </w:r>
                      <w:r>
                        <w:rPr>
                          <w:rFonts w:ascii="Arial" w:hAnsi="Arial" w:cs="Arial"/>
                          <w:b/>
                          <w:bCs/>
                          <w:sz w:val="18"/>
                          <w:szCs w:val="18"/>
                        </w:rPr>
                        <w:t>s</w:t>
                      </w:r>
                    </w:p>
                    <w:p w14:paraId="3CD0FBC9" w14:textId="77777777" w:rsidR="00A318FA" w:rsidRDefault="00A318FA" w:rsidP="008B13C9">
                      <w:pPr>
                        <w:jc w:val="center"/>
                        <w:rPr>
                          <w:rFonts w:ascii="Arial" w:hAnsi="Arial" w:cs="Arial"/>
                          <w:i/>
                          <w:iCs/>
                          <w:sz w:val="18"/>
                          <w:szCs w:val="18"/>
                        </w:rPr>
                      </w:pPr>
                    </w:p>
                    <w:p w14:paraId="38582DC7" w14:textId="77777777" w:rsidR="00A318FA" w:rsidRPr="000D70D8" w:rsidRDefault="00A318FA" w:rsidP="008B13C9">
                      <w:pPr>
                        <w:jc w:val="center"/>
                        <w:rPr>
                          <w:rFonts w:ascii="Arial" w:hAnsi="Arial" w:cs="Arial"/>
                          <w:sz w:val="18"/>
                          <w:szCs w:val="18"/>
                        </w:rPr>
                      </w:pPr>
                      <w:r>
                        <w:rPr>
                          <w:rFonts w:ascii="Arial" w:hAnsi="Arial" w:cs="Arial"/>
                          <w:i/>
                          <w:iCs/>
                          <w:sz w:val="18"/>
                          <w:szCs w:val="18"/>
                        </w:rPr>
                        <w:t>(</w:t>
                      </w:r>
                      <w:r w:rsidRPr="00C94393">
                        <w:rPr>
                          <w:rFonts w:ascii="Arial" w:hAnsi="Arial" w:cs="Arial"/>
                          <w:i/>
                          <w:iCs/>
                          <w:sz w:val="18"/>
                          <w:szCs w:val="18"/>
                        </w:rPr>
                        <w:t>Excerpted from</w:t>
                      </w:r>
                      <w:r>
                        <w:rPr>
                          <w:rFonts w:ascii="Arial" w:hAnsi="Arial" w:cs="Arial"/>
                          <w:sz w:val="18"/>
                          <w:szCs w:val="18"/>
                        </w:rPr>
                        <w:t xml:space="preserve"> CDC Legionella Communication Resources </w:t>
                      </w:r>
                      <w:proofErr w:type="spellStart"/>
                      <w:r>
                        <w:rPr>
                          <w:rFonts w:ascii="Arial" w:hAnsi="Arial" w:cs="Arial"/>
                          <w:sz w:val="18"/>
                          <w:szCs w:val="18"/>
                        </w:rPr>
                        <w:t>website</w:t>
                      </w:r>
                      <w:r>
                        <w:rPr>
                          <w:rFonts w:ascii="Arial" w:hAnsi="Arial" w:cs="Arial"/>
                          <w:sz w:val="18"/>
                          <w:szCs w:val="18"/>
                          <w:vertAlign w:val="superscript"/>
                        </w:rPr>
                        <w:t>i</w:t>
                      </w:r>
                      <w:proofErr w:type="spellEnd"/>
                      <w:r>
                        <w:rPr>
                          <w:rFonts w:ascii="Arial" w:hAnsi="Arial" w:cs="Arial"/>
                          <w:sz w:val="18"/>
                          <w:szCs w:val="18"/>
                        </w:rPr>
                        <w:t>)</w:t>
                      </w:r>
                    </w:p>
                    <w:p w14:paraId="29E10A61" w14:textId="77777777" w:rsidR="00A318FA" w:rsidRDefault="00A318FA" w:rsidP="008B13C9">
                      <w:pPr>
                        <w:rPr>
                          <w:rFonts w:ascii="Arial" w:hAnsi="Arial" w:cs="Arial"/>
                          <w:sz w:val="18"/>
                          <w:szCs w:val="18"/>
                        </w:rPr>
                      </w:pPr>
                    </w:p>
                    <w:p w14:paraId="3957F1F9" w14:textId="77777777" w:rsidR="00A318FA" w:rsidRPr="00584402" w:rsidRDefault="00A318FA" w:rsidP="008B13C9">
                      <w:pPr>
                        <w:spacing w:after="40"/>
                        <w:rPr>
                          <w:rFonts w:ascii="Arial" w:hAnsi="Arial" w:cs="Arial"/>
                          <w:sz w:val="18"/>
                          <w:szCs w:val="18"/>
                        </w:rPr>
                      </w:pPr>
                      <w:r w:rsidRPr="002C6186">
                        <w:rPr>
                          <w:rFonts w:ascii="Arial" w:hAnsi="Arial" w:cs="Arial"/>
                          <w:sz w:val="18"/>
                          <w:szCs w:val="18"/>
                        </w:rPr>
                        <w:t>In notification letters, you want to convey what you know about the situation, who is at risk, and what you are doing to protect against further illness. Consider addressing the following elements when drafting notification letters:</w:t>
                      </w:r>
                    </w:p>
                    <w:p w14:paraId="7DEAA2E9" w14:textId="77777777" w:rsidR="00A318FA" w:rsidRDefault="00A318FA" w:rsidP="008B13C9">
                      <w:pPr>
                        <w:pStyle w:val="ListParagraph"/>
                        <w:numPr>
                          <w:ilvl w:val="0"/>
                          <w:numId w:val="26"/>
                        </w:numPr>
                        <w:spacing w:after="40"/>
                        <w:contextualSpacing w:val="0"/>
                        <w:rPr>
                          <w:rFonts w:ascii="Arial" w:hAnsi="Arial" w:cs="Arial"/>
                          <w:sz w:val="18"/>
                          <w:szCs w:val="18"/>
                        </w:rPr>
                      </w:pPr>
                      <w:r w:rsidRPr="007217FD">
                        <w:rPr>
                          <w:rFonts w:ascii="Arial" w:hAnsi="Arial" w:cs="Arial"/>
                          <w:sz w:val="18"/>
                          <w:szCs w:val="18"/>
                        </w:rPr>
                        <w:t>Who is the intended audience (i.e., hotel/travel accommodation guests, healthcare facility staff, patients and their families, community members)?</w:t>
                      </w:r>
                    </w:p>
                    <w:p w14:paraId="2D78D376" w14:textId="77777777" w:rsidR="00A318FA" w:rsidRDefault="00A318FA" w:rsidP="008B13C9">
                      <w:pPr>
                        <w:pStyle w:val="ListParagraph"/>
                        <w:numPr>
                          <w:ilvl w:val="0"/>
                          <w:numId w:val="26"/>
                        </w:numPr>
                        <w:rPr>
                          <w:rFonts w:ascii="Arial" w:hAnsi="Arial" w:cs="Arial"/>
                          <w:sz w:val="18"/>
                          <w:szCs w:val="18"/>
                        </w:rPr>
                      </w:pPr>
                      <w:r w:rsidRPr="007217FD">
                        <w:rPr>
                          <w:rFonts w:ascii="Arial" w:hAnsi="Arial" w:cs="Arial"/>
                          <w:sz w:val="18"/>
                          <w:szCs w:val="18"/>
                        </w:rPr>
                        <w:t>What do you know about the case exposures (i.e., does the available epidemiologic information point to a given setting or device as the source of exposure)?</w:t>
                      </w:r>
                    </w:p>
                    <w:p w14:paraId="0F551170" w14:textId="77777777" w:rsidR="00A318FA" w:rsidRDefault="00A318FA" w:rsidP="008B13C9">
                      <w:pPr>
                        <w:pStyle w:val="ListParagraph"/>
                        <w:numPr>
                          <w:ilvl w:val="1"/>
                          <w:numId w:val="26"/>
                        </w:numPr>
                        <w:rPr>
                          <w:rFonts w:ascii="Arial" w:hAnsi="Arial" w:cs="Arial"/>
                          <w:sz w:val="18"/>
                          <w:szCs w:val="18"/>
                        </w:rPr>
                      </w:pPr>
                      <w:r w:rsidRPr="007217FD">
                        <w:rPr>
                          <w:rFonts w:ascii="Arial" w:hAnsi="Arial" w:cs="Arial"/>
                          <w:sz w:val="18"/>
                          <w:szCs w:val="18"/>
                        </w:rPr>
                        <w:t>How many cases have common exposures?</w:t>
                      </w:r>
                    </w:p>
                    <w:p w14:paraId="4D8AB8AC" w14:textId="77777777" w:rsidR="00A318FA" w:rsidRDefault="00A318FA" w:rsidP="008B13C9">
                      <w:pPr>
                        <w:pStyle w:val="ListParagraph"/>
                        <w:numPr>
                          <w:ilvl w:val="1"/>
                          <w:numId w:val="26"/>
                        </w:numPr>
                        <w:rPr>
                          <w:rFonts w:ascii="Arial" w:hAnsi="Arial" w:cs="Arial"/>
                          <w:sz w:val="18"/>
                          <w:szCs w:val="18"/>
                        </w:rPr>
                      </w:pPr>
                      <w:r w:rsidRPr="007217FD">
                        <w:rPr>
                          <w:rFonts w:ascii="Arial" w:hAnsi="Arial" w:cs="Arial"/>
                          <w:sz w:val="18"/>
                          <w:szCs w:val="18"/>
                        </w:rPr>
                        <w:t>What type of exposures are potentially implicated?</w:t>
                      </w:r>
                    </w:p>
                    <w:p w14:paraId="5DDB8728" w14:textId="77777777" w:rsidR="00A318FA" w:rsidRDefault="00A318FA" w:rsidP="008B13C9">
                      <w:pPr>
                        <w:pStyle w:val="ListParagraph"/>
                        <w:numPr>
                          <w:ilvl w:val="1"/>
                          <w:numId w:val="26"/>
                        </w:numPr>
                        <w:spacing w:after="40"/>
                        <w:contextualSpacing w:val="0"/>
                        <w:rPr>
                          <w:rFonts w:ascii="Arial" w:hAnsi="Arial" w:cs="Arial"/>
                          <w:sz w:val="18"/>
                          <w:szCs w:val="18"/>
                        </w:rPr>
                      </w:pPr>
                      <w:r w:rsidRPr="007217FD">
                        <w:rPr>
                          <w:rFonts w:ascii="Arial" w:hAnsi="Arial" w:cs="Arial"/>
                          <w:sz w:val="18"/>
                          <w:szCs w:val="18"/>
                        </w:rPr>
                        <w:t>How tightly clustered in time were the cases?</w:t>
                      </w:r>
                    </w:p>
                    <w:p w14:paraId="49DD0038" w14:textId="77777777" w:rsidR="00A318FA" w:rsidRDefault="00A318FA" w:rsidP="008B13C9">
                      <w:pPr>
                        <w:pStyle w:val="ListParagraph"/>
                        <w:numPr>
                          <w:ilvl w:val="0"/>
                          <w:numId w:val="26"/>
                        </w:numPr>
                        <w:rPr>
                          <w:rFonts w:ascii="Arial" w:hAnsi="Arial" w:cs="Arial"/>
                          <w:sz w:val="18"/>
                          <w:szCs w:val="18"/>
                        </w:rPr>
                      </w:pPr>
                      <w:r w:rsidRPr="007217FD">
                        <w:rPr>
                          <w:rFonts w:ascii="Arial" w:hAnsi="Arial" w:cs="Arial"/>
                          <w:sz w:val="18"/>
                          <w:szCs w:val="18"/>
                        </w:rPr>
                        <w:t>What do you know about the environment (i.e., the level of certainty that the implicated setting was the source of exposure)?</w:t>
                      </w:r>
                    </w:p>
                    <w:p w14:paraId="3E5E3365" w14:textId="77777777" w:rsidR="00A318FA" w:rsidRDefault="00A318FA" w:rsidP="008B13C9">
                      <w:pPr>
                        <w:pStyle w:val="ListParagraph"/>
                        <w:numPr>
                          <w:ilvl w:val="1"/>
                          <w:numId w:val="26"/>
                        </w:numPr>
                        <w:rPr>
                          <w:rFonts w:ascii="Arial" w:hAnsi="Arial" w:cs="Arial"/>
                          <w:sz w:val="18"/>
                          <w:szCs w:val="18"/>
                        </w:rPr>
                      </w:pPr>
                      <w:r w:rsidRPr="007217FD">
                        <w:rPr>
                          <w:rFonts w:ascii="Arial" w:hAnsi="Arial" w:cs="Arial"/>
                          <w:sz w:val="18"/>
                          <w:szCs w:val="18"/>
                        </w:rPr>
                        <w:t>Have you already performed environmental sampling? Were any samples positive for Legionella?</w:t>
                      </w:r>
                    </w:p>
                    <w:p w14:paraId="3EE6755F" w14:textId="77777777" w:rsidR="00A318FA" w:rsidRDefault="00A318FA" w:rsidP="008B13C9">
                      <w:pPr>
                        <w:pStyle w:val="ListParagraph"/>
                        <w:numPr>
                          <w:ilvl w:val="1"/>
                          <w:numId w:val="26"/>
                        </w:numPr>
                        <w:spacing w:after="40"/>
                        <w:contextualSpacing w:val="0"/>
                        <w:rPr>
                          <w:rFonts w:ascii="Arial" w:hAnsi="Arial" w:cs="Arial"/>
                          <w:sz w:val="18"/>
                          <w:szCs w:val="18"/>
                        </w:rPr>
                      </w:pPr>
                      <w:r w:rsidRPr="007217FD">
                        <w:rPr>
                          <w:rFonts w:ascii="Arial" w:hAnsi="Arial" w:cs="Arial"/>
                          <w:sz w:val="18"/>
                          <w:szCs w:val="18"/>
                        </w:rPr>
                        <w:t>Have you already obtained and characterized clinical and environmental isolates in order to confirm the exposure source?</w:t>
                      </w:r>
                    </w:p>
                    <w:p w14:paraId="2A318286" w14:textId="77777777" w:rsidR="00A318FA" w:rsidRDefault="00A318FA" w:rsidP="008B13C9">
                      <w:pPr>
                        <w:pStyle w:val="ListParagraph"/>
                        <w:numPr>
                          <w:ilvl w:val="0"/>
                          <w:numId w:val="26"/>
                        </w:numPr>
                        <w:spacing w:after="40"/>
                        <w:contextualSpacing w:val="0"/>
                        <w:rPr>
                          <w:rFonts w:ascii="Arial" w:hAnsi="Arial" w:cs="Arial"/>
                          <w:sz w:val="18"/>
                          <w:szCs w:val="18"/>
                        </w:rPr>
                      </w:pPr>
                      <w:r w:rsidRPr="007217FD">
                        <w:rPr>
                          <w:rFonts w:ascii="Arial" w:hAnsi="Arial" w:cs="Arial"/>
                          <w:sz w:val="18"/>
                          <w:szCs w:val="18"/>
                        </w:rPr>
                        <w:t>What measures have been taken so far or will be taken to prevent further cases (e.g., shutting down/draining hot tubs, remediating the hot water system, water restrictions, installation of point-of-use filters)?</w:t>
                      </w:r>
                    </w:p>
                    <w:p w14:paraId="48690D52" w14:textId="77777777" w:rsidR="00A318FA" w:rsidRPr="007217FD" w:rsidRDefault="00A318FA" w:rsidP="008B13C9">
                      <w:pPr>
                        <w:pStyle w:val="ListParagraph"/>
                        <w:numPr>
                          <w:ilvl w:val="0"/>
                          <w:numId w:val="26"/>
                        </w:numPr>
                        <w:spacing w:after="40"/>
                        <w:contextualSpacing w:val="0"/>
                        <w:rPr>
                          <w:rFonts w:ascii="Arial" w:hAnsi="Arial" w:cs="Arial"/>
                          <w:sz w:val="18"/>
                          <w:szCs w:val="18"/>
                        </w:rPr>
                      </w:pPr>
                      <w:r w:rsidRPr="007217FD">
                        <w:rPr>
                          <w:rFonts w:ascii="Arial" w:hAnsi="Arial" w:cs="Arial"/>
                          <w:sz w:val="18"/>
                          <w:szCs w:val="18"/>
                        </w:rPr>
                        <w:t>How can those at risk protect themselves (i.e., who is at increased risk, how is it spread and treated, where can more information be found [include contact information for the appropriate public health jurisdiction])?</w:t>
                      </w:r>
                    </w:p>
                    <w:p w14:paraId="0130D6F0" w14:textId="77777777" w:rsidR="00A318FA" w:rsidRPr="00584402" w:rsidRDefault="00A318FA" w:rsidP="008B13C9">
                      <w:pPr>
                        <w:spacing w:after="40"/>
                        <w:rPr>
                          <w:rFonts w:ascii="Arial" w:hAnsi="Arial" w:cs="Arial"/>
                          <w:sz w:val="18"/>
                          <w:szCs w:val="18"/>
                        </w:rPr>
                      </w:pPr>
                      <w:r w:rsidRPr="00584402">
                        <w:rPr>
                          <w:rFonts w:ascii="Arial" w:hAnsi="Arial" w:cs="Arial"/>
                          <w:sz w:val="18"/>
                          <w:szCs w:val="18"/>
                        </w:rPr>
                        <w:t>For travel outbreaks, consider</w:t>
                      </w:r>
                    </w:p>
                    <w:p w14:paraId="49B267FD" w14:textId="77777777" w:rsidR="00A318FA" w:rsidRDefault="00A318FA" w:rsidP="008B13C9">
                      <w:pPr>
                        <w:pStyle w:val="ListParagraph"/>
                        <w:numPr>
                          <w:ilvl w:val="0"/>
                          <w:numId w:val="27"/>
                        </w:numPr>
                        <w:spacing w:after="40"/>
                        <w:contextualSpacing w:val="0"/>
                        <w:rPr>
                          <w:rFonts w:ascii="Arial" w:hAnsi="Arial" w:cs="Arial"/>
                          <w:sz w:val="18"/>
                          <w:szCs w:val="18"/>
                        </w:rPr>
                      </w:pPr>
                      <w:r w:rsidRPr="007217FD">
                        <w:rPr>
                          <w:rFonts w:ascii="Arial" w:hAnsi="Arial" w:cs="Arial"/>
                          <w:sz w:val="18"/>
                          <w:szCs w:val="18"/>
                        </w:rPr>
                        <w:t>Whether past guests who may have unrecognized or incubating infections should be notified about possible exposures that may have already occurred</w:t>
                      </w:r>
                      <w:r>
                        <w:rPr>
                          <w:rFonts w:ascii="Arial" w:hAnsi="Arial" w:cs="Arial"/>
                          <w:sz w:val="18"/>
                          <w:szCs w:val="18"/>
                        </w:rPr>
                        <w:t>.</w:t>
                      </w:r>
                    </w:p>
                    <w:p w14:paraId="5C4C3498" w14:textId="77777777" w:rsidR="00A318FA" w:rsidRPr="007217FD" w:rsidRDefault="00A318FA" w:rsidP="008B13C9">
                      <w:pPr>
                        <w:pStyle w:val="ListParagraph"/>
                        <w:numPr>
                          <w:ilvl w:val="0"/>
                          <w:numId w:val="27"/>
                        </w:numPr>
                        <w:rPr>
                          <w:rFonts w:ascii="Arial" w:hAnsi="Arial" w:cs="Arial"/>
                          <w:sz w:val="18"/>
                          <w:szCs w:val="18"/>
                        </w:rPr>
                      </w:pPr>
                      <w:r w:rsidRPr="007217FD">
                        <w:rPr>
                          <w:rFonts w:ascii="Arial" w:hAnsi="Arial" w:cs="Arial"/>
                          <w:sz w:val="18"/>
                          <w:szCs w:val="18"/>
                        </w:rPr>
                        <w:t>Whether future guests should be notified of the potential for exposure prior to or upon arrival so that they have an opportunity to find another accommodation if they are at increased risk</w:t>
                      </w:r>
                      <w:r>
                        <w:rPr>
                          <w:rFonts w:ascii="Arial" w:hAnsi="Arial" w:cs="Arial"/>
                          <w:sz w:val="18"/>
                          <w:szCs w:val="18"/>
                        </w:rPr>
                        <w:t>.</w:t>
                      </w:r>
                    </w:p>
                    <w:p w14:paraId="728A8ECC" w14:textId="77777777" w:rsidR="00A318FA" w:rsidRDefault="00A318FA" w:rsidP="008B13C9">
                      <w:pPr>
                        <w:rPr>
                          <w:rFonts w:ascii="Arial" w:hAnsi="Arial" w:cs="Arial"/>
                          <w:sz w:val="18"/>
                          <w:szCs w:val="18"/>
                        </w:rPr>
                      </w:pPr>
                    </w:p>
                    <w:p w14:paraId="4895114F" w14:textId="46665660" w:rsidR="00A318FA" w:rsidRPr="00947100" w:rsidRDefault="00A318FA" w:rsidP="008B13C9">
                      <w:pPr>
                        <w:rPr>
                          <w:rFonts w:ascii="Arial" w:hAnsi="Arial" w:cs="Arial"/>
                          <w:i/>
                          <w:iCs/>
                          <w:sz w:val="16"/>
                          <w:szCs w:val="16"/>
                        </w:rPr>
                      </w:pPr>
                      <w:proofErr w:type="spellStart"/>
                      <w:r w:rsidRPr="007217FD">
                        <w:rPr>
                          <w:rFonts w:ascii="Arial" w:hAnsi="Arial" w:cs="Arial"/>
                          <w:i/>
                          <w:iCs/>
                          <w:sz w:val="16"/>
                          <w:szCs w:val="16"/>
                          <w:vertAlign w:val="superscript"/>
                        </w:rPr>
                        <w:t>i</w:t>
                      </w:r>
                      <w:proofErr w:type="spellEnd"/>
                      <w:r w:rsidRPr="007217FD">
                        <w:rPr>
                          <w:rFonts w:ascii="Arial" w:hAnsi="Arial" w:cs="Arial"/>
                          <w:i/>
                          <w:iCs/>
                          <w:sz w:val="16"/>
                          <w:szCs w:val="16"/>
                        </w:rPr>
                        <w:t xml:space="preserve"> </w:t>
                      </w:r>
                      <w:r w:rsidRPr="00947100">
                        <w:rPr>
                          <w:rFonts w:ascii="Arial" w:hAnsi="Arial" w:cs="Arial"/>
                          <w:i/>
                          <w:iCs/>
                          <w:sz w:val="16"/>
                          <w:szCs w:val="16"/>
                        </w:rPr>
                        <w:t xml:space="preserve">Retrieved from </w:t>
                      </w:r>
                      <w:hyperlink r:id="rId54" w:history="1">
                        <w:r w:rsidRPr="00947100">
                          <w:rPr>
                            <w:rStyle w:val="Hyperlink"/>
                            <w:rFonts w:ascii="Arial" w:hAnsi="Arial" w:cs="Arial"/>
                            <w:i/>
                            <w:iCs/>
                            <w:sz w:val="16"/>
                            <w:szCs w:val="16"/>
                          </w:rPr>
                          <w:t>https://www.cdc.gov/legionella/health-depts/comm</w:t>
                        </w:r>
                        <w:r w:rsidRPr="00947100">
                          <w:rPr>
                            <w:rStyle w:val="Hyperlink"/>
                            <w:rFonts w:ascii="Arial" w:hAnsi="Arial" w:cs="Arial"/>
                            <w:i/>
                            <w:iCs/>
                            <w:sz w:val="16"/>
                            <w:szCs w:val="16"/>
                          </w:rPr>
                          <w:t>u</w:t>
                        </w:r>
                        <w:r w:rsidRPr="00947100">
                          <w:rPr>
                            <w:rStyle w:val="Hyperlink"/>
                            <w:rFonts w:ascii="Arial" w:hAnsi="Arial" w:cs="Arial"/>
                            <w:i/>
                            <w:iCs/>
                            <w:sz w:val="16"/>
                            <w:szCs w:val="16"/>
                          </w:rPr>
                          <w:t>nications-resources.html</w:t>
                        </w:r>
                      </w:hyperlink>
                      <w:r w:rsidRPr="00947100">
                        <w:rPr>
                          <w:rFonts w:ascii="Arial" w:hAnsi="Arial" w:cs="Arial"/>
                          <w:i/>
                          <w:iCs/>
                          <w:sz w:val="16"/>
                          <w:szCs w:val="16"/>
                        </w:rPr>
                        <w:t xml:space="preserve">. Accessed </w:t>
                      </w:r>
                      <w:r>
                        <w:rPr>
                          <w:rFonts w:ascii="Arial" w:hAnsi="Arial" w:cs="Arial"/>
                          <w:i/>
                          <w:iCs/>
                          <w:sz w:val="16"/>
                          <w:szCs w:val="16"/>
                        </w:rPr>
                        <w:t>December 16</w:t>
                      </w:r>
                      <w:r w:rsidRPr="00947100">
                        <w:rPr>
                          <w:rFonts w:ascii="Arial" w:hAnsi="Arial" w:cs="Arial"/>
                          <w:i/>
                          <w:iCs/>
                          <w:sz w:val="16"/>
                          <w:szCs w:val="16"/>
                        </w:rPr>
                        <w:t>, 2020.</w:t>
                      </w:r>
                    </w:p>
                  </w:txbxContent>
                </v:textbox>
                <w10:wrap type="topAndBottom" anchorx="margin"/>
              </v:shape>
            </w:pict>
          </mc:Fallback>
        </mc:AlternateContent>
      </w:r>
      <w:r w:rsidRPr="003C4DDC">
        <w:rPr>
          <w:rFonts w:asciiTheme="majorHAnsi" w:hAnsiTheme="majorHAnsi"/>
        </w:rPr>
        <w:t>Factsheets and frequently</w:t>
      </w:r>
      <w:r>
        <w:rPr>
          <w:rFonts w:asciiTheme="majorHAnsi" w:hAnsiTheme="majorHAnsi"/>
        </w:rPr>
        <w:t>-</w:t>
      </w:r>
      <w:r w:rsidRPr="003C4DDC">
        <w:rPr>
          <w:rFonts w:asciiTheme="majorHAnsi" w:hAnsiTheme="majorHAnsi"/>
        </w:rPr>
        <w:t>asked</w:t>
      </w:r>
      <w:r>
        <w:rPr>
          <w:rFonts w:asciiTheme="majorHAnsi" w:hAnsiTheme="majorHAnsi"/>
        </w:rPr>
        <w:t>-</w:t>
      </w:r>
      <w:r w:rsidRPr="003C4DDC">
        <w:rPr>
          <w:rFonts w:asciiTheme="majorHAnsi" w:hAnsiTheme="majorHAnsi"/>
        </w:rPr>
        <w:t xml:space="preserve">questions (FAQ) documents are </w:t>
      </w:r>
      <w:r>
        <w:rPr>
          <w:rFonts w:asciiTheme="majorHAnsi" w:hAnsiTheme="majorHAnsi"/>
        </w:rPr>
        <w:t xml:space="preserve">often </w:t>
      </w:r>
      <w:r w:rsidRPr="003C4DDC">
        <w:rPr>
          <w:rFonts w:asciiTheme="majorHAnsi" w:hAnsiTheme="majorHAnsi"/>
        </w:rPr>
        <w:t>efficient ways to provide concise information about LD basics, sources of exposure, symptoms, risk factors</w:t>
      </w:r>
      <w:r>
        <w:rPr>
          <w:rFonts w:asciiTheme="majorHAnsi" w:hAnsiTheme="majorHAnsi"/>
        </w:rPr>
        <w:t>, and prevention measures</w:t>
      </w:r>
      <w:r w:rsidRPr="003C4DDC">
        <w:rPr>
          <w:rFonts w:asciiTheme="majorHAnsi" w:hAnsiTheme="majorHAnsi"/>
        </w:rPr>
        <w:t>. Fact sheets can be created for specific facility types (e.g., healthcare settings, recreational water facilities like pools), specific building systems (e.g., water and plumbing systems, cooling systems with cooling towers), and specific audiences (e.g., healthcare providers, hotels operators). These can be included with notification letters and be posted on the public health agency’s website.</w:t>
      </w:r>
    </w:p>
    <w:p w14:paraId="714F230F" w14:textId="77777777" w:rsidR="008B13C9" w:rsidRPr="003C4DDC" w:rsidRDefault="008B13C9" w:rsidP="008B13C9">
      <w:pPr>
        <w:spacing w:line="360" w:lineRule="auto"/>
        <w:ind w:left="360"/>
        <w:rPr>
          <w:rFonts w:asciiTheme="majorHAnsi" w:hAnsiTheme="majorHAnsi"/>
        </w:rPr>
      </w:pPr>
    </w:p>
    <w:p w14:paraId="0400EF50" w14:textId="77777777" w:rsidR="008B13C9" w:rsidRPr="003C4DDC" w:rsidRDefault="008B13C9" w:rsidP="008B13C9">
      <w:pPr>
        <w:spacing w:line="360" w:lineRule="auto"/>
        <w:ind w:left="360"/>
        <w:rPr>
          <w:rFonts w:asciiTheme="majorHAnsi" w:hAnsiTheme="majorHAnsi"/>
          <w:b/>
          <w:bCs/>
        </w:rPr>
      </w:pPr>
      <w:r w:rsidRPr="003C4DDC">
        <w:rPr>
          <w:rFonts w:asciiTheme="majorHAnsi" w:hAnsiTheme="majorHAnsi"/>
          <w:b/>
          <w:bCs/>
        </w:rPr>
        <w:t xml:space="preserve">Press Releases and Media </w:t>
      </w:r>
    </w:p>
    <w:p w14:paraId="32E98317" w14:textId="77777777" w:rsidR="008B13C9" w:rsidRDefault="008B13C9" w:rsidP="008B13C9">
      <w:pPr>
        <w:spacing w:line="360" w:lineRule="auto"/>
        <w:ind w:left="360"/>
        <w:rPr>
          <w:rFonts w:asciiTheme="majorHAnsi" w:hAnsiTheme="majorHAnsi"/>
        </w:rPr>
      </w:pPr>
      <w:r>
        <w:rPr>
          <w:rFonts w:asciiTheme="majorHAnsi" w:hAnsiTheme="majorHAnsi"/>
        </w:rPr>
        <w:t xml:space="preserve">Determine what information can be released to the press and the public and when. (See Chapter 3 Access to Information and Confidentiality). Collaborate or consult with additional health or other agencies to ensure that there is consistent messaging. For example, in states in which local health </w:t>
      </w:r>
      <w:r>
        <w:rPr>
          <w:rFonts w:asciiTheme="majorHAnsi" w:hAnsiTheme="majorHAnsi"/>
        </w:rPr>
        <w:lastRenderedPageBreak/>
        <w:t>departments are independent of the state health agency (i.e., a decentralized system</w:t>
      </w:r>
      <w:r>
        <w:rPr>
          <w:rStyle w:val="FootnoteReference"/>
          <w:rFonts w:asciiTheme="majorHAnsi" w:hAnsiTheme="majorHAnsi"/>
        </w:rPr>
        <w:footnoteReference w:id="105"/>
      </w:r>
      <w:r>
        <w:rPr>
          <w:rFonts w:asciiTheme="majorHAnsi" w:hAnsiTheme="majorHAnsi"/>
        </w:rPr>
        <w:t xml:space="preserve">), collaborating on what information will be released and when can help to ensure that there is consistent messaging and that each agency can be prepared to answer media and public inquiries. </w:t>
      </w:r>
    </w:p>
    <w:p w14:paraId="4356D795" w14:textId="77777777" w:rsidR="008B13C9" w:rsidRDefault="008B13C9" w:rsidP="008B13C9">
      <w:pPr>
        <w:spacing w:line="360" w:lineRule="auto"/>
        <w:ind w:left="360"/>
        <w:rPr>
          <w:rFonts w:asciiTheme="majorHAnsi" w:hAnsiTheme="majorHAnsi"/>
        </w:rPr>
      </w:pPr>
    </w:p>
    <w:p w14:paraId="75993AE1" w14:textId="77777777" w:rsidR="008B13C9" w:rsidRPr="003C4DDC" w:rsidRDefault="008B13C9" w:rsidP="008B13C9">
      <w:pPr>
        <w:spacing w:line="360" w:lineRule="auto"/>
        <w:ind w:left="360"/>
        <w:rPr>
          <w:rFonts w:asciiTheme="majorHAnsi" w:hAnsiTheme="majorHAnsi"/>
        </w:rPr>
      </w:pPr>
      <w:r>
        <w:rPr>
          <w:rFonts w:asciiTheme="majorHAnsi" w:hAnsiTheme="majorHAnsi"/>
        </w:rPr>
        <w:t>Epidemiology staff can w</w:t>
      </w:r>
      <w:r w:rsidRPr="003C4DDC">
        <w:rPr>
          <w:rFonts w:asciiTheme="majorHAnsi" w:hAnsiTheme="majorHAnsi"/>
        </w:rPr>
        <w:t xml:space="preserve">ork with the public health agency’s public information officer or communications staff </w:t>
      </w:r>
      <w:r>
        <w:rPr>
          <w:rFonts w:asciiTheme="majorHAnsi" w:hAnsiTheme="majorHAnsi"/>
        </w:rPr>
        <w:t xml:space="preserve">to </w:t>
      </w:r>
      <w:r w:rsidRPr="003C4DDC">
        <w:rPr>
          <w:rFonts w:asciiTheme="majorHAnsi" w:hAnsiTheme="majorHAnsi"/>
        </w:rPr>
        <w:t xml:space="preserve">hone effective press releases and messages </w:t>
      </w:r>
      <w:r>
        <w:rPr>
          <w:rFonts w:asciiTheme="majorHAnsi" w:hAnsiTheme="majorHAnsi"/>
        </w:rPr>
        <w:t>for</w:t>
      </w:r>
      <w:r w:rsidRPr="003C4DDC">
        <w:rPr>
          <w:rFonts w:asciiTheme="majorHAnsi" w:hAnsiTheme="majorHAnsi"/>
        </w:rPr>
        <w:t xml:space="preserve"> social media. Develop key messages and talking points to prepare for media appearances to ensure consistent messaging is provided by all agency staff.</w:t>
      </w:r>
    </w:p>
    <w:p w14:paraId="1274BC15" w14:textId="77777777" w:rsidR="008B13C9" w:rsidRPr="003C4DDC" w:rsidRDefault="008B13C9" w:rsidP="008B13C9">
      <w:pPr>
        <w:spacing w:line="360" w:lineRule="auto"/>
        <w:ind w:left="360"/>
        <w:rPr>
          <w:rFonts w:asciiTheme="majorHAnsi" w:hAnsiTheme="majorHAnsi"/>
        </w:rPr>
      </w:pPr>
    </w:p>
    <w:p w14:paraId="23602C4D" w14:textId="77777777" w:rsidR="008B13C9" w:rsidRPr="003C4DDC" w:rsidRDefault="008B13C9" w:rsidP="008B13C9">
      <w:pPr>
        <w:spacing w:line="360" w:lineRule="auto"/>
        <w:ind w:left="360"/>
        <w:rPr>
          <w:rFonts w:asciiTheme="majorHAnsi" w:hAnsiTheme="majorHAnsi"/>
        </w:rPr>
      </w:pPr>
      <w:r w:rsidRPr="003C4DDC">
        <w:rPr>
          <w:rFonts w:asciiTheme="majorHAnsi" w:hAnsiTheme="majorHAnsi"/>
          <w:b/>
          <w:bCs/>
        </w:rPr>
        <w:t>Health Alerts</w:t>
      </w:r>
    </w:p>
    <w:p w14:paraId="3B904211" w14:textId="77777777" w:rsidR="008B13C9" w:rsidRPr="003C4DDC" w:rsidRDefault="008B13C9" w:rsidP="008B13C9">
      <w:pPr>
        <w:spacing w:line="360" w:lineRule="auto"/>
        <w:ind w:left="360"/>
        <w:rPr>
          <w:rFonts w:asciiTheme="majorHAnsi" w:hAnsiTheme="majorHAnsi"/>
        </w:rPr>
      </w:pPr>
      <w:r w:rsidRPr="003C4DDC">
        <w:rPr>
          <w:rFonts w:asciiTheme="majorHAnsi" w:hAnsiTheme="majorHAnsi"/>
        </w:rPr>
        <w:t xml:space="preserve">Health alerts </w:t>
      </w:r>
      <w:r>
        <w:rPr>
          <w:rFonts w:asciiTheme="majorHAnsi" w:hAnsiTheme="majorHAnsi"/>
        </w:rPr>
        <w:t>can</w:t>
      </w:r>
      <w:r w:rsidRPr="003C4DDC">
        <w:rPr>
          <w:rFonts w:asciiTheme="majorHAnsi" w:hAnsiTheme="majorHAnsi"/>
        </w:rPr>
        <w:t xml:space="preserve"> be considered to notify healthcare professionals, healthcare facilities, clinical and public health laboratories, and other public health agencies about suspected or confirmed </w:t>
      </w:r>
      <w:r>
        <w:rPr>
          <w:rFonts w:asciiTheme="majorHAnsi" w:hAnsiTheme="majorHAnsi"/>
        </w:rPr>
        <w:t xml:space="preserve">or suspected </w:t>
      </w:r>
      <w:r w:rsidRPr="003C4DDC">
        <w:rPr>
          <w:rFonts w:asciiTheme="majorHAnsi" w:hAnsiTheme="majorHAnsi"/>
        </w:rPr>
        <w:t xml:space="preserve">LD cases. </w:t>
      </w:r>
      <w:r>
        <w:rPr>
          <w:rFonts w:asciiTheme="majorHAnsi" w:hAnsiTheme="majorHAnsi"/>
        </w:rPr>
        <w:t>For example, a health alert would be useful for notifying providers of increases in LD cases that are potentially associated with an outbreak. A health alert in this instance can remind providers of LD diagnosis, treatment, and reporting requirements, including asking them to collect respiratory specimens from patients when they diagnose cases of LD.</w:t>
      </w:r>
    </w:p>
    <w:p w14:paraId="28435394" w14:textId="77777777" w:rsidR="008B13C9" w:rsidRDefault="008B13C9" w:rsidP="008B13C9">
      <w:r w:rsidRPr="002426E8">
        <w:rPr>
          <w:rFonts w:ascii="Calibri" w:eastAsia="Calibri" w:hAnsi="Calibri" w:cs="Times New Roman"/>
          <w:noProof/>
        </w:rPr>
        <w:lastRenderedPageBreak/>
        <mc:AlternateContent>
          <mc:Choice Requires="wps">
            <w:drawing>
              <wp:anchor distT="45720" distB="45720" distL="114300" distR="114300" simplePos="0" relativeHeight="251672576" behindDoc="0" locked="0" layoutInCell="1" allowOverlap="1" wp14:anchorId="72A76650" wp14:editId="1B0CEEDF">
                <wp:simplePos x="0" y="0"/>
                <wp:positionH relativeFrom="margin">
                  <wp:posOffset>252667</wp:posOffset>
                </wp:positionH>
                <wp:positionV relativeFrom="paragraph">
                  <wp:posOffset>86516</wp:posOffset>
                </wp:positionV>
                <wp:extent cx="5989320" cy="4406900"/>
                <wp:effectExtent l="0" t="0" r="11430" b="1270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4406900"/>
                        </a:xfrm>
                        <a:prstGeom prst="rect">
                          <a:avLst/>
                        </a:prstGeom>
                        <a:solidFill>
                          <a:srgbClr val="FFFFFF"/>
                        </a:solidFill>
                        <a:ln w="9525">
                          <a:solidFill>
                            <a:srgbClr val="000000"/>
                          </a:solidFill>
                          <a:miter lim="800000"/>
                          <a:headEnd/>
                          <a:tailEnd/>
                        </a:ln>
                      </wps:spPr>
                      <wps:txbx>
                        <w:txbxContent>
                          <w:p w14:paraId="56F34740" w14:textId="77777777" w:rsidR="00A318FA" w:rsidRDefault="00A318FA" w:rsidP="008B13C9">
                            <w:pPr>
                              <w:spacing w:after="120"/>
                              <w:jc w:val="center"/>
                              <w:rPr>
                                <w:rFonts w:ascii="Arial" w:hAnsi="Arial" w:cs="Arial"/>
                                <w:b/>
                                <w:bCs/>
                              </w:rPr>
                            </w:pPr>
                          </w:p>
                          <w:p w14:paraId="4E0156EA" w14:textId="77777777" w:rsidR="00A318FA" w:rsidRPr="0058248F" w:rsidRDefault="00A318FA" w:rsidP="008B13C9">
                            <w:pPr>
                              <w:spacing w:after="120"/>
                              <w:jc w:val="center"/>
                              <w:rPr>
                                <w:rFonts w:ascii="Arial" w:hAnsi="Arial" w:cs="Arial"/>
                                <w:b/>
                                <w:bCs/>
                              </w:rPr>
                            </w:pPr>
                            <w:r>
                              <w:rPr>
                                <w:rFonts w:ascii="Arial" w:hAnsi="Arial" w:cs="Arial"/>
                                <w:b/>
                                <w:bCs/>
                              </w:rPr>
                              <w:t>Selected Resources</w:t>
                            </w:r>
                          </w:p>
                          <w:p w14:paraId="247021BB" w14:textId="77777777" w:rsidR="00A318FA" w:rsidRPr="0058248F" w:rsidRDefault="00A318FA" w:rsidP="008B13C9">
                            <w:pPr>
                              <w:jc w:val="center"/>
                              <w:rPr>
                                <w:rFonts w:ascii="Arial" w:hAnsi="Arial" w:cs="Arial"/>
                                <w:b/>
                                <w:bCs/>
                              </w:rPr>
                            </w:pPr>
                          </w:p>
                          <w:p w14:paraId="7CCACAC9" w14:textId="77777777" w:rsidR="00A318FA" w:rsidRPr="0070495B" w:rsidRDefault="00A318FA" w:rsidP="008B13C9">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0AD288A5" w14:textId="77777777" w:rsidR="00A318FA" w:rsidRDefault="00A318FA" w:rsidP="008B13C9">
                            <w:pPr>
                              <w:rPr>
                                <w:rFonts w:ascii="Arial" w:hAnsi="Arial" w:cs="Arial"/>
                                <w:sz w:val="20"/>
                                <w:szCs w:val="20"/>
                              </w:rPr>
                            </w:pPr>
                          </w:p>
                          <w:p w14:paraId="49D0CCBA" w14:textId="77777777" w:rsidR="00A318FA" w:rsidRDefault="00A318FA" w:rsidP="008B13C9">
                            <w:pPr>
                              <w:rPr>
                                <w:rFonts w:ascii="Arial" w:hAnsi="Arial" w:cs="Arial"/>
                                <w:sz w:val="20"/>
                                <w:szCs w:val="20"/>
                              </w:rPr>
                            </w:pPr>
                          </w:p>
                          <w:p w14:paraId="6A4ACA8B" w14:textId="77777777" w:rsidR="00A318FA" w:rsidRPr="0013450D" w:rsidRDefault="00A318FA" w:rsidP="008B13C9">
                            <w:pPr>
                              <w:pStyle w:val="ListParagraph"/>
                              <w:numPr>
                                <w:ilvl w:val="0"/>
                                <w:numId w:val="1"/>
                              </w:numPr>
                              <w:rPr>
                                <w:rFonts w:ascii="Arial" w:hAnsi="Arial" w:cs="Arial"/>
                                <w:sz w:val="20"/>
                                <w:szCs w:val="20"/>
                              </w:rPr>
                            </w:pPr>
                            <w:r w:rsidRPr="0013450D">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55" w:history="1">
                              <w:r w:rsidRPr="0013450D">
                                <w:rPr>
                                  <w:rStyle w:val="Hyperlink"/>
                                  <w:rFonts w:ascii="Arial" w:hAnsi="Arial" w:cs="Arial"/>
                                  <w:sz w:val="20"/>
                                  <w:szCs w:val="20"/>
                                </w:rPr>
                                <w:t>http://healthjournalism.org/secondarypage-details.php?id=965</w:t>
                              </w:r>
                            </w:hyperlink>
                            <w:r w:rsidRPr="0013450D">
                              <w:rPr>
                                <w:rFonts w:ascii="Arial" w:hAnsi="Arial" w:cs="Arial"/>
                                <w:sz w:val="20"/>
                                <w:szCs w:val="20"/>
                              </w:rPr>
                              <w:t>.</w:t>
                            </w:r>
                          </w:p>
                          <w:p w14:paraId="52492191" w14:textId="77777777" w:rsidR="00A318FA" w:rsidRPr="001E1E9F" w:rsidRDefault="00A318FA" w:rsidP="008B13C9">
                            <w:pPr>
                              <w:rPr>
                                <w:rFonts w:ascii="Arial" w:hAnsi="Arial" w:cs="Arial"/>
                                <w:sz w:val="20"/>
                                <w:szCs w:val="20"/>
                              </w:rPr>
                            </w:pPr>
                          </w:p>
                          <w:p w14:paraId="5A99A72B" w14:textId="77777777" w:rsidR="00A318FA"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CDC. </w:t>
                            </w:r>
                            <w:r w:rsidRPr="00980286">
                              <w:rPr>
                                <w:rFonts w:ascii="Arial" w:hAnsi="Arial" w:cs="Arial"/>
                                <w:sz w:val="20"/>
                                <w:szCs w:val="20"/>
                              </w:rPr>
                              <w:t>Legionella (Legionnaires' Disease and Pontiac Fever)</w:t>
                            </w:r>
                            <w:r>
                              <w:rPr>
                                <w:rFonts w:ascii="Arial" w:hAnsi="Arial" w:cs="Arial"/>
                                <w:sz w:val="20"/>
                                <w:szCs w:val="20"/>
                              </w:rPr>
                              <w:t xml:space="preserve">. Communications Resources. Available at </w:t>
                            </w:r>
                            <w:hyperlink r:id="rId56" w:history="1">
                              <w:r w:rsidRPr="004F536F">
                                <w:rPr>
                                  <w:rStyle w:val="Hyperlink"/>
                                  <w:rFonts w:ascii="Arial" w:hAnsi="Arial" w:cs="Arial"/>
                                  <w:sz w:val="20"/>
                                  <w:szCs w:val="20"/>
                                </w:rPr>
                                <w:t>https://www.cdc.gov/legionella/health-depts/communications-resources.html</w:t>
                              </w:r>
                            </w:hyperlink>
                            <w:r>
                              <w:rPr>
                                <w:rFonts w:ascii="Arial" w:hAnsi="Arial" w:cs="Arial"/>
                                <w:sz w:val="20"/>
                                <w:szCs w:val="20"/>
                              </w:rPr>
                              <w:t>.</w:t>
                            </w:r>
                          </w:p>
                          <w:p w14:paraId="53AF0140" w14:textId="77777777" w:rsidR="00A318FA" w:rsidRPr="00980286" w:rsidRDefault="00A318FA" w:rsidP="008B13C9">
                            <w:pPr>
                              <w:pStyle w:val="ListParagraph"/>
                              <w:rPr>
                                <w:rFonts w:ascii="Arial" w:hAnsi="Arial" w:cs="Arial"/>
                                <w:sz w:val="20"/>
                                <w:szCs w:val="20"/>
                              </w:rPr>
                            </w:pPr>
                          </w:p>
                          <w:p w14:paraId="7BCFCBEA" w14:textId="77777777" w:rsidR="00A318FA"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CDC. The CDC Field Epidemiology Manual. </w:t>
                            </w:r>
                            <w:proofErr w:type="spellStart"/>
                            <w:r w:rsidRPr="00216BDF">
                              <w:rPr>
                                <w:rFonts w:ascii="Arial" w:hAnsi="Arial" w:cs="Arial"/>
                                <w:sz w:val="20"/>
                                <w:szCs w:val="20"/>
                              </w:rPr>
                              <w:t>Tumpey</w:t>
                            </w:r>
                            <w:proofErr w:type="spellEnd"/>
                            <w:r w:rsidRPr="00216BDF">
                              <w:rPr>
                                <w:rFonts w:ascii="Arial" w:hAnsi="Arial" w:cs="Arial"/>
                                <w:sz w:val="20"/>
                                <w:szCs w:val="20"/>
                              </w:rPr>
                              <w:t>, A., Daigle, D., and Nowak, G.</w:t>
                            </w:r>
                            <w:r>
                              <w:rPr>
                                <w:rFonts w:ascii="Arial" w:hAnsi="Arial" w:cs="Arial"/>
                                <w:sz w:val="20"/>
                                <w:szCs w:val="20"/>
                              </w:rPr>
                              <w:t xml:space="preserve"> </w:t>
                            </w:r>
                            <w:r w:rsidRPr="00C57B51">
                              <w:rPr>
                                <w:rFonts w:ascii="Arial" w:hAnsi="Arial" w:cs="Arial"/>
                                <w:sz w:val="20"/>
                                <w:szCs w:val="20"/>
                              </w:rPr>
                              <w:t>Communicating During an Outbreak or Public Health Investigation</w:t>
                            </w:r>
                            <w:r>
                              <w:rPr>
                                <w:rFonts w:ascii="Arial" w:hAnsi="Arial" w:cs="Arial"/>
                                <w:sz w:val="20"/>
                                <w:szCs w:val="20"/>
                              </w:rPr>
                              <w:t xml:space="preserve">. Available at </w:t>
                            </w:r>
                            <w:hyperlink r:id="rId57" w:anchor="anchor_1543608945" w:history="1">
                              <w:r w:rsidRPr="00182426">
                                <w:rPr>
                                  <w:rStyle w:val="Hyperlink"/>
                                  <w:rFonts w:ascii="Arial" w:hAnsi="Arial" w:cs="Arial"/>
                                  <w:sz w:val="20"/>
                                  <w:szCs w:val="20"/>
                                </w:rPr>
                                <w:t>https://www.cdc.gov/eis/field-epi-manual/chapters/Communicating-Investigation.html#anchor_1543608945</w:t>
                              </w:r>
                            </w:hyperlink>
                            <w:r>
                              <w:rPr>
                                <w:rFonts w:ascii="Arial" w:hAnsi="Arial" w:cs="Arial"/>
                                <w:sz w:val="20"/>
                                <w:szCs w:val="20"/>
                              </w:rPr>
                              <w:t>.</w:t>
                            </w:r>
                          </w:p>
                          <w:p w14:paraId="6DCEBDC6" w14:textId="77777777" w:rsidR="00A318FA" w:rsidRDefault="00A318FA" w:rsidP="008B13C9">
                            <w:pPr>
                              <w:pStyle w:val="ListParagraph"/>
                              <w:rPr>
                                <w:rFonts w:ascii="Arial" w:hAnsi="Arial" w:cs="Arial"/>
                                <w:sz w:val="20"/>
                                <w:szCs w:val="20"/>
                              </w:rPr>
                            </w:pPr>
                          </w:p>
                          <w:p w14:paraId="2F53592E" w14:textId="77777777" w:rsidR="00A318FA"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CDC. </w:t>
                            </w:r>
                            <w:r w:rsidRPr="002E6F56">
                              <w:rPr>
                                <w:rFonts w:ascii="Arial" w:hAnsi="Arial" w:cs="Arial"/>
                                <w:sz w:val="20"/>
                                <w:szCs w:val="20"/>
                              </w:rPr>
                              <w:t>Emergency Preparedness and Response</w:t>
                            </w:r>
                            <w:r>
                              <w:rPr>
                                <w:rFonts w:ascii="Arial" w:hAnsi="Arial" w:cs="Arial"/>
                                <w:sz w:val="20"/>
                                <w:szCs w:val="20"/>
                              </w:rPr>
                              <w:t xml:space="preserve">. </w:t>
                            </w:r>
                            <w:r w:rsidRPr="00A67D82">
                              <w:rPr>
                                <w:rFonts w:ascii="Arial" w:hAnsi="Arial" w:cs="Arial"/>
                                <w:sz w:val="20"/>
                                <w:szCs w:val="20"/>
                              </w:rPr>
                              <w:t xml:space="preserve">Crisis and Emergency Risk Communication (CERC) </w:t>
                            </w:r>
                            <w:r>
                              <w:rPr>
                                <w:rFonts w:ascii="Arial" w:hAnsi="Arial" w:cs="Arial"/>
                                <w:sz w:val="20"/>
                                <w:szCs w:val="20"/>
                              </w:rPr>
                              <w:t>M</w:t>
                            </w:r>
                            <w:r w:rsidRPr="00A67D82">
                              <w:rPr>
                                <w:rFonts w:ascii="Arial" w:hAnsi="Arial" w:cs="Arial"/>
                                <w:sz w:val="20"/>
                                <w:szCs w:val="20"/>
                              </w:rPr>
                              <w:t>anual</w:t>
                            </w:r>
                            <w:r>
                              <w:rPr>
                                <w:rFonts w:ascii="Arial" w:hAnsi="Arial" w:cs="Arial"/>
                                <w:sz w:val="20"/>
                                <w:szCs w:val="20"/>
                              </w:rPr>
                              <w:t xml:space="preserve">. 2018. Available at </w:t>
                            </w:r>
                            <w:hyperlink r:id="rId58" w:history="1">
                              <w:r w:rsidRPr="00E65428">
                                <w:rPr>
                                  <w:rStyle w:val="Hyperlink"/>
                                  <w:rFonts w:ascii="Arial" w:hAnsi="Arial" w:cs="Arial"/>
                                  <w:sz w:val="20"/>
                                  <w:szCs w:val="20"/>
                                </w:rPr>
                                <w:t>https://emergency.cdc.gov/cerc/manual/index.asp</w:t>
                              </w:r>
                            </w:hyperlink>
                            <w:r>
                              <w:rPr>
                                <w:rFonts w:ascii="Arial" w:hAnsi="Arial" w:cs="Arial"/>
                                <w:sz w:val="20"/>
                                <w:szCs w:val="20"/>
                              </w:rPr>
                              <w:t>.</w:t>
                            </w:r>
                          </w:p>
                          <w:p w14:paraId="2B91041E" w14:textId="77777777" w:rsidR="00A318FA" w:rsidRPr="00CD7A01" w:rsidRDefault="00A318FA" w:rsidP="008B13C9">
                            <w:pPr>
                              <w:pStyle w:val="ListParagraph"/>
                              <w:rPr>
                                <w:rFonts w:ascii="Arial" w:hAnsi="Arial" w:cs="Arial"/>
                                <w:sz w:val="20"/>
                                <w:szCs w:val="20"/>
                              </w:rPr>
                            </w:pPr>
                          </w:p>
                          <w:p w14:paraId="7557B488" w14:textId="77777777" w:rsidR="00A318FA" w:rsidRPr="0013450D"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HHS, CDC, ATSDR. </w:t>
                            </w:r>
                            <w:r w:rsidRPr="0031082C">
                              <w:rPr>
                                <w:rFonts w:ascii="Arial" w:hAnsi="Arial" w:cs="Arial"/>
                                <w:sz w:val="20"/>
                                <w:szCs w:val="20"/>
                              </w:rPr>
                              <w:t>Health Communication Playbook</w:t>
                            </w:r>
                            <w:r>
                              <w:rPr>
                                <w:rFonts w:ascii="Arial" w:hAnsi="Arial" w:cs="Arial"/>
                                <w:sz w:val="20"/>
                                <w:szCs w:val="20"/>
                              </w:rPr>
                              <w:t xml:space="preserve">. 2018. Available at </w:t>
                            </w:r>
                            <w:hyperlink r:id="rId59" w:history="1">
                              <w:r w:rsidRPr="00DB48B7">
                                <w:rPr>
                                  <w:rStyle w:val="Hyperlink"/>
                                  <w:rFonts w:ascii="Arial" w:hAnsi="Arial" w:cs="Arial"/>
                                  <w:sz w:val="20"/>
                                  <w:szCs w:val="20"/>
                                </w:rPr>
                                <w:t>https://www.cdc.gov/nceh/clearwriting/docs/health-comm-playbook-508.pdf</w:t>
                              </w:r>
                            </w:hyperlink>
                            <w:r>
                              <w:rPr>
                                <w:rFonts w:ascii="Arial" w:hAnsi="Arial" w:cs="Arial"/>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76650" id="Text Box 9" o:spid="_x0000_s1038" type="#_x0000_t202" style="position:absolute;margin-left:19.9pt;margin-top:6.8pt;width:471.6pt;height:347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">
                <v:textbox>
                  <w:txbxContent>
                    <w:p w14:paraId="56F34740" w14:textId="77777777" w:rsidR="00A318FA" w:rsidRDefault="00A318FA" w:rsidP="008B13C9">
                      <w:pPr>
                        <w:spacing w:after="120"/>
                        <w:jc w:val="center"/>
                        <w:rPr>
                          <w:rFonts w:ascii="Arial" w:hAnsi="Arial" w:cs="Arial"/>
                          <w:b/>
                          <w:bCs/>
                        </w:rPr>
                      </w:pPr>
                    </w:p>
                    <w:p w14:paraId="4E0156EA" w14:textId="77777777" w:rsidR="00A318FA" w:rsidRPr="0058248F" w:rsidRDefault="00A318FA" w:rsidP="008B13C9">
                      <w:pPr>
                        <w:spacing w:after="120"/>
                        <w:jc w:val="center"/>
                        <w:rPr>
                          <w:rFonts w:ascii="Arial" w:hAnsi="Arial" w:cs="Arial"/>
                          <w:b/>
                          <w:bCs/>
                        </w:rPr>
                      </w:pPr>
                      <w:r>
                        <w:rPr>
                          <w:rFonts w:ascii="Arial" w:hAnsi="Arial" w:cs="Arial"/>
                          <w:b/>
                          <w:bCs/>
                        </w:rPr>
                        <w:t>Selected Resources</w:t>
                      </w:r>
                    </w:p>
                    <w:p w14:paraId="247021BB" w14:textId="77777777" w:rsidR="00A318FA" w:rsidRPr="0058248F" w:rsidRDefault="00A318FA" w:rsidP="008B13C9">
                      <w:pPr>
                        <w:jc w:val="center"/>
                        <w:rPr>
                          <w:rFonts w:ascii="Arial" w:hAnsi="Arial" w:cs="Arial"/>
                          <w:b/>
                          <w:bCs/>
                        </w:rPr>
                      </w:pPr>
                    </w:p>
                    <w:p w14:paraId="7CCACAC9" w14:textId="77777777" w:rsidR="00A318FA" w:rsidRPr="0070495B" w:rsidRDefault="00A318FA" w:rsidP="008B13C9">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0AD288A5" w14:textId="77777777" w:rsidR="00A318FA" w:rsidRDefault="00A318FA" w:rsidP="008B13C9">
                      <w:pPr>
                        <w:rPr>
                          <w:rFonts w:ascii="Arial" w:hAnsi="Arial" w:cs="Arial"/>
                          <w:sz w:val="20"/>
                          <w:szCs w:val="20"/>
                        </w:rPr>
                      </w:pPr>
                    </w:p>
                    <w:p w14:paraId="49D0CCBA" w14:textId="77777777" w:rsidR="00A318FA" w:rsidRDefault="00A318FA" w:rsidP="008B13C9">
                      <w:pPr>
                        <w:rPr>
                          <w:rFonts w:ascii="Arial" w:hAnsi="Arial" w:cs="Arial"/>
                          <w:sz w:val="20"/>
                          <w:szCs w:val="20"/>
                        </w:rPr>
                      </w:pPr>
                    </w:p>
                    <w:p w14:paraId="6A4ACA8B" w14:textId="77777777" w:rsidR="00A318FA" w:rsidRPr="0013450D" w:rsidRDefault="00A318FA" w:rsidP="008B13C9">
                      <w:pPr>
                        <w:pStyle w:val="ListParagraph"/>
                        <w:numPr>
                          <w:ilvl w:val="0"/>
                          <w:numId w:val="1"/>
                        </w:numPr>
                        <w:rPr>
                          <w:rFonts w:ascii="Arial" w:hAnsi="Arial" w:cs="Arial"/>
                          <w:sz w:val="20"/>
                          <w:szCs w:val="20"/>
                        </w:rPr>
                      </w:pPr>
                      <w:r w:rsidRPr="0013450D">
                        <w:rPr>
                          <w:rFonts w:ascii="Arial" w:hAnsi="Arial" w:cs="Arial"/>
                          <w:sz w:val="20"/>
                          <w:szCs w:val="20"/>
                        </w:rPr>
                        <w:t xml:space="preserve">Association of Health Care Journalists, Association of State and Territorial Health Officials, and National Association of County and City Health Officials. Guidance on the Release of Information Concerning Deaths, Epidemics or Emerging Diseases. October 2010.  Available at </w:t>
                      </w:r>
                      <w:hyperlink r:id="rId60" w:history="1">
                        <w:r w:rsidRPr="0013450D">
                          <w:rPr>
                            <w:rStyle w:val="Hyperlink"/>
                            <w:rFonts w:ascii="Arial" w:hAnsi="Arial" w:cs="Arial"/>
                            <w:sz w:val="20"/>
                            <w:szCs w:val="20"/>
                          </w:rPr>
                          <w:t>http://healthjournalism.org/secondarypage-details.php?id=965</w:t>
                        </w:r>
                      </w:hyperlink>
                      <w:r w:rsidRPr="0013450D">
                        <w:rPr>
                          <w:rFonts w:ascii="Arial" w:hAnsi="Arial" w:cs="Arial"/>
                          <w:sz w:val="20"/>
                          <w:szCs w:val="20"/>
                        </w:rPr>
                        <w:t>.</w:t>
                      </w:r>
                    </w:p>
                    <w:p w14:paraId="52492191" w14:textId="77777777" w:rsidR="00A318FA" w:rsidRPr="001E1E9F" w:rsidRDefault="00A318FA" w:rsidP="008B13C9">
                      <w:pPr>
                        <w:rPr>
                          <w:rFonts w:ascii="Arial" w:hAnsi="Arial" w:cs="Arial"/>
                          <w:sz w:val="20"/>
                          <w:szCs w:val="20"/>
                        </w:rPr>
                      </w:pPr>
                    </w:p>
                    <w:p w14:paraId="5A99A72B" w14:textId="77777777" w:rsidR="00A318FA"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CDC. </w:t>
                      </w:r>
                      <w:r w:rsidRPr="00980286">
                        <w:rPr>
                          <w:rFonts w:ascii="Arial" w:hAnsi="Arial" w:cs="Arial"/>
                          <w:sz w:val="20"/>
                          <w:szCs w:val="20"/>
                        </w:rPr>
                        <w:t>Legionella (Legionnaires' Disease and Pontiac Fever)</w:t>
                      </w:r>
                      <w:r>
                        <w:rPr>
                          <w:rFonts w:ascii="Arial" w:hAnsi="Arial" w:cs="Arial"/>
                          <w:sz w:val="20"/>
                          <w:szCs w:val="20"/>
                        </w:rPr>
                        <w:t xml:space="preserve">. Communications Resources. Available at </w:t>
                      </w:r>
                      <w:hyperlink r:id="rId61" w:history="1">
                        <w:r w:rsidRPr="004F536F">
                          <w:rPr>
                            <w:rStyle w:val="Hyperlink"/>
                            <w:rFonts w:ascii="Arial" w:hAnsi="Arial" w:cs="Arial"/>
                            <w:sz w:val="20"/>
                            <w:szCs w:val="20"/>
                          </w:rPr>
                          <w:t>https://www.cdc.gov/legionella/health-depts/communications-resources.html</w:t>
                        </w:r>
                      </w:hyperlink>
                      <w:r>
                        <w:rPr>
                          <w:rFonts w:ascii="Arial" w:hAnsi="Arial" w:cs="Arial"/>
                          <w:sz w:val="20"/>
                          <w:szCs w:val="20"/>
                        </w:rPr>
                        <w:t>.</w:t>
                      </w:r>
                    </w:p>
                    <w:p w14:paraId="53AF0140" w14:textId="77777777" w:rsidR="00A318FA" w:rsidRPr="00980286" w:rsidRDefault="00A318FA" w:rsidP="008B13C9">
                      <w:pPr>
                        <w:pStyle w:val="ListParagraph"/>
                        <w:rPr>
                          <w:rFonts w:ascii="Arial" w:hAnsi="Arial" w:cs="Arial"/>
                          <w:sz w:val="20"/>
                          <w:szCs w:val="20"/>
                        </w:rPr>
                      </w:pPr>
                    </w:p>
                    <w:p w14:paraId="7BCFCBEA" w14:textId="77777777" w:rsidR="00A318FA"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CDC. The CDC Field Epidemiology Manual. </w:t>
                      </w:r>
                      <w:proofErr w:type="spellStart"/>
                      <w:r w:rsidRPr="00216BDF">
                        <w:rPr>
                          <w:rFonts w:ascii="Arial" w:hAnsi="Arial" w:cs="Arial"/>
                          <w:sz w:val="20"/>
                          <w:szCs w:val="20"/>
                        </w:rPr>
                        <w:t>Tumpey</w:t>
                      </w:r>
                      <w:proofErr w:type="spellEnd"/>
                      <w:r w:rsidRPr="00216BDF">
                        <w:rPr>
                          <w:rFonts w:ascii="Arial" w:hAnsi="Arial" w:cs="Arial"/>
                          <w:sz w:val="20"/>
                          <w:szCs w:val="20"/>
                        </w:rPr>
                        <w:t>, A., Daigle, D., and Nowak, G.</w:t>
                      </w:r>
                      <w:r>
                        <w:rPr>
                          <w:rFonts w:ascii="Arial" w:hAnsi="Arial" w:cs="Arial"/>
                          <w:sz w:val="20"/>
                          <w:szCs w:val="20"/>
                        </w:rPr>
                        <w:t xml:space="preserve"> </w:t>
                      </w:r>
                      <w:r w:rsidRPr="00C57B51">
                        <w:rPr>
                          <w:rFonts w:ascii="Arial" w:hAnsi="Arial" w:cs="Arial"/>
                          <w:sz w:val="20"/>
                          <w:szCs w:val="20"/>
                        </w:rPr>
                        <w:t>Communicating During an Outbreak or Public Health Investigation</w:t>
                      </w:r>
                      <w:r>
                        <w:rPr>
                          <w:rFonts w:ascii="Arial" w:hAnsi="Arial" w:cs="Arial"/>
                          <w:sz w:val="20"/>
                          <w:szCs w:val="20"/>
                        </w:rPr>
                        <w:t xml:space="preserve">. Available at </w:t>
                      </w:r>
                      <w:hyperlink r:id="rId62" w:anchor="anchor_1543608945" w:history="1">
                        <w:r w:rsidRPr="00182426">
                          <w:rPr>
                            <w:rStyle w:val="Hyperlink"/>
                            <w:rFonts w:ascii="Arial" w:hAnsi="Arial" w:cs="Arial"/>
                            <w:sz w:val="20"/>
                            <w:szCs w:val="20"/>
                          </w:rPr>
                          <w:t>https://www.cdc.gov/eis/field-epi-manual/chapters/Communicating-Investigation.html#anchor_1543608945</w:t>
                        </w:r>
                      </w:hyperlink>
                      <w:r>
                        <w:rPr>
                          <w:rFonts w:ascii="Arial" w:hAnsi="Arial" w:cs="Arial"/>
                          <w:sz w:val="20"/>
                          <w:szCs w:val="20"/>
                        </w:rPr>
                        <w:t>.</w:t>
                      </w:r>
                    </w:p>
                    <w:p w14:paraId="6DCEBDC6" w14:textId="77777777" w:rsidR="00A318FA" w:rsidRDefault="00A318FA" w:rsidP="008B13C9">
                      <w:pPr>
                        <w:pStyle w:val="ListParagraph"/>
                        <w:rPr>
                          <w:rFonts w:ascii="Arial" w:hAnsi="Arial" w:cs="Arial"/>
                          <w:sz w:val="20"/>
                          <w:szCs w:val="20"/>
                        </w:rPr>
                      </w:pPr>
                    </w:p>
                    <w:p w14:paraId="2F53592E" w14:textId="77777777" w:rsidR="00A318FA"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CDC. </w:t>
                      </w:r>
                      <w:r w:rsidRPr="002E6F56">
                        <w:rPr>
                          <w:rFonts w:ascii="Arial" w:hAnsi="Arial" w:cs="Arial"/>
                          <w:sz w:val="20"/>
                          <w:szCs w:val="20"/>
                        </w:rPr>
                        <w:t>Emergency Preparedness and Response</w:t>
                      </w:r>
                      <w:r>
                        <w:rPr>
                          <w:rFonts w:ascii="Arial" w:hAnsi="Arial" w:cs="Arial"/>
                          <w:sz w:val="20"/>
                          <w:szCs w:val="20"/>
                        </w:rPr>
                        <w:t xml:space="preserve">. </w:t>
                      </w:r>
                      <w:r w:rsidRPr="00A67D82">
                        <w:rPr>
                          <w:rFonts w:ascii="Arial" w:hAnsi="Arial" w:cs="Arial"/>
                          <w:sz w:val="20"/>
                          <w:szCs w:val="20"/>
                        </w:rPr>
                        <w:t xml:space="preserve">Crisis and Emergency Risk Communication (CERC) </w:t>
                      </w:r>
                      <w:r>
                        <w:rPr>
                          <w:rFonts w:ascii="Arial" w:hAnsi="Arial" w:cs="Arial"/>
                          <w:sz w:val="20"/>
                          <w:szCs w:val="20"/>
                        </w:rPr>
                        <w:t>M</w:t>
                      </w:r>
                      <w:r w:rsidRPr="00A67D82">
                        <w:rPr>
                          <w:rFonts w:ascii="Arial" w:hAnsi="Arial" w:cs="Arial"/>
                          <w:sz w:val="20"/>
                          <w:szCs w:val="20"/>
                        </w:rPr>
                        <w:t>anual</w:t>
                      </w:r>
                      <w:r>
                        <w:rPr>
                          <w:rFonts w:ascii="Arial" w:hAnsi="Arial" w:cs="Arial"/>
                          <w:sz w:val="20"/>
                          <w:szCs w:val="20"/>
                        </w:rPr>
                        <w:t xml:space="preserve">. 2018. Available at </w:t>
                      </w:r>
                      <w:hyperlink r:id="rId63" w:history="1">
                        <w:r w:rsidRPr="00E65428">
                          <w:rPr>
                            <w:rStyle w:val="Hyperlink"/>
                            <w:rFonts w:ascii="Arial" w:hAnsi="Arial" w:cs="Arial"/>
                            <w:sz w:val="20"/>
                            <w:szCs w:val="20"/>
                          </w:rPr>
                          <w:t>https://emergency.cdc.gov/cerc/manual/index.asp</w:t>
                        </w:r>
                      </w:hyperlink>
                      <w:r>
                        <w:rPr>
                          <w:rFonts w:ascii="Arial" w:hAnsi="Arial" w:cs="Arial"/>
                          <w:sz w:val="20"/>
                          <w:szCs w:val="20"/>
                        </w:rPr>
                        <w:t>.</w:t>
                      </w:r>
                    </w:p>
                    <w:p w14:paraId="2B91041E" w14:textId="77777777" w:rsidR="00A318FA" w:rsidRPr="00CD7A01" w:rsidRDefault="00A318FA" w:rsidP="008B13C9">
                      <w:pPr>
                        <w:pStyle w:val="ListParagraph"/>
                        <w:rPr>
                          <w:rFonts w:ascii="Arial" w:hAnsi="Arial" w:cs="Arial"/>
                          <w:sz w:val="20"/>
                          <w:szCs w:val="20"/>
                        </w:rPr>
                      </w:pPr>
                    </w:p>
                    <w:p w14:paraId="7557B488" w14:textId="77777777" w:rsidR="00A318FA" w:rsidRPr="0013450D" w:rsidRDefault="00A318FA" w:rsidP="008B13C9">
                      <w:pPr>
                        <w:pStyle w:val="ListParagraph"/>
                        <w:numPr>
                          <w:ilvl w:val="0"/>
                          <w:numId w:val="1"/>
                        </w:numPr>
                        <w:rPr>
                          <w:rFonts w:ascii="Arial" w:hAnsi="Arial" w:cs="Arial"/>
                          <w:sz w:val="20"/>
                          <w:szCs w:val="20"/>
                        </w:rPr>
                      </w:pPr>
                      <w:r>
                        <w:rPr>
                          <w:rFonts w:ascii="Arial" w:hAnsi="Arial" w:cs="Arial"/>
                          <w:sz w:val="20"/>
                          <w:szCs w:val="20"/>
                        </w:rPr>
                        <w:t xml:space="preserve">HHS, CDC, ATSDR. </w:t>
                      </w:r>
                      <w:r w:rsidRPr="0031082C">
                        <w:rPr>
                          <w:rFonts w:ascii="Arial" w:hAnsi="Arial" w:cs="Arial"/>
                          <w:sz w:val="20"/>
                          <w:szCs w:val="20"/>
                        </w:rPr>
                        <w:t>Health Communication Playbook</w:t>
                      </w:r>
                      <w:r>
                        <w:rPr>
                          <w:rFonts w:ascii="Arial" w:hAnsi="Arial" w:cs="Arial"/>
                          <w:sz w:val="20"/>
                          <w:szCs w:val="20"/>
                        </w:rPr>
                        <w:t xml:space="preserve">. 2018. Available at </w:t>
                      </w:r>
                      <w:hyperlink r:id="rId64" w:history="1">
                        <w:r w:rsidRPr="00DB48B7">
                          <w:rPr>
                            <w:rStyle w:val="Hyperlink"/>
                            <w:rFonts w:ascii="Arial" w:hAnsi="Arial" w:cs="Arial"/>
                            <w:sz w:val="20"/>
                            <w:szCs w:val="20"/>
                          </w:rPr>
                          <w:t>https://www.cdc.gov/nceh/clearwriting/docs/health-comm-playbook-508.pdf</w:t>
                        </w:r>
                      </w:hyperlink>
                      <w:r>
                        <w:rPr>
                          <w:rFonts w:ascii="Arial" w:hAnsi="Arial" w:cs="Arial"/>
                          <w:sz w:val="20"/>
                          <w:szCs w:val="20"/>
                        </w:rPr>
                        <w:t>.</w:t>
                      </w:r>
                    </w:p>
                  </w:txbxContent>
                </v:textbox>
                <w10:wrap type="square" anchorx="margin"/>
              </v:shape>
            </w:pict>
          </mc:Fallback>
        </mc:AlternateContent>
      </w:r>
    </w:p>
    <w:p w14:paraId="44DC08A2" w14:textId="614766F2" w:rsidR="00031DE8" w:rsidRDefault="00031DE8"/>
    <w:p w14:paraId="42F926CE" w14:textId="77777777" w:rsidR="008B13C9" w:rsidRDefault="008B13C9">
      <w:pPr>
        <w:sectPr w:rsidR="008B13C9" w:rsidSect="00527549">
          <w:footnotePr>
            <w:numRestart w:val="eachSect"/>
          </w:footnotePr>
          <w:pgSz w:w="12240" w:h="15840"/>
          <w:pgMar w:top="1440" w:right="1440" w:bottom="1440" w:left="1440" w:header="720" w:footer="720" w:gutter="0"/>
          <w:cols w:space="720"/>
          <w:docGrid w:linePitch="360"/>
        </w:sectPr>
      </w:pPr>
    </w:p>
    <w:p w14:paraId="0DC7A0A5" w14:textId="77777777" w:rsidR="005A334D" w:rsidRPr="00724A3D" w:rsidRDefault="005A334D" w:rsidP="005A334D">
      <w:pPr>
        <w:spacing w:after="120"/>
        <w:jc w:val="center"/>
        <w:rPr>
          <w:rFonts w:ascii="Arial" w:hAnsi="Arial" w:cs="Arial"/>
          <w:b/>
          <w:bCs/>
          <w:sz w:val="24"/>
          <w:szCs w:val="24"/>
        </w:rPr>
      </w:pPr>
      <w:bookmarkStart w:id="8" w:name="Legal"/>
      <w:r w:rsidRPr="00724A3D">
        <w:rPr>
          <w:rFonts w:ascii="Arial" w:hAnsi="Arial" w:cs="Arial"/>
          <w:b/>
          <w:bCs/>
          <w:sz w:val="24"/>
          <w:szCs w:val="24"/>
        </w:rPr>
        <w:lastRenderedPageBreak/>
        <w:t xml:space="preserve">Chapter </w:t>
      </w:r>
      <w:r>
        <w:rPr>
          <w:rFonts w:ascii="Arial" w:hAnsi="Arial" w:cs="Arial"/>
          <w:b/>
          <w:bCs/>
          <w:sz w:val="24"/>
          <w:szCs w:val="24"/>
        </w:rPr>
        <w:t>6</w:t>
      </w:r>
    </w:p>
    <w:bookmarkEnd w:id="8"/>
    <w:p w14:paraId="3E6A9AD4" w14:textId="7D6B9DF8" w:rsidR="005A334D" w:rsidRDefault="005A334D" w:rsidP="005A334D">
      <w:pPr>
        <w:spacing w:line="360" w:lineRule="auto"/>
        <w:jc w:val="center"/>
        <w:rPr>
          <w:rFonts w:ascii="Arial" w:hAnsi="Arial" w:cs="Arial"/>
          <w:b/>
          <w:bCs/>
          <w:sz w:val="24"/>
          <w:szCs w:val="24"/>
        </w:rPr>
      </w:pPr>
      <w:r>
        <w:rPr>
          <w:rFonts w:ascii="Arial" w:hAnsi="Arial" w:cs="Arial"/>
          <w:b/>
          <w:bCs/>
          <w:sz w:val="24"/>
          <w:szCs w:val="24"/>
        </w:rPr>
        <w:t>Water Management Programs</w:t>
      </w:r>
    </w:p>
    <w:p w14:paraId="249837CB" w14:textId="7EA13498" w:rsidR="007C3C84" w:rsidRPr="00527549" w:rsidRDefault="007C3C84" w:rsidP="00527549">
      <w:pPr>
        <w:spacing w:line="360" w:lineRule="auto"/>
        <w:rPr>
          <w:rFonts w:asciiTheme="majorHAnsi" w:hAnsiTheme="majorHAnsi" w:cstheme="majorHAnsi"/>
          <w:b/>
          <w:bCs/>
        </w:rPr>
      </w:pPr>
    </w:p>
    <w:p w14:paraId="4F163D51" w14:textId="3E617E9E" w:rsidR="005A334D" w:rsidRDefault="005A334D" w:rsidP="005A334D">
      <w:pPr>
        <w:spacing w:after="80" w:line="360" w:lineRule="auto"/>
        <w:rPr>
          <w:rFonts w:asciiTheme="majorHAnsi" w:hAnsiTheme="majorHAnsi" w:cstheme="majorHAnsi"/>
        </w:rPr>
      </w:pPr>
      <w:r w:rsidRPr="000507C7">
        <w:rPr>
          <w:rFonts w:asciiTheme="majorHAnsi" w:hAnsiTheme="majorHAnsi" w:cstheme="majorHAnsi"/>
        </w:rPr>
        <w:t xml:space="preserve">This chapter provides basic information about </w:t>
      </w:r>
      <w:r>
        <w:rPr>
          <w:rFonts w:asciiTheme="majorHAnsi" w:hAnsiTheme="majorHAnsi" w:cstheme="majorHAnsi"/>
        </w:rPr>
        <w:t xml:space="preserve">water management programs </w:t>
      </w:r>
      <w:r w:rsidR="005B662D">
        <w:rPr>
          <w:rFonts w:asciiTheme="majorHAnsi" w:hAnsiTheme="majorHAnsi" w:cstheme="majorHAnsi"/>
        </w:rPr>
        <w:t xml:space="preserve">(WMP) </w:t>
      </w:r>
      <w:r>
        <w:rPr>
          <w:rFonts w:asciiTheme="majorHAnsi" w:hAnsiTheme="majorHAnsi" w:cstheme="majorHAnsi"/>
        </w:rPr>
        <w:t xml:space="preserve">and their role in preventing </w:t>
      </w:r>
      <w:r w:rsidRPr="000507C7">
        <w:rPr>
          <w:rFonts w:asciiTheme="majorHAnsi" w:hAnsiTheme="majorHAnsi" w:cstheme="majorHAnsi"/>
        </w:rPr>
        <w:t xml:space="preserve">Legionnaires’ disease (LD) </w:t>
      </w:r>
      <w:r>
        <w:rPr>
          <w:rFonts w:asciiTheme="majorHAnsi" w:hAnsiTheme="majorHAnsi" w:cstheme="majorHAnsi"/>
        </w:rPr>
        <w:t xml:space="preserve">in certain types of buildings and devices. </w:t>
      </w:r>
      <w:r w:rsidRPr="000507C7">
        <w:rPr>
          <w:rFonts w:asciiTheme="majorHAnsi" w:hAnsiTheme="majorHAnsi" w:cstheme="majorHAnsi"/>
        </w:rPr>
        <w:t>It covers the following topics:</w:t>
      </w:r>
    </w:p>
    <w:p w14:paraId="233B2359" w14:textId="77777777" w:rsidR="005A334D" w:rsidRDefault="005A334D" w:rsidP="005A334D">
      <w:pPr>
        <w:pStyle w:val="ListParagraph"/>
        <w:numPr>
          <w:ilvl w:val="0"/>
          <w:numId w:val="10"/>
        </w:numPr>
        <w:spacing w:after="80" w:line="360" w:lineRule="auto"/>
        <w:contextualSpacing w:val="0"/>
        <w:rPr>
          <w:rFonts w:asciiTheme="majorHAnsi" w:hAnsiTheme="majorHAnsi" w:cstheme="majorHAnsi"/>
        </w:rPr>
      </w:pPr>
      <w:r w:rsidRPr="00957062">
        <w:rPr>
          <w:rFonts w:asciiTheme="majorHAnsi" w:hAnsiTheme="majorHAnsi" w:cstheme="majorHAnsi"/>
        </w:rPr>
        <w:t xml:space="preserve">Identifying buildings and devices at risk for </w:t>
      </w:r>
      <w:r>
        <w:rPr>
          <w:rFonts w:asciiTheme="majorHAnsi" w:hAnsiTheme="majorHAnsi" w:cstheme="majorHAnsi"/>
          <w:i/>
          <w:iCs/>
        </w:rPr>
        <w:t>L</w:t>
      </w:r>
      <w:r w:rsidRPr="003E374E">
        <w:rPr>
          <w:rFonts w:asciiTheme="majorHAnsi" w:hAnsiTheme="majorHAnsi" w:cstheme="majorHAnsi"/>
          <w:i/>
          <w:iCs/>
        </w:rPr>
        <w:t>egionella</w:t>
      </w:r>
      <w:r>
        <w:rPr>
          <w:rFonts w:asciiTheme="majorHAnsi" w:hAnsiTheme="majorHAnsi" w:cstheme="majorHAnsi"/>
        </w:rPr>
        <w:t xml:space="preserve"> colonization.</w:t>
      </w:r>
    </w:p>
    <w:p w14:paraId="2EC7C0E2" w14:textId="77777777" w:rsidR="005A334D" w:rsidRDefault="005A334D" w:rsidP="005A334D">
      <w:pPr>
        <w:pStyle w:val="ListParagraph"/>
        <w:numPr>
          <w:ilvl w:val="0"/>
          <w:numId w:val="10"/>
        </w:numPr>
        <w:spacing w:after="80" w:line="360" w:lineRule="auto"/>
        <w:contextualSpacing w:val="0"/>
        <w:rPr>
          <w:rFonts w:asciiTheme="majorHAnsi" w:hAnsiTheme="majorHAnsi" w:cstheme="majorHAnsi"/>
        </w:rPr>
      </w:pPr>
      <w:r>
        <w:rPr>
          <w:rFonts w:asciiTheme="majorHAnsi" w:hAnsiTheme="majorHAnsi" w:cstheme="majorHAnsi"/>
        </w:rPr>
        <w:t xml:space="preserve">Factors giving rise to </w:t>
      </w:r>
      <w:r>
        <w:rPr>
          <w:rFonts w:asciiTheme="majorHAnsi" w:hAnsiTheme="majorHAnsi" w:cstheme="majorHAnsi"/>
          <w:i/>
          <w:iCs/>
        </w:rPr>
        <w:t>L</w:t>
      </w:r>
      <w:r w:rsidRPr="003E374E">
        <w:rPr>
          <w:rFonts w:asciiTheme="majorHAnsi" w:hAnsiTheme="majorHAnsi" w:cstheme="majorHAnsi"/>
          <w:i/>
          <w:iCs/>
        </w:rPr>
        <w:t>egionella</w:t>
      </w:r>
      <w:r w:rsidRPr="003E374E">
        <w:rPr>
          <w:rFonts w:asciiTheme="majorHAnsi" w:hAnsiTheme="majorHAnsi" w:cstheme="majorHAnsi"/>
        </w:rPr>
        <w:t xml:space="preserve"> growth in </w:t>
      </w:r>
      <w:r>
        <w:rPr>
          <w:rFonts w:asciiTheme="majorHAnsi" w:hAnsiTheme="majorHAnsi" w:cstheme="majorHAnsi"/>
        </w:rPr>
        <w:t>b</w:t>
      </w:r>
      <w:r w:rsidRPr="003E374E">
        <w:rPr>
          <w:rFonts w:asciiTheme="majorHAnsi" w:hAnsiTheme="majorHAnsi" w:cstheme="majorHAnsi"/>
        </w:rPr>
        <w:t>uilding water system</w:t>
      </w:r>
      <w:r>
        <w:rPr>
          <w:rFonts w:asciiTheme="majorHAnsi" w:hAnsiTheme="majorHAnsi" w:cstheme="majorHAnsi"/>
        </w:rPr>
        <w:t>s.</w:t>
      </w:r>
    </w:p>
    <w:p w14:paraId="403F76BE" w14:textId="77777777" w:rsidR="005A334D" w:rsidRDefault="005A334D" w:rsidP="005A334D">
      <w:pPr>
        <w:pStyle w:val="ListParagraph"/>
        <w:numPr>
          <w:ilvl w:val="0"/>
          <w:numId w:val="10"/>
        </w:numPr>
        <w:spacing w:after="80" w:line="360" w:lineRule="auto"/>
        <w:contextualSpacing w:val="0"/>
        <w:rPr>
          <w:rFonts w:asciiTheme="majorHAnsi" w:hAnsiTheme="majorHAnsi" w:cstheme="majorHAnsi"/>
        </w:rPr>
      </w:pPr>
      <w:r w:rsidRPr="005068ED">
        <w:rPr>
          <w:rFonts w:asciiTheme="majorHAnsi" w:hAnsiTheme="majorHAnsi" w:cstheme="majorHAnsi"/>
        </w:rPr>
        <w:t>The role of water management programs</w:t>
      </w:r>
      <w:r>
        <w:rPr>
          <w:rFonts w:asciiTheme="majorHAnsi" w:hAnsiTheme="majorHAnsi" w:cstheme="majorHAnsi"/>
        </w:rPr>
        <w:t xml:space="preserve"> in preventing LD.</w:t>
      </w:r>
    </w:p>
    <w:p w14:paraId="5DBB2C4A" w14:textId="77777777" w:rsidR="005A334D" w:rsidRDefault="005A334D" w:rsidP="005A334D">
      <w:pPr>
        <w:pStyle w:val="ListParagraph"/>
        <w:numPr>
          <w:ilvl w:val="0"/>
          <w:numId w:val="10"/>
        </w:numPr>
        <w:spacing w:after="80" w:line="360" w:lineRule="auto"/>
        <w:contextualSpacing w:val="0"/>
        <w:rPr>
          <w:rFonts w:asciiTheme="majorHAnsi" w:hAnsiTheme="majorHAnsi" w:cstheme="majorHAnsi"/>
        </w:rPr>
      </w:pPr>
      <w:r>
        <w:rPr>
          <w:rFonts w:asciiTheme="majorHAnsi" w:hAnsiTheme="majorHAnsi" w:cstheme="majorHAnsi"/>
        </w:rPr>
        <w:t>The elements of effective water management programs.</w:t>
      </w:r>
    </w:p>
    <w:p w14:paraId="709F07D8" w14:textId="77777777" w:rsidR="005A334D" w:rsidRPr="00957062" w:rsidRDefault="005A334D" w:rsidP="005A334D">
      <w:pPr>
        <w:pStyle w:val="ListParagraph"/>
        <w:numPr>
          <w:ilvl w:val="0"/>
          <w:numId w:val="10"/>
        </w:numPr>
        <w:spacing w:line="360" w:lineRule="auto"/>
        <w:rPr>
          <w:rFonts w:asciiTheme="majorHAnsi" w:hAnsiTheme="majorHAnsi" w:cstheme="majorHAnsi"/>
        </w:rPr>
      </w:pPr>
      <w:r>
        <w:rPr>
          <w:rFonts w:asciiTheme="majorHAnsi" w:hAnsiTheme="majorHAnsi" w:cstheme="majorHAnsi"/>
        </w:rPr>
        <w:t>Customizing water management programs to the specific facility type, including healthcare facilities.</w:t>
      </w:r>
    </w:p>
    <w:p w14:paraId="1FFCD811" w14:textId="77777777" w:rsidR="005A334D" w:rsidRDefault="005A334D" w:rsidP="005A334D">
      <w:pPr>
        <w:spacing w:after="120" w:line="360" w:lineRule="auto"/>
        <w:contextualSpacing/>
        <w:rPr>
          <w:rFonts w:asciiTheme="majorHAnsi" w:hAnsiTheme="majorHAnsi"/>
        </w:rPr>
      </w:pPr>
    </w:p>
    <w:p w14:paraId="41F9BB8C" w14:textId="77777777" w:rsidR="005A334D" w:rsidRPr="00B61AA6" w:rsidRDefault="005A334D" w:rsidP="005A334D">
      <w:pPr>
        <w:spacing w:line="360" w:lineRule="auto"/>
        <w:rPr>
          <w:rFonts w:ascii="Arial" w:hAnsi="Arial" w:cs="Arial"/>
        </w:rPr>
      </w:pPr>
      <w:r w:rsidRPr="00E004AA">
        <w:rPr>
          <w:rFonts w:ascii="Arial" w:hAnsi="Arial" w:cs="Arial"/>
          <w:b/>
          <w:bCs/>
        </w:rPr>
        <w:t xml:space="preserve">Identifying Buildings and Devices at Risk for </w:t>
      </w:r>
      <w:r w:rsidRPr="00E004AA">
        <w:rPr>
          <w:rFonts w:ascii="Arial" w:hAnsi="Arial" w:cs="Arial"/>
          <w:b/>
          <w:bCs/>
          <w:i/>
          <w:iCs/>
        </w:rPr>
        <w:t>Legionella</w:t>
      </w:r>
      <w:r w:rsidRPr="00B61AA6">
        <w:rPr>
          <w:rFonts w:ascii="Arial" w:hAnsi="Arial" w:cs="Arial"/>
          <w:b/>
          <w:bCs/>
          <w:i/>
          <w:iCs/>
        </w:rPr>
        <w:t xml:space="preserve"> </w:t>
      </w:r>
      <w:r w:rsidRPr="00B61AA6">
        <w:rPr>
          <w:rFonts w:ascii="Arial" w:hAnsi="Arial" w:cs="Arial"/>
          <w:b/>
          <w:bCs/>
        </w:rPr>
        <w:t>Colonization</w:t>
      </w:r>
    </w:p>
    <w:p w14:paraId="2E628C50" w14:textId="3AA0CA5B" w:rsidR="005A334D" w:rsidRDefault="005A334D" w:rsidP="007C3C84">
      <w:pPr>
        <w:spacing w:after="120" w:line="360" w:lineRule="auto"/>
        <w:rPr>
          <w:rFonts w:asciiTheme="majorHAnsi" w:hAnsiTheme="majorHAnsi"/>
        </w:rPr>
      </w:pPr>
      <w:r>
        <w:rPr>
          <w:rFonts w:asciiTheme="majorHAnsi" w:hAnsiTheme="majorHAnsi"/>
        </w:rPr>
        <w:t xml:space="preserve"> Certain types of buildings or devices are at increased risk for the growth and proliferation of </w:t>
      </w:r>
      <w:r w:rsidRPr="007E3784">
        <w:rPr>
          <w:rFonts w:asciiTheme="majorHAnsi" w:hAnsiTheme="majorHAnsi"/>
          <w:i/>
          <w:iCs/>
        </w:rPr>
        <w:t xml:space="preserve">Legionella </w:t>
      </w:r>
      <w:r>
        <w:rPr>
          <w:rFonts w:asciiTheme="majorHAnsi" w:hAnsiTheme="majorHAnsi"/>
        </w:rPr>
        <w:t xml:space="preserve">bacteria. CDC created an assessment tool in its </w:t>
      </w:r>
      <w:r w:rsidRPr="00424900">
        <w:rPr>
          <w:rFonts w:asciiTheme="majorHAnsi" w:hAnsiTheme="majorHAnsi"/>
          <w:i/>
          <w:iCs/>
        </w:rPr>
        <w:t>Developing a Water Management Program to Reduce Legionella Growth and Spread in Buildings</w:t>
      </w:r>
      <w:r>
        <w:rPr>
          <w:rFonts w:asciiTheme="majorHAnsi" w:hAnsiTheme="majorHAnsi"/>
        </w:rPr>
        <w:t xml:space="preserve"> publication to help building owners and operators quickly determine if they should develop a </w:t>
      </w:r>
      <w:r w:rsidR="00A47588">
        <w:rPr>
          <w:rFonts w:asciiTheme="majorHAnsi" w:hAnsiTheme="majorHAnsi"/>
        </w:rPr>
        <w:t>WMP</w:t>
      </w:r>
      <w:r>
        <w:rPr>
          <w:rFonts w:asciiTheme="majorHAnsi" w:hAnsiTheme="majorHAnsi"/>
        </w:rPr>
        <w:t xml:space="preserve"> for the building and specific devices in it.</w:t>
      </w:r>
      <w:r>
        <w:rPr>
          <w:rStyle w:val="FootnoteReference"/>
          <w:rFonts w:asciiTheme="majorHAnsi" w:hAnsiTheme="majorHAnsi"/>
        </w:rPr>
        <w:footnoteReference w:id="106"/>
      </w:r>
      <w:r>
        <w:rPr>
          <w:rFonts w:asciiTheme="majorHAnsi" w:hAnsiTheme="majorHAnsi"/>
        </w:rPr>
        <w:t xml:space="preserve"> The assessment looks at the following building and device characteristics</w:t>
      </w:r>
      <w:r w:rsidR="007C3C84">
        <w:rPr>
          <w:rFonts w:asciiTheme="majorHAnsi" w:hAnsiTheme="majorHAnsi"/>
        </w:rPr>
        <w:t>:</w:t>
      </w:r>
    </w:p>
    <w:p w14:paraId="15AD9469" w14:textId="77777777" w:rsidR="005A334D" w:rsidRDefault="005A334D" w:rsidP="00527549">
      <w:pPr>
        <w:spacing w:line="360" w:lineRule="auto"/>
        <w:rPr>
          <w:rFonts w:asciiTheme="majorHAnsi" w:hAnsiTheme="majorHAnsi"/>
          <w:b/>
          <w:bCs/>
        </w:rPr>
      </w:pPr>
      <w:r w:rsidRPr="00DA7627">
        <w:rPr>
          <w:rFonts w:asciiTheme="majorHAnsi" w:hAnsiTheme="majorHAnsi"/>
          <w:b/>
          <w:bCs/>
        </w:rPr>
        <w:t>Building Characteristics</w:t>
      </w:r>
      <w:r>
        <w:rPr>
          <w:rStyle w:val="FootnoteReference"/>
          <w:rFonts w:asciiTheme="majorHAnsi" w:hAnsiTheme="majorHAnsi"/>
          <w:b/>
          <w:bCs/>
        </w:rPr>
        <w:footnoteReference w:id="107"/>
      </w:r>
    </w:p>
    <w:p w14:paraId="3F232E3A" w14:textId="533A2F8E" w:rsidR="005A334D" w:rsidRPr="00317FB6" w:rsidRDefault="005A334D" w:rsidP="005A334D">
      <w:pPr>
        <w:pStyle w:val="ListParagraph"/>
        <w:numPr>
          <w:ilvl w:val="0"/>
          <w:numId w:val="5"/>
        </w:numPr>
        <w:spacing w:line="360" w:lineRule="auto"/>
        <w:rPr>
          <w:rFonts w:asciiTheme="majorHAnsi" w:hAnsiTheme="majorHAnsi"/>
        </w:rPr>
      </w:pPr>
      <w:r w:rsidRPr="00317FB6">
        <w:rPr>
          <w:rFonts w:asciiTheme="majorHAnsi" w:hAnsiTheme="majorHAnsi"/>
        </w:rPr>
        <w:t>The building is a healthcare facility where patients stay overnight or houses or treats people who have chronic and acute medical problems or weakened immune systems.</w:t>
      </w:r>
      <w:r w:rsidRPr="00BE3345">
        <w:rPr>
          <w:rStyle w:val="FootnoteReference"/>
          <w:rFonts w:asciiTheme="majorHAnsi" w:hAnsiTheme="majorHAnsi" w:cstheme="majorHAnsi"/>
        </w:rPr>
        <w:t xml:space="preserve"> </w:t>
      </w:r>
      <w:r w:rsidRPr="00BE3345">
        <w:rPr>
          <w:rFonts w:asciiTheme="majorHAnsi" w:hAnsiTheme="majorHAnsi" w:cstheme="majorHAnsi"/>
        </w:rPr>
        <w:t>(See Chapter 1</w:t>
      </w:r>
      <w:r>
        <w:rPr>
          <w:rFonts w:asciiTheme="majorHAnsi" w:hAnsiTheme="majorHAnsi" w:cstheme="majorHAnsi"/>
        </w:rPr>
        <w:t xml:space="preserve"> LD Basics</w:t>
      </w:r>
      <w:r w:rsidRPr="00BE3345">
        <w:rPr>
          <w:rFonts w:asciiTheme="majorHAnsi" w:hAnsiTheme="majorHAnsi" w:cstheme="majorHAnsi"/>
        </w:rPr>
        <w:t>)</w:t>
      </w:r>
    </w:p>
    <w:p w14:paraId="43B135BF" w14:textId="1483F223" w:rsidR="005A334D" w:rsidRPr="00317FB6" w:rsidRDefault="005A334D" w:rsidP="005A334D">
      <w:pPr>
        <w:pStyle w:val="ListParagraph"/>
        <w:numPr>
          <w:ilvl w:val="0"/>
          <w:numId w:val="5"/>
        </w:numPr>
        <w:spacing w:line="360" w:lineRule="auto"/>
        <w:rPr>
          <w:rFonts w:asciiTheme="majorHAnsi" w:hAnsiTheme="majorHAnsi"/>
        </w:rPr>
      </w:pPr>
      <w:r w:rsidRPr="00317FB6">
        <w:rPr>
          <w:rFonts w:asciiTheme="majorHAnsi" w:hAnsiTheme="majorHAnsi"/>
        </w:rPr>
        <w:t>The building primarily houses people over the age of 65 years (e.g., retirement home, assisted-living facility).</w:t>
      </w:r>
    </w:p>
    <w:p w14:paraId="0067AF97" w14:textId="04C06DB1" w:rsidR="005A334D" w:rsidRPr="00317FB6" w:rsidRDefault="00527549" w:rsidP="005A334D">
      <w:pPr>
        <w:pStyle w:val="ListParagraph"/>
        <w:numPr>
          <w:ilvl w:val="0"/>
          <w:numId w:val="5"/>
        </w:numPr>
        <w:spacing w:line="360" w:lineRule="auto"/>
        <w:rPr>
          <w:rFonts w:asciiTheme="majorHAnsi" w:hAnsiTheme="majorHAnsi"/>
        </w:rPr>
      </w:pPr>
      <w:r w:rsidRPr="00992377">
        <w:rPr>
          <w:noProof/>
        </w:rPr>
        <w:lastRenderedPageBreak/>
        <mc:AlternateContent>
          <mc:Choice Requires="wps">
            <w:drawing>
              <wp:anchor distT="45720" distB="45720" distL="114300" distR="114300" simplePos="0" relativeHeight="251660288" behindDoc="0" locked="0" layoutInCell="1" allowOverlap="1" wp14:anchorId="6CCE2FBC" wp14:editId="653CDF36">
                <wp:simplePos x="0" y="0"/>
                <wp:positionH relativeFrom="margin">
                  <wp:align>right</wp:align>
                </wp:positionH>
                <wp:positionV relativeFrom="paragraph">
                  <wp:posOffset>47202</wp:posOffset>
                </wp:positionV>
                <wp:extent cx="2834640" cy="5148072"/>
                <wp:effectExtent l="0" t="0" r="2286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148072"/>
                        </a:xfrm>
                        <a:prstGeom prst="rect">
                          <a:avLst/>
                        </a:prstGeom>
                        <a:solidFill>
                          <a:srgbClr val="FFFFFF"/>
                        </a:solidFill>
                        <a:ln w="9525">
                          <a:solidFill>
                            <a:srgbClr val="000000"/>
                          </a:solidFill>
                          <a:miter lim="800000"/>
                          <a:headEnd/>
                          <a:tailEnd/>
                        </a:ln>
                      </wps:spPr>
                      <wps:txbx>
                        <w:txbxContent>
                          <w:p w14:paraId="0F1D3C51" w14:textId="77777777" w:rsidR="00A318FA" w:rsidRPr="00821BA6" w:rsidRDefault="00A318FA" w:rsidP="005A334D">
                            <w:pPr>
                              <w:jc w:val="center"/>
                              <w:rPr>
                                <w:rFonts w:ascii="Arial" w:hAnsi="Arial" w:cs="Arial"/>
                                <w:b/>
                                <w:bCs/>
                                <w:sz w:val="18"/>
                                <w:szCs w:val="18"/>
                              </w:rPr>
                            </w:pPr>
                            <w:r w:rsidRPr="00821BA6">
                              <w:rPr>
                                <w:rFonts w:ascii="Arial" w:hAnsi="Arial" w:cs="Arial"/>
                                <w:b/>
                                <w:bCs/>
                                <w:sz w:val="18"/>
                                <w:szCs w:val="18"/>
                              </w:rPr>
                              <w:t xml:space="preserve">Where Can </w:t>
                            </w:r>
                            <w:r w:rsidRPr="0023010C">
                              <w:rPr>
                                <w:rFonts w:ascii="Arial" w:hAnsi="Arial" w:cs="Arial"/>
                                <w:b/>
                                <w:bCs/>
                                <w:i/>
                                <w:iCs/>
                                <w:sz w:val="18"/>
                                <w:szCs w:val="18"/>
                              </w:rPr>
                              <w:t>Legionella</w:t>
                            </w:r>
                            <w:r w:rsidRPr="00821BA6">
                              <w:rPr>
                                <w:rFonts w:ascii="Arial" w:hAnsi="Arial" w:cs="Arial"/>
                                <w:b/>
                                <w:bCs/>
                                <w:sz w:val="18"/>
                                <w:szCs w:val="18"/>
                              </w:rPr>
                              <w:t xml:space="preserve"> </w:t>
                            </w:r>
                            <w:r>
                              <w:rPr>
                                <w:rFonts w:ascii="Arial" w:hAnsi="Arial" w:cs="Arial"/>
                                <w:b/>
                                <w:bCs/>
                                <w:sz w:val="18"/>
                                <w:szCs w:val="18"/>
                              </w:rPr>
                              <w:t>Grow</w:t>
                            </w:r>
                            <w:r w:rsidRPr="00821BA6">
                              <w:rPr>
                                <w:rFonts w:ascii="Arial" w:hAnsi="Arial" w:cs="Arial"/>
                                <w:b/>
                                <w:bCs/>
                                <w:sz w:val="18"/>
                                <w:szCs w:val="18"/>
                              </w:rPr>
                              <w:t xml:space="preserve"> in a Building?</w:t>
                            </w:r>
                          </w:p>
                          <w:p w14:paraId="6F9FAD9D" w14:textId="77777777" w:rsidR="00A318FA" w:rsidRPr="00821BA6" w:rsidRDefault="00A318FA" w:rsidP="005A334D">
                            <w:pPr>
                              <w:rPr>
                                <w:rFonts w:ascii="Arial" w:hAnsi="Arial" w:cs="Arial"/>
                                <w:sz w:val="18"/>
                                <w:szCs w:val="18"/>
                              </w:rPr>
                            </w:pPr>
                          </w:p>
                          <w:p w14:paraId="5BD45718" w14:textId="77777777" w:rsidR="00A318FA" w:rsidRDefault="00A318FA" w:rsidP="005A334D">
                            <w:pPr>
                              <w:spacing w:after="20"/>
                              <w:rPr>
                                <w:rFonts w:ascii="Arial" w:hAnsi="Arial" w:cs="Arial"/>
                                <w:sz w:val="18"/>
                                <w:szCs w:val="18"/>
                              </w:rPr>
                            </w:pPr>
                            <w:r>
                              <w:rPr>
                                <w:rFonts w:ascii="Arial" w:hAnsi="Arial" w:cs="Arial"/>
                                <w:sz w:val="18"/>
                                <w:szCs w:val="18"/>
                              </w:rPr>
                              <w:t xml:space="preserve">There are many potential water systems and devices in a building in which </w:t>
                            </w:r>
                            <w:r w:rsidRPr="001C2E19">
                              <w:rPr>
                                <w:rFonts w:ascii="Arial" w:hAnsi="Arial" w:cs="Arial"/>
                                <w:i/>
                                <w:iCs/>
                                <w:sz w:val="18"/>
                                <w:szCs w:val="18"/>
                              </w:rPr>
                              <w:t>Legionella</w:t>
                            </w:r>
                            <w:r>
                              <w:rPr>
                                <w:rFonts w:ascii="Arial" w:hAnsi="Arial" w:cs="Arial"/>
                                <w:sz w:val="18"/>
                                <w:szCs w:val="18"/>
                              </w:rPr>
                              <w:t xml:space="preserve"> can grow or spread. Examples of these include:</w:t>
                            </w:r>
                          </w:p>
                          <w:p w14:paraId="7C1E25AE"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Hot and cold water storage tanks</w:t>
                            </w:r>
                          </w:p>
                          <w:p w14:paraId="2B988EFB"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Water heaters</w:t>
                            </w:r>
                          </w:p>
                          <w:p w14:paraId="16B1F5F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Water hammer arrestors</w:t>
                            </w:r>
                          </w:p>
                          <w:p w14:paraId="443518AF"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Expansion tanks</w:t>
                            </w:r>
                          </w:p>
                          <w:p w14:paraId="4400CE4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Water filters</w:t>
                            </w:r>
                          </w:p>
                          <w:p w14:paraId="6DF5AE4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Electronic and manual faucets*</w:t>
                            </w:r>
                          </w:p>
                          <w:p w14:paraId="052B3CF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Aerators</w:t>
                            </w:r>
                          </w:p>
                          <w:p w14:paraId="66CDEC7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Faucet flow restrictors</w:t>
                            </w:r>
                          </w:p>
                          <w:p w14:paraId="04F4DE22"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Showerheads* and hoses</w:t>
                            </w:r>
                          </w:p>
                          <w:p w14:paraId="40FA7679"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Pipes, valves, and fittings</w:t>
                            </w:r>
                          </w:p>
                          <w:p w14:paraId="639FDBAB"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Centrally installed misters*, atomizers*, air washers*, and humidifiers*</w:t>
                            </w:r>
                          </w:p>
                          <w:p w14:paraId="06BB158D"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Non-stream aerosol-generating humidifiers*</w:t>
                            </w:r>
                          </w:p>
                          <w:p w14:paraId="52368150"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Infrequently used equipment including eyewash stations*</w:t>
                            </w:r>
                          </w:p>
                          <w:p w14:paraId="100BB1A8"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Ice machines*</w:t>
                            </w:r>
                          </w:p>
                          <w:p w14:paraId="2BAB3A79"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Hot tubs*</w:t>
                            </w:r>
                          </w:p>
                          <w:p w14:paraId="62EEEF86"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Decorative fountains*</w:t>
                            </w:r>
                          </w:p>
                          <w:p w14:paraId="0367D108"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Cooling towers*</w:t>
                            </w:r>
                          </w:p>
                          <w:p w14:paraId="40CAE238" w14:textId="77777777" w:rsidR="00A318FA" w:rsidRPr="00982419" w:rsidRDefault="00A318FA" w:rsidP="005A334D">
                            <w:pPr>
                              <w:pStyle w:val="ListParagraph"/>
                              <w:numPr>
                                <w:ilvl w:val="0"/>
                                <w:numId w:val="4"/>
                              </w:numPr>
                              <w:spacing w:after="120"/>
                              <w:contextualSpacing w:val="0"/>
                              <w:rPr>
                                <w:rFonts w:ascii="Arial" w:hAnsi="Arial" w:cs="Arial"/>
                                <w:sz w:val="18"/>
                                <w:szCs w:val="18"/>
                              </w:rPr>
                            </w:pPr>
                            <w:r w:rsidRPr="00982419">
                              <w:rPr>
                                <w:rFonts w:ascii="Arial" w:hAnsi="Arial" w:cs="Arial"/>
                                <w:sz w:val="18"/>
                                <w:szCs w:val="18"/>
                              </w:rPr>
                              <w:t>Medical devices* (such as CPAP machines, hydrotherapy equipment, bronchoscopes)</w:t>
                            </w:r>
                          </w:p>
                          <w:p w14:paraId="42554EAB" w14:textId="77777777" w:rsidR="00A318FA" w:rsidRPr="00014E96" w:rsidRDefault="00A318FA" w:rsidP="005A334D">
                            <w:pPr>
                              <w:rPr>
                                <w:rFonts w:ascii="Arial" w:hAnsi="Arial" w:cs="Arial"/>
                                <w:sz w:val="16"/>
                                <w:szCs w:val="16"/>
                              </w:rPr>
                            </w:pPr>
                            <w:r w:rsidRPr="000161DC">
                              <w:rPr>
                                <w:rFonts w:ascii="Arial" w:hAnsi="Arial" w:cs="Arial"/>
                                <w:sz w:val="16"/>
                                <w:szCs w:val="16"/>
                              </w:rPr>
                              <w:t>*</w:t>
                            </w:r>
                            <w:r>
                              <w:rPr>
                                <w:rFonts w:ascii="Arial" w:hAnsi="Arial" w:cs="Arial"/>
                                <w:sz w:val="16"/>
                                <w:szCs w:val="16"/>
                              </w:rPr>
                              <w:t xml:space="preserve"> </w:t>
                            </w:r>
                            <w:r w:rsidRPr="00014E96">
                              <w:rPr>
                                <w:rFonts w:ascii="Arial" w:hAnsi="Arial" w:cs="Arial"/>
                                <w:sz w:val="16"/>
                                <w:szCs w:val="16"/>
                              </w:rPr>
                              <w:t>These devices can spread Legionella through</w:t>
                            </w:r>
                          </w:p>
                          <w:p w14:paraId="5DB7C52B" w14:textId="77777777" w:rsidR="00A318FA" w:rsidRPr="000161DC" w:rsidRDefault="00A318FA" w:rsidP="005A334D">
                            <w:pPr>
                              <w:spacing w:after="100"/>
                              <w:rPr>
                                <w:rFonts w:ascii="Arial" w:hAnsi="Arial" w:cs="Arial"/>
                                <w:sz w:val="16"/>
                                <w:szCs w:val="16"/>
                              </w:rPr>
                            </w:pPr>
                            <w:r w:rsidRPr="00014E96">
                              <w:rPr>
                                <w:rFonts w:ascii="Arial" w:hAnsi="Arial" w:cs="Arial"/>
                                <w:sz w:val="16"/>
                                <w:szCs w:val="16"/>
                              </w:rPr>
                              <w:t>aerosols or aspiration</w:t>
                            </w:r>
                            <w:r>
                              <w:rPr>
                                <w:rFonts w:ascii="Arial" w:hAnsi="Arial" w:cs="Arial"/>
                                <w:sz w:val="16"/>
                                <w:szCs w:val="16"/>
                              </w:rPr>
                              <w:t>.</w:t>
                            </w:r>
                          </w:p>
                          <w:p w14:paraId="6E13F4A9" w14:textId="77777777" w:rsidR="00A318FA" w:rsidRDefault="00A318FA" w:rsidP="005A334D">
                            <w:pPr>
                              <w:rPr>
                                <w:rFonts w:ascii="Arial" w:hAnsi="Arial" w:cs="Arial"/>
                                <w:sz w:val="18"/>
                                <w:szCs w:val="18"/>
                              </w:rPr>
                            </w:pPr>
                            <w:r w:rsidRPr="00C030CE">
                              <w:rPr>
                                <w:rFonts w:ascii="Arial" w:hAnsi="Arial" w:cs="Arial"/>
                                <w:i/>
                                <w:iCs/>
                                <w:sz w:val="16"/>
                                <w:szCs w:val="16"/>
                              </w:rPr>
                              <w:t>Source:</w:t>
                            </w:r>
                            <w:r w:rsidRPr="00C030CE">
                              <w:rPr>
                                <w:rFonts w:ascii="Arial" w:hAnsi="Arial" w:cs="Arial"/>
                                <w:sz w:val="16"/>
                                <w:szCs w:val="16"/>
                              </w:rPr>
                              <w:t xml:space="preserve"> </w:t>
                            </w:r>
                            <w:r w:rsidRPr="00982419">
                              <w:rPr>
                                <w:rFonts w:ascii="Arial" w:hAnsi="Arial" w:cs="Arial"/>
                                <w:sz w:val="16"/>
                                <w:szCs w:val="16"/>
                              </w:rPr>
                              <w:t xml:space="preserve">CDC. Developing a Water Management Program to Reduce </w:t>
                            </w:r>
                            <w:r w:rsidRPr="00982419">
                              <w:rPr>
                                <w:rFonts w:ascii="Arial" w:hAnsi="Arial" w:cs="Arial"/>
                                <w:i/>
                                <w:iCs/>
                                <w:sz w:val="16"/>
                                <w:szCs w:val="16"/>
                              </w:rPr>
                              <w:t>Legionella</w:t>
                            </w:r>
                            <w:r w:rsidRPr="00982419">
                              <w:rPr>
                                <w:rFonts w:ascii="Arial" w:hAnsi="Arial" w:cs="Arial"/>
                                <w:sz w:val="16"/>
                                <w:szCs w:val="16"/>
                              </w:rPr>
                              <w:t xml:space="preserve"> Growth and Spread in Buildings: A Practical Guide to Implementing Industry Standards. June 5, 2017. Version 1.1. p. </w:t>
                            </w:r>
                            <w:r>
                              <w:rPr>
                                <w:rFonts w:ascii="Arial" w:hAnsi="Arial" w:cs="Arial"/>
                                <w:sz w:val="16"/>
                                <w:szCs w:val="16"/>
                              </w:rPr>
                              <w:t>4</w:t>
                            </w:r>
                            <w:r w:rsidRPr="00982419">
                              <w:rPr>
                                <w:rFonts w:ascii="Arial" w:hAnsi="Arial" w:cs="Arial"/>
                                <w:sz w:val="16"/>
                                <w:szCs w:val="16"/>
                              </w:rPr>
                              <w:t xml:space="preserve">. Retrieved from </w:t>
                            </w:r>
                            <w:hyperlink r:id="rId65" w:history="1">
                              <w:r w:rsidRPr="00CD4E96">
                                <w:rPr>
                                  <w:rStyle w:val="Hyperlink"/>
                                  <w:rFonts w:ascii="Arial" w:hAnsi="Arial" w:cs="Arial"/>
                                  <w:sz w:val="16"/>
                                  <w:szCs w:val="16"/>
                                </w:rPr>
                                <w:t>https://www.cdc.gov/legionella/downloads/toolkit.pdf</w:t>
                              </w:r>
                            </w:hyperlink>
                            <w:r w:rsidRPr="00CD4E96">
                              <w:rPr>
                                <w:rFonts w:ascii="Arial" w:hAnsi="Arial" w:cs="Arial"/>
                                <w:sz w:val="16"/>
                                <w:szCs w:val="16"/>
                              </w:rPr>
                              <w:t>.</w:t>
                            </w:r>
                          </w:p>
                          <w:p w14:paraId="0E9DE2C5" w14:textId="77777777" w:rsidR="00A318FA" w:rsidRDefault="00A318FA" w:rsidP="005A334D">
                            <w:pPr>
                              <w:rPr>
                                <w:rFonts w:ascii="Arial" w:hAnsi="Arial" w:cs="Arial"/>
                                <w:sz w:val="18"/>
                                <w:szCs w:val="18"/>
                              </w:rPr>
                            </w:pPr>
                          </w:p>
                          <w:p w14:paraId="5A115E48" w14:textId="77777777" w:rsidR="00A318FA" w:rsidRDefault="00A318FA" w:rsidP="005A334D">
                            <w:pPr>
                              <w:rPr>
                                <w:rFonts w:ascii="Arial" w:hAnsi="Arial" w:cs="Arial"/>
                                <w:sz w:val="18"/>
                                <w:szCs w:val="18"/>
                              </w:rPr>
                            </w:pPr>
                          </w:p>
                          <w:p w14:paraId="675ACB44" w14:textId="77777777" w:rsidR="00A318FA" w:rsidRDefault="00A318FA" w:rsidP="005A334D">
                            <w:pPr>
                              <w:rPr>
                                <w:rFonts w:ascii="Arial" w:hAnsi="Arial" w:cs="Arial"/>
                                <w:sz w:val="18"/>
                                <w:szCs w:val="18"/>
                              </w:rPr>
                            </w:pPr>
                          </w:p>
                          <w:p w14:paraId="2134EB1D" w14:textId="77777777" w:rsidR="00A318FA" w:rsidRDefault="00A318FA" w:rsidP="005A334D">
                            <w:pPr>
                              <w:rPr>
                                <w:rFonts w:ascii="Arial" w:hAnsi="Arial" w:cs="Arial"/>
                                <w:sz w:val="18"/>
                                <w:szCs w:val="18"/>
                              </w:rPr>
                            </w:pPr>
                          </w:p>
                          <w:p w14:paraId="062C713C" w14:textId="77777777" w:rsidR="00A318FA" w:rsidRDefault="00A318FA" w:rsidP="005A334D">
                            <w:pPr>
                              <w:rPr>
                                <w:rFonts w:ascii="Arial" w:hAnsi="Arial" w:cs="Arial"/>
                                <w:sz w:val="18"/>
                                <w:szCs w:val="18"/>
                              </w:rPr>
                            </w:pPr>
                          </w:p>
                          <w:p w14:paraId="7200B906" w14:textId="77777777" w:rsidR="00A318FA" w:rsidRDefault="00A318FA" w:rsidP="005A334D">
                            <w:pPr>
                              <w:rPr>
                                <w:rFonts w:ascii="Arial" w:hAnsi="Arial" w:cs="Arial"/>
                                <w:sz w:val="18"/>
                                <w:szCs w:val="18"/>
                              </w:rPr>
                            </w:pPr>
                          </w:p>
                          <w:p w14:paraId="20C71E28" w14:textId="77777777" w:rsidR="00A318FA" w:rsidRDefault="00A318FA" w:rsidP="005A334D">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E2FBC" id="_x0000_s1039" type="#_x0000_t202" style="position:absolute;left:0;text-align:left;margin-left:172pt;margin-top:3.7pt;width:223.2pt;height:405.3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">
                <v:textbox>
                  <w:txbxContent>
                    <w:p w14:paraId="0F1D3C51" w14:textId="77777777" w:rsidR="00A318FA" w:rsidRPr="00821BA6" w:rsidRDefault="00A318FA" w:rsidP="005A334D">
                      <w:pPr>
                        <w:jc w:val="center"/>
                        <w:rPr>
                          <w:rFonts w:ascii="Arial" w:hAnsi="Arial" w:cs="Arial"/>
                          <w:b/>
                          <w:bCs/>
                          <w:sz w:val="18"/>
                          <w:szCs w:val="18"/>
                        </w:rPr>
                      </w:pPr>
                      <w:r w:rsidRPr="00821BA6">
                        <w:rPr>
                          <w:rFonts w:ascii="Arial" w:hAnsi="Arial" w:cs="Arial"/>
                          <w:b/>
                          <w:bCs/>
                          <w:sz w:val="18"/>
                          <w:szCs w:val="18"/>
                        </w:rPr>
                        <w:t xml:space="preserve">Where Can </w:t>
                      </w:r>
                      <w:r w:rsidRPr="0023010C">
                        <w:rPr>
                          <w:rFonts w:ascii="Arial" w:hAnsi="Arial" w:cs="Arial"/>
                          <w:b/>
                          <w:bCs/>
                          <w:i/>
                          <w:iCs/>
                          <w:sz w:val="18"/>
                          <w:szCs w:val="18"/>
                        </w:rPr>
                        <w:t>Legionella</w:t>
                      </w:r>
                      <w:r w:rsidRPr="00821BA6">
                        <w:rPr>
                          <w:rFonts w:ascii="Arial" w:hAnsi="Arial" w:cs="Arial"/>
                          <w:b/>
                          <w:bCs/>
                          <w:sz w:val="18"/>
                          <w:szCs w:val="18"/>
                        </w:rPr>
                        <w:t xml:space="preserve"> </w:t>
                      </w:r>
                      <w:r>
                        <w:rPr>
                          <w:rFonts w:ascii="Arial" w:hAnsi="Arial" w:cs="Arial"/>
                          <w:b/>
                          <w:bCs/>
                          <w:sz w:val="18"/>
                          <w:szCs w:val="18"/>
                        </w:rPr>
                        <w:t>Grow</w:t>
                      </w:r>
                      <w:r w:rsidRPr="00821BA6">
                        <w:rPr>
                          <w:rFonts w:ascii="Arial" w:hAnsi="Arial" w:cs="Arial"/>
                          <w:b/>
                          <w:bCs/>
                          <w:sz w:val="18"/>
                          <w:szCs w:val="18"/>
                        </w:rPr>
                        <w:t xml:space="preserve"> in a Building?</w:t>
                      </w:r>
                    </w:p>
                    <w:p w14:paraId="6F9FAD9D" w14:textId="77777777" w:rsidR="00A318FA" w:rsidRPr="00821BA6" w:rsidRDefault="00A318FA" w:rsidP="005A334D">
                      <w:pPr>
                        <w:rPr>
                          <w:rFonts w:ascii="Arial" w:hAnsi="Arial" w:cs="Arial"/>
                          <w:sz w:val="18"/>
                          <w:szCs w:val="18"/>
                        </w:rPr>
                      </w:pPr>
                    </w:p>
                    <w:p w14:paraId="5BD45718" w14:textId="77777777" w:rsidR="00A318FA" w:rsidRDefault="00A318FA" w:rsidP="005A334D">
                      <w:pPr>
                        <w:spacing w:after="20"/>
                        <w:rPr>
                          <w:rFonts w:ascii="Arial" w:hAnsi="Arial" w:cs="Arial"/>
                          <w:sz w:val="18"/>
                          <w:szCs w:val="18"/>
                        </w:rPr>
                      </w:pPr>
                      <w:r>
                        <w:rPr>
                          <w:rFonts w:ascii="Arial" w:hAnsi="Arial" w:cs="Arial"/>
                          <w:sz w:val="18"/>
                          <w:szCs w:val="18"/>
                        </w:rPr>
                        <w:t xml:space="preserve">There are many potential water systems and devices in a building in which </w:t>
                      </w:r>
                      <w:r w:rsidRPr="001C2E19">
                        <w:rPr>
                          <w:rFonts w:ascii="Arial" w:hAnsi="Arial" w:cs="Arial"/>
                          <w:i/>
                          <w:iCs/>
                          <w:sz w:val="18"/>
                          <w:szCs w:val="18"/>
                        </w:rPr>
                        <w:t>Legionella</w:t>
                      </w:r>
                      <w:r>
                        <w:rPr>
                          <w:rFonts w:ascii="Arial" w:hAnsi="Arial" w:cs="Arial"/>
                          <w:sz w:val="18"/>
                          <w:szCs w:val="18"/>
                        </w:rPr>
                        <w:t xml:space="preserve"> can grow or spread. Examples of these include:</w:t>
                      </w:r>
                    </w:p>
                    <w:p w14:paraId="7C1E25AE"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Hot and cold water storage tanks</w:t>
                      </w:r>
                    </w:p>
                    <w:p w14:paraId="2B988EFB"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Water heaters</w:t>
                      </w:r>
                    </w:p>
                    <w:p w14:paraId="16B1F5F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Water hammer arrestors</w:t>
                      </w:r>
                    </w:p>
                    <w:p w14:paraId="443518AF"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Expansion tanks</w:t>
                      </w:r>
                    </w:p>
                    <w:p w14:paraId="4400CE4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Water filters</w:t>
                      </w:r>
                    </w:p>
                    <w:p w14:paraId="6DF5AE4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Electronic and manual faucets*</w:t>
                      </w:r>
                    </w:p>
                    <w:p w14:paraId="052B3CF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Aerators</w:t>
                      </w:r>
                    </w:p>
                    <w:p w14:paraId="66CDEC73"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Faucet flow restrictors</w:t>
                      </w:r>
                    </w:p>
                    <w:p w14:paraId="04F4DE22"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Showerheads* and hoses</w:t>
                      </w:r>
                    </w:p>
                    <w:p w14:paraId="40FA7679"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Pipes, valves, and fittings</w:t>
                      </w:r>
                    </w:p>
                    <w:p w14:paraId="639FDBAB"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Centrally installed misters*, atomizers*, air washers*, and humidifiers*</w:t>
                      </w:r>
                    </w:p>
                    <w:p w14:paraId="06BB158D"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Non-stream aerosol-generating humidifiers*</w:t>
                      </w:r>
                    </w:p>
                    <w:p w14:paraId="52368150"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Infrequently used equipment including eyewash stations*</w:t>
                      </w:r>
                    </w:p>
                    <w:p w14:paraId="100BB1A8"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Ice machines*</w:t>
                      </w:r>
                    </w:p>
                    <w:p w14:paraId="2BAB3A79"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Hot tubs*</w:t>
                      </w:r>
                    </w:p>
                    <w:p w14:paraId="62EEEF86"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Decorative fountains*</w:t>
                      </w:r>
                    </w:p>
                    <w:p w14:paraId="0367D108" w14:textId="77777777" w:rsidR="00A318FA" w:rsidRPr="00982419" w:rsidRDefault="00A318FA" w:rsidP="005A334D">
                      <w:pPr>
                        <w:pStyle w:val="ListParagraph"/>
                        <w:numPr>
                          <w:ilvl w:val="0"/>
                          <w:numId w:val="4"/>
                        </w:numPr>
                        <w:spacing w:after="20"/>
                        <w:contextualSpacing w:val="0"/>
                        <w:rPr>
                          <w:rFonts w:ascii="Arial" w:hAnsi="Arial" w:cs="Arial"/>
                          <w:sz w:val="18"/>
                          <w:szCs w:val="18"/>
                        </w:rPr>
                      </w:pPr>
                      <w:r w:rsidRPr="00982419">
                        <w:rPr>
                          <w:rFonts w:ascii="Arial" w:hAnsi="Arial" w:cs="Arial"/>
                          <w:sz w:val="18"/>
                          <w:szCs w:val="18"/>
                        </w:rPr>
                        <w:t>Cooling towers*</w:t>
                      </w:r>
                    </w:p>
                    <w:p w14:paraId="40CAE238" w14:textId="77777777" w:rsidR="00A318FA" w:rsidRPr="00982419" w:rsidRDefault="00A318FA" w:rsidP="005A334D">
                      <w:pPr>
                        <w:pStyle w:val="ListParagraph"/>
                        <w:numPr>
                          <w:ilvl w:val="0"/>
                          <w:numId w:val="4"/>
                        </w:numPr>
                        <w:spacing w:after="120"/>
                        <w:contextualSpacing w:val="0"/>
                        <w:rPr>
                          <w:rFonts w:ascii="Arial" w:hAnsi="Arial" w:cs="Arial"/>
                          <w:sz w:val="18"/>
                          <w:szCs w:val="18"/>
                        </w:rPr>
                      </w:pPr>
                      <w:r w:rsidRPr="00982419">
                        <w:rPr>
                          <w:rFonts w:ascii="Arial" w:hAnsi="Arial" w:cs="Arial"/>
                          <w:sz w:val="18"/>
                          <w:szCs w:val="18"/>
                        </w:rPr>
                        <w:t>Medical devices* (such as CPAP machines, hydrotherapy equipment, bronchoscopes)</w:t>
                      </w:r>
                    </w:p>
                    <w:p w14:paraId="42554EAB" w14:textId="77777777" w:rsidR="00A318FA" w:rsidRPr="00014E96" w:rsidRDefault="00A318FA" w:rsidP="005A334D">
                      <w:pPr>
                        <w:rPr>
                          <w:rFonts w:ascii="Arial" w:hAnsi="Arial" w:cs="Arial"/>
                          <w:sz w:val="16"/>
                          <w:szCs w:val="16"/>
                        </w:rPr>
                      </w:pPr>
                      <w:r w:rsidRPr="000161DC">
                        <w:rPr>
                          <w:rFonts w:ascii="Arial" w:hAnsi="Arial" w:cs="Arial"/>
                          <w:sz w:val="16"/>
                          <w:szCs w:val="16"/>
                        </w:rPr>
                        <w:t>*</w:t>
                      </w:r>
                      <w:r>
                        <w:rPr>
                          <w:rFonts w:ascii="Arial" w:hAnsi="Arial" w:cs="Arial"/>
                          <w:sz w:val="16"/>
                          <w:szCs w:val="16"/>
                        </w:rPr>
                        <w:t xml:space="preserve"> </w:t>
                      </w:r>
                      <w:r w:rsidRPr="00014E96">
                        <w:rPr>
                          <w:rFonts w:ascii="Arial" w:hAnsi="Arial" w:cs="Arial"/>
                          <w:sz w:val="16"/>
                          <w:szCs w:val="16"/>
                        </w:rPr>
                        <w:t>These devices can spread Legionella through</w:t>
                      </w:r>
                    </w:p>
                    <w:p w14:paraId="5DB7C52B" w14:textId="77777777" w:rsidR="00A318FA" w:rsidRPr="000161DC" w:rsidRDefault="00A318FA" w:rsidP="005A334D">
                      <w:pPr>
                        <w:spacing w:after="100"/>
                        <w:rPr>
                          <w:rFonts w:ascii="Arial" w:hAnsi="Arial" w:cs="Arial"/>
                          <w:sz w:val="16"/>
                          <w:szCs w:val="16"/>
                        </w:rPr>
                      </w:pPr>
                      <w:r w:rsidRPr="00014E96">
                        <w:rPr>
                          <w:rFonts w:ascii="Arial" w:hAnsi="Arial" w:cs="Arial"/>
                          <w:sz w:val="16"/>
                          <w:szCs w:val="16"/>
                        </w:rPr>
                        <w:t>aerosols or aspiration</w:t>
                      </w:r>
                      <w:r>
                        <w:rPr>
                          <w:rFonts w:ascii="Arial" w:hAnsi="Arial" w:cs="Arial"/>
                          <w:sz w:val="16"/>
                          <w:szCs w:val="16"/>
                        </w:rPr>
                        <w:t>.</w:t>
                      </w:r>
                    </w:p>
                    <w:p w14:paraId="6E13F4A9" w14:textId="77777777" w:rsidR="00A318FA" w:rsidRDefault="00A318FA" w:rsidP="005A334D">
                      <w:pPr>
                        <w:rPr>
                          <w:rFonts w:ascii="Arial" w:hAnsi="Arial" w:cs="Arial"/>
                          <w:sz w:val="18"/>
                          <w:szCs w:val="18"/>
                        </w:rPr>
                      </w:pPr>
                      <w:r w:rsidRPr="00C030CE">
                        <w:rPr>
                          <w:rFonts w:ascii="Arial" w:hAnsi="Arial" w:cs="Arial"/>
                          <w:i/>
                          <w:iCs/>
                          <w:sz w:val="16"/>
                          <w:szCs w:val="16"/>
                        </w:rPr>
                        <w:t>Source:</w:t>
                      </w:r>
                      <w:r w:rsidRPr="00C030CE">
                        <w:rPr>
                          <w:rFonts w:ascii="Arial" w:hAnsi="Arial" w:cs="Arial"/>
                          <w:sz w:val="16"/>
                          <w:szCs w:val="16"/>
                        </w:rPr>
                        <w:t xml:space="preserve"> </w:t>
                      </w:r>
                      <w:r w:rsidRPr="00982419">
                        <w:rPr>
                          <w:rFonts w:ascii="Arial" w:hAnsi="Arial" w:cs="Arial"/>
                          <w:sz w:val="16"/>
                          <w:szCs w:val="16"/>
                        </w:rPr>
                        <w:t xml:space="preserve">CDC. Developing a Water Management Program to Reduce </w:t>
                      </w:r>
                      <w:r w:rsidRPr="00982419">
                        <w:rPr>
                          <w:rFonts w:ascii="Arial" w:hAnsi="Arial" w:cs="Arial"/>
                          <w:i/>
                          <w:iCs/>
                          <w:sz w:val="16"/>
                          <w:szCs w:val="16"/>
                        </w:rPr>
                        <w:t>Legionella</w:t>
                      </w:r>
                      <w:r w:rsidRPr="00982419">
                        <w:rPr>
                          <w:rFonts w:ascii="Arial" w:hAnsi="Arial" w:cs="Arial"/>
                          <w:sz w:val="16"/>
                          <w:szCs w:val="16"/>
                        </w:rPr>
                        <w:t xml:space="preserve"> Growth and Spread in Buildings: A Practical Guide to Implementing Industry Standards. June 5, 2017. Version 1.1. p. </w:t>
                      </w:r>
                      <w:r>
                        <w:rPr>
                          <w:rFonts w:ascii="Arial" w:hAnsi="Arial" w:cs="Arial"/>
                          <w:sz w:val="16"/>
                          <w:szCs w:val="16"/>
                        </w:rPr>
                        <w:t>4</w:t>
                      </w:r>
                      <w:r w:rsidRPr="00982419">
                        <w:rPr>
                          <w:rFonts w:ascii="Arial" w:hAnsi="Arial" w:cs="Arial"/>
                          <w:sz w:val="16"/>
                          <w:szCs w:val="16"/>
                        </w:rPr>
                        <w:t xml:space="preserve">. Retrieved from </w:t>
                      </w:r>
                      <w:hyperlink r:id="rId66" w:history="1">
                        <w:r w:rsidRPr="00CD4E96">
                          <w:rPr>
                            <w:rStyle w:val="Hyperlink"/>
                            <w:rFonts w:ascii="Arial" w:hAnsi="Arial" w:cs="Arial"/>
                            <w:sz w:val="16"/>
                            <w:szCs w:val="16"/>
                          </w:rPr>
                          <w:t>https://www.cdc.gov/legionella/downloads/toolkit.pdf</w:t>
                        </w:r>
                      </w:hyperlink>
                      <w:r w:rsidRPr="00CD4E96">
                        <w:rPr>
                          <w:rFonts w:ascii="Arial" w:hAnsi="Arial" w:cs="Arial"/>
                          <w:sz w:val="16"/>
                          <w:szCs w:val="16"/>
                        </w:rPr>
                        <w:t>.</w:t>
                      </w:r>
                    </w:p>
                    <w:p w14:paraId="0E9DE2C5" w14:textId="77777777" w:rsidR="00A318FA" w:rsidRDefault="00A318FA" w:rsidP="005A334D">
                      <w:pPr>
                        <w:rPr>
                          <w:rFonts w:ascii="Arial" w:hAnsi="Arial" w:cs="Arial"/>
                          <w:sz w:val="18"/>
                          <w:szCs w:val="18"/>
                        </w:rPr>
                      </w:pPr>
                    </w:p>
                    <w:p w14:paraId="5A115E48" w14:textId="77777777" w:rsidR="00A318FA" w:rsidRDefault="00A318FA" w:rsidP="005A334D">
                      <w:pPr>
                        <w:rPr>
                          <w:rFonts w:ascii="Arial" w:hAnsi="Arial" w:cs="Arial"/>
                          <w:sz w:val="18"/>
                          <w:szCs w:val="18"/>
                        </w:rPr>
                      </w:pPr>
                    </w:p>
                    <w:p w14:paraId="675ACB44" w14:textId="77777777" w:rsidR="00A318FA" w:rsidRDefault="00A318FA" w:rsidP="005A334D">
                      <w:pPr>
                        <w:rPr>
                          <w:rFonts w:ascii="Arial" w:hAnsi="Arial" w:cs="Arial"/>
                          <w:sz w:val="18"/>
                          <w:szCs w:val="18"/>
                        </w:rPr>
                      </w:pPr>
                    </w:p>
                    <w:p w14:paraId="2134EB1D" w14:textId="77777777" w:rsidR="00A318FA" w:rsidRDefault="00A318FA" w:rsidP="005A334D">
                      <w:pPr>
                        <w:rPr>
                          <w:rFonts w:ascii="Arial" w:hAnsi="Arial" w:cs="Arial"/>
                          <w:sz w:val="18"/>
                          <w:szCs w:val="18"/>
                        </w:rPr>
                      </w:pPr>
                    </w:p>
                    <w:p w14:paraId="062C713C" w14:textId="77777777" w:rsidR="00A318FA" w:rsidRDefault="00A318FA" w:rsidP="005A334D">
                      <w:pPr>
                        <w:rPr>
                          <w:rFonts w:ascii="Arial" w:hAnsi="Arial" w:cs="Arial"/>
                          <w:sz w:val="18"/>
                          <w:szCs w:val="18"/>
                        </w:rPr>
                      </w:pPr>
                    </w:p>
                    <w:p w14:paraId="7200B906" w14:textId="77777777" w:rsidR="00A318FA" w:rsidRDefault="00A318FA" w:rsidP="005A334D">
                      <w:pPr>
                        <w:rPr>
                          <w:rFonts w:ascii="Arial" w:hAnsi="Arial" w:cs="Arial"/>
                          <w:sz w:val="18"/>
                          <w:szCs w:val="18"/>
                        </w:rPr>
                      </w:pPr>
                    </w:p>
                    <w:p w14:paraId="20C71E28" w14:textId="77777777" w:rsidR="00A318FA" w:rsidRDefault="00A318FA" w:rsidP="005A334D">
                      <w:pPr>
                        <w:rPr>
                          <w:rFonts w:ascii="Arial" w:hAnsi="Arial" w:cs="Arial"/>
                          <w:sz w:val="18"/>
                          <w:szCs w:val="18"/>
                        </w:rPr>
                      </w:pPr>
                    </w:p>
                  </w:txbxContent>
                </v:textbox>
                <w10:wrap type="square" anchorx="margin"/>
              </v:shape>
            </w:pict>
          </mc:Fallback>
        </mc:AlternateContent>
      </w:r>
      <w:r w:rsidR="005A334D" w:rsidRPr="00317FB6">
        <w:rPr>
          <w:rFonts w:asciiTheme="majorHAnsi" w:hAnsiTheme="majorHAnsi"/>
        </w:rPr>
        <w:t>The building has multiple housing units and a centralized hot water system (e.g., hotel, high-rise apartment complex).</w:t>
      </w:r>
    </w:p>
    <w:p w14:paraId="24C7E71C" w14:textId="4245A464" w:rsidR="005A334D" w:rsidRDefault="005A334D" w:rsidP="005A334D">
      <w:pPr>
        <w:pStyle w:val="ListParagraph"/>
        <w:numPr>
          <w:ilvl w:val="0"/>
          <w:numId w:val="5"/>
        </w:numPr>
        <w:spacing w:after="120" w:line="360" w:lineRule="auto"/>
        <w:contextualSpacing w:val="0"/>
        <w:rPr>
          <w:rFonts w:asciiTheme="majorHAnsi" w:hAnsiTheme="majorHAnsi"/>
        </w:rPr>
      </w:pPr>
      <w:r w:rsidRPr="00317FB6">
        <w:rPr>
          <w:rFonts w:asciiTheme="majorHAnsi" w:hAnsiTheme="majorHAnsi"/>
        </w:rPr>
        <w:t>The building has more than 10 stories (including basement levels).</w:t>
      </w:r>
    </w:p>
    <w:p w14:paraId="23F9D9F1" w14:textId="0F843980" w:rsidR="005A334D" w:rsidRPr="006531E1" w:rsidRDefault="005A334D" w:rsidP="005A334D">
      <w:pPr>
        <w:spacing w:line="360" w:lineRule="auto"/>
        <w:rPr>
          <w:rFonts w:asciiTheme="majorHAnsi" w:hAnsiTheme="majorHAnsi"/>
        </w:rPr>
      </w:pPr>
      <w:r>
        <w:rPr>
          <w:rFonts w:asciiTheme="majorHAnsi" w:hAnsiTheme="majorHAnsi"/>
        </w:rPr>
        <w:t xml:space="preserve">If a building meets any one of these criteria, a </w:t>
      </w:r>
      <w:r w:rsidR="00A47588">
        <w:rPr>
          <w:rFonts w:asciiTheme="majorHAnsi" w:hAnsiTheme="majorHAnsi"/>
        </w:rPr>
        <w:t>WMP</w:t>
      </w:r>
      <w:r w:rsidRPr="00741ACD">
        <w:rPr>
          <w:rFonts w:asciiTheme="majorHAnsi" w:hAnsiTheme="majorHAnsi"/>
        </w:rPr>
        <w:t xml:space="preserve"> for that building’s hot and cold water distribution system</w:t>
      </w:r>
      <w:r>
        <w:rPr>
          <w:rFonts w:asciiTheme="majorHAnsi" w:hAnsiTheme="majorHAnsi"/>
        </w:rPr>
        <w:t xml:space="preserve"> should be developed.</w:t>
      </w:r>
      <w:r>
        <w:rPr>
          <w:rStyle w:val="FootnoteReference"/>
          <w:rFonts w:asciiTheme="majorHAnsi" w:hAnsiTheme="majorHAnsi"/>
        </w:rPr>
        <w:footnoteReference w:id="108"/>
      </w:r>
    </w:p>
    <w:p w14:paraId="432AC054" w14:textId="77777777" w:rsidR="005A334D" w:rsidRPr="006948AC" w:rsidRDefault="005A334D" w:rsidP="005A334D">
      <w:pPr>
        <w:spacing w:line="360" w:lineRule="auto"/>
        <w:rPr>
          <w:rFonts w:asciiTheme="majorHAnsi" w:hAnsiTheme="majorHAnsi"/>
        </w:rPr>
      </w:pPr>
    </w:p>
    <w:p w14:paraId="5A211ED2" w14:textId="77777777" w:rsidR="005A334D" w:rsidRPr="002A15F2" w:rsidRDefault="005A334D" w:rsidP="005A334D">
      <w:pPr>
        <w:spacing w:line="360" w:lineRule="auto"/>
        <w:rPr>
          <w:rFonts w:asciiTheme="majorHAnsi" w:hAnsiTheme="majorHAnsi"/>
          <w:b/>
          <w:bCs/>
        </w:rPr>
      </w:pPr>
      <w:r w:rsidRPr="002A15F2">
        <w:rPr>
          <w:rFonts w:asciiTheme="majorHAnsi" w:hAnsiTheme="majorHAnsi"/>
          <w:b/>
          <w:bCs/>
        </w:rPr>
        <w:t>Device Characteristics</w:t>
      </w:r>
      <w:r>
        <w:rPr>
          <w:rStyle w:val="FootnoteReference"/>
          <w:rFonts w:asciiTheme="majorHAnsi" w:hAnsiTheme="majorHAnsi"/>
          <w:b/>
          <w:bCs/>
        </w:rPr>
        <w:footnoteReference w:id="109"/>
      </w:r>
    </w:p>
    <w:p w14:paraId="43A842FE" w14:textId="77777777" w:rsidR="005A334D" w:rsidRDefault="005A334D" w:rsidP="005A334D">
      <w:pPr>
        <w:pStyle w:val="ListParagraph"/>
        <w:numPr>
          <w:ilvl w:val="0"/>
          <w:numId w:val="6"/>
        </w:numPr>
        <w:spacing w:line="360" w:lineRule="auto"/>
        <w:rPr>
          <w:rFonts w:asciiTheme="majorHAnsi" w:hAnsiTheme="majorHAnsi"/>
        </w:rPr>
      </w:pPr>
      <w:r>
        <w:rPr>
          <w:rFonts w:asciiTheme="majorHAnsi" w:hAnsiTheme="majorHAnsi"/>
        </w:rPr>
        <w:t xml:space="preserve">The building has </w:t>
      </w:r>
      <w:r w:rsidRPr="00A75D46">
        <w:rPr>
          <w:rFonts w:asciiTheme="majorHAnsi" w:hAnsiTheme="majorHAnsi"/>
        </w:rPr>
        <w:t>a cooling tower</w:t>
      </w:r>
      <w:r>
        <w:rPr>
          <w:rFonts w:asciiTheme="majorHAnsi" w:hAnsiTheme="majorHAnsi"/>
        </w:rPr>
        <w:t>.</w:t>
      </w:r>
      <w:r>
        <w:rPr>
          <w:rStyle w:val="FootnoteReference"/>
          <w:rFonts w:asciiTheme="majorHAnsi" w:hAnsiTheme="majorHAnsi"/>
        </w:rPr>
        <w:footnoteReference w:id="110"/>
      </w:r>
      <w:r>
        <w:rPr>
          <w:rFonts w:asciiTheme="majorHAnsi" w:hAnsiTheme="majorHAnsi"/>
        </w:rPr>
        <w:t xml:space="preserve"> </w:t>
      </w:r>
    </w:p>
    <w:p w14:paraId="291EE8E9" w14:textId="77777777" w:rsidR="005A334D" w:rsidRDefault="005A334D" w:rsidP="005A334D">
      <w:pPr>
        <w:pStyle w:val="ListParagraph"/>
        <w:numPr>
          <w:ilvl w:val="0"/>
          <w:numId w:val="6"/>
        </w:numPr>
        <w:spacing w:line="360" w:lineRule="auto"/>
        <w:rPr>
          <w:rFonts w:asciiTheme="majorHAnsi" w:hAnsiTheme="majorHAnsi"/>
        </w:rPr>
      </w:pPr>
      <w:r>
        <w:rPr>
          <w:rFonts w:asciiTheme="majorHAnsi" w:hAnsiTheme="majorHAnsi"/>
        </w:rPr>
        <w:t>The building has a hot tub/spa that is not drained between each use.</w:t>
      </w:r>
    </w:p>
    <w:p w14:paraId="21D9F5EF" w14:textId="77777777" w:rsidR="005A334D" w:rsidRDefault="005A334D" w:rsidP="005A334D">
      <w:pPr>
        <w:pStyle w:val="ListParagraph"/>
        <w:numPr>
          <w:ilvl w:val="0"/>
          <w:numId w:val="6"/>
        </w:numPr>
        <w:spacing w:line="360" w:lineRule="auto"/>
        <w:rPr>
          <w:rFonts w:asciiTheme="majorHAnsi" w:hAnsiTheme="majorHAnsi"/>
        </w:rPr>
      </w:pPr>
      <w:r>
        <w:rPr>
          <w:rFonts w:asciiTheme="majorHAnsi" w:hAnsiTheme="majorHAnsi"/>
        </w:rPr>
        <w:t>The building has a decorative fountain.</w:t>
      </w:r>
    </w:p>
    <w:p w14:paraId="41BC89A5" w14:textId="77777777" w:rsidR="005A334D" w:rsidRPr="00A75D46" w:rsidRDefault="005A334D" w:rsidP="005A334D">
      <w:pPr>
        <w:pStyle w:val="ListParagraph"/>
        <w:numPr>
          <w:ilvl w:val="0"/>
          <w:numId w:val="6"/>
        </w:numPr>
        <w:spacing w:after="120" w:line="360" w:lineRule="auto"/>
        <w:contextualSpacing w:val="0"/>
        <w:rPr>
          <w:rFonts w:asciiTheme="majorHAnsi" w:hAnsiTheme="majorHAnsi"/>
        </w:rPr>
      </w:pPr>
      <w:r>
        <w:rPr>
          <w:rFonts w:asciiTheme="majorHAnsi" w:hAnsiTheme="majorHAnsi"/>
        </w:rPr>
        <w:t>The building has a centrally-installed mister, atomizer, air washer, or humidifier.</w:t>
      </w:r>
    </w:p>
    <w:p w14:paraId="78F96524" w14:textId="0529C576" w:rsidR="005A334D" w:rsidRDefault="005A334D" w:rsidP="005A334D">
      <w:pPr>
        <w:spacing w:line="360" w:lineRule="auto"/>
        <w:rPr>
          <w:rFonts w:asciiTheme="majorHAnsi" w:hAnsiTheme="majorHAnsi"/>
        </w:rPr>
      </w:pPr>
      <w:r>
        <w:rPr>
          <w:rFonts w:asciiTheme="majorHAnsi" w:hAnsiTheme="majorHAnsi"/>
        </w:rPr>
        <w:t>Because d</w:t>
      </w:r>
      <w:r w:rsidRPr="005D791E">
        <w:rPr>
          <w:rFonts w:asciiTheme="majorHAnsi" w:hAnsiTheme="majorHAnsi"/>
        </w:rPr>
        <w:t xml:space="preserve">evices in </w:t>
      </w:r>
      <w:r>
        <w:rPr>
          <w:rFonts w:asciiTheme="majorHAnsi" w:hAnsiTheme="majorHAnsi"/>
        </w:rPr>
        <w:t xml:space="preserve">a </w:t>
      </w:r>
      <w:r w:rsidRPr="005D791E">
        <w:rPr>
          <w:rFonts w:asciiTheme="majorHAnsi" w:hAnsiTheme="majorHAnsi"/>
        </w:rPr>
        <w:t>building</w:t>
      </w:r>
      <w:r>
        <w:rPr>
          <w:rFonts w:asciiTheme="majorHAnsi" w:hAnsiTheme="majorHAnsi"/>
        </w:rPr>
        <w:t xml:space="preserve"> </w:t>
      </w:r>
      <w:r w:rsidRPr="005D791E">
        <w:rPr>
          <w:rFonts w:asciiTheme="majorHAnsi" w:hAnsiTheme="majorHAnsi"/>
        </w:rPr>
        <w:t>can spread contaminated water droplets</w:t>
      </w:r>
      <w:r>
        <w:rPr>
          <w:rFonts w:asciiTheme="majorHAnsi" w:hAnsiTheme="majorHAnsi"/>
        </w:rPr>
        <w:t xml:space="preserve">, owners or operators </w:t>
      </w:r>
      <w:r>
        <w:rPr>
          <w:rFonts w:asciiTheme="majorHAnsi" w:hAnsiTheme="majorHAnsi"/>
        </w:rPr>
        <w:lastRenderedPageBreak/>
        <w:t xml:space="preserve">of a building should have a </w:t>
      </w:r>
      <w:r w:rsidR="00A47588">
        <w:rPr>
          <w:rFonts w:asciiTheme="majorHAnsi" w:hAnsiTheme="majorHAnsi"/>
        </w:rPr>
        <w:t>WMP</w:t>
      </w:r>
      <w:r>
        <w:rPr>
          <w:rFonts w:asciiTheme="majorHAnsi" w:hAnsiTheme="majorHAnsi"/>
        </w:rPr>
        <w:t xml:space="preserve"> for the devices even if one is not needed for the entire building.</w:t>
      </w:r>
      <w:r>
        <w:rPr>
          <w:rStyle w:val="FootnoteReference"/>
          <w:rFonts w:asciiTheme="majorHAnsi" w:hAnsiTheme="majorHAnsi"/>
        </w:rPr>
        <w:footnoteReference w:id="111"/>
      </w:r>
      <w:r w:rsidRPr="005D791E">
        <w:rPr>
          <w:rFonts w:asciiTheme="majorHAnsi" w:hAnsiTheme="majorHAnsi"/>
        </w:rPr>
        <w:t xml:space="preserve"> </w:t>
      </w:r>
    </w:p>
    <w:p w14:paraId="12AA0CFE" w14:textId="77777777" w:rsidR="005A334D" w:rsidRPr="003C4DDC" w:rsidRDefault="005A334D" w:rsidP="005A334D">
      <w:pPr>
        <w:spacing w:line="360" w:lineRule="auto"/>
        <w:rPr>
          <w:rFonts w:asciiTheme="majorHAnsi" w:hAnsiTheme="majorHAnsi"/>
        </w:rPr>
      </w:pPr>
    </w:p>
    <w:p w14:paraId="20C129F1" w14:textId="77777777" w:rsidR="005A334D" w:rsidRPr="003C4DDC" w:rsidRDefault="005A334D" w:rsidP="005A334D">
      <w:pPr>
        <w:spacing w:after="120" w:line="360" w:lineRule="auto"/>
        <w:rPr>
          <w:rFonts w:ascii="Arial" w:hAnsi="Arial" w:cs="Arial"/>
          <w:b/>
          <w:bCs/>
        </w:rPr>
      </w:pPr>
      <w:r>
        <w:rPr>
          <w:rFonts w:ascii="Arial" w:hAnsi="Arial" w:cs="Arial"/>
          <w:b/>
          <w:bCs/>
        </w:rPr>
        <w:t xml:space="preserve">Understanding </w:t>
      </w:r>
      <w:r w:rsidRPr="008800E0">
        <w:rPr>
          <w:rFonts w:ascii="Arial" w:hAnsi="Arial" w:cs="Arial"/>
          <w:b/>
          <w:bCs/>
          <w:i/>
          <w:iCs/>
        </w:rPr>
        <w:t>Legionella</w:t>
      </w:r>
      <w:r>
        <w:rPr>
          <w:rFonts w:ascii="Arial" w:hAnsi="Arial" w:cs="Arial"/>
          <w:b/>
          <w:bCs/>
        </w:rPr>
        <w:t xml:space="preserve"> Growth in Building Water Systems</w:t>
      </w:r>
      <w:r w:rsidRPr="003C4DDC">
        <w:rPr>
          <w:rFonts w:ascii="Arial" w:hAnsi="Arial" w:cs="Arial"/>
          <w:b/>
          <w:bCs/>
        </w:rPr>
        <w:t xml:space="preserve"> </w:t>
      </w:r>
    </w:p>
    <w:p w14:paraId="2D72C8D6" w14:textId="31B0DF51" w:rsidR="005A334D" w:rsidRPr="00992377" w:rsidRDefault="005A334D" w:rsidP="005A334D">
      <w:pPr>
        <w:spacing w:after="120" w:line="360" w:lineRule="auto"/>
        <w:rPr>
          <w:rFonts w:asciiTheme="majorHAnsi" w:hAnsiTheme="majorHAnsi"/>
        </w:rPr>
      </w:pPr>
      <w:r w:rsidRPr="00992377">
        <w:rPr>
          <w:rFonts w:asciiTheme="majorHAnsi" w:hAnsiTheme="majorHAnsi"/>
        </w:rPr>
        <w:t>CDC</w:t>
      </w:r>
      <w:r w:rsidR="00D07706">
        <w:rPr>
          <w:rFonts w:asciiTheme="majorHAnsi" w:hAnsiTheme="majorHAnsi"/>
        </w:rPr>
        <w:t xml:space="preserve"> and ASHRAE</w:t>
      </w:r>
      <w:r w:rsidRPr="00992377">
        <w:rPr>
          <w:rFonts w:asciiTheme="majorHAnsi" w:hAnsiTheme="majorHAnsi"/>
        </w:rPr>
        <w:t xml:space="preserve"> identif</w:t>
      </w:r>
      <w:r w:rsidR="00D07706">
        <w:rPr>
          <w:rFonts w:asciiTheme="majorHAnsi" w:hAnsiTheme="majorHAnsi"/>
        </w:rPr>
        <w:t>y</w:t>
      </w:r>
      <w:r w:rsidRPr="00992377">
        <w:rPr>
          <w:rFonts w:asciiTheme="majorHAnsi" w:hAnsiTheme="majorHAnsi"/>
        </w:rPr>
        <w:t xml:space="preserve"> multiple </w:t>
      </w:r>
      <w:r>
        <w:rPr>
          <w:rFonts w:asciiTheme="majorHAnsi" w:hAnsiTheme="majorHAnsi"/>
        </w:rPr>
        <w:t xml:space="preserve">internal and external </w:t>
      </w:r>
      <w:r w:rsidRPr="00992377">
        <w:rPr>
          <w:rFonts w:asciiTheme="majorHAnsi" w:hAnsiTheme="majorHAnsi"/>
        </w:rPr>
        <w:t>factors in a building</w:t>
      </w:r>
      <w:r>
        <w:rPr>
          <w:rFonts w:asciiTheme="majorHAnsi" w:hAnsiTheme="majorHAnsi"/>
        </w:rPr>
        <w:t xml:space="preserve">’s water system </w:t>
      </w:r>
      <w:r w:rsidRPr="00992377">
        <w:rPr>
          <w:rFonts w:asciiTheme="majorHAnsi" w:hAnsiTheme="majorHAnsi"/>
        </w:rPr>
        <w:t xml:space="preserve">that can give rise to </w:t>
      </w:r>
      <w:r w:rsidR="00D07706">
        <w:rPr>
          <w:rFonts w:asciiTheme="majorHAnsi" w:hAnsiTheme="majorHAnsi"/>
        </w:rPr>
        <w:t>biofilm</w:t>
      </w:r>
      <w:r w:rsidR="001B5A0E">
        <w:rPr>
          <w:rStyle w:val="FootnoteReference"/>
          <w:rFonts w:asciiTheme="majorHAnsi" w:hAnsiTheme="majorHAnsi"/>
        </w:rPr>
        <w:footnoteReference w:id="112"/>
      </w:r>
      <w:r w:rsidR="00D07706">
        <w:rPr>
          <w:rFonts w:asciiTheme="majorHAnsi" w:hAnsiTheme="majorHAnsi"/>
        </w:rPr>
        <w:t xml:space="preserve"> formation, microbial colonization, and ultimately the </w:t>
      </w:r>
      <w:r w:rsidRPr="00992377">
        <w:rPr>
          <w:rFonts w:asciiTheme="majorHAnsi" w:hAnsiTheme="majorHAnsi"/>
        </w:rPr>
        <w:t xml:space="preserve">proliferation of </w:t>
      </w:r>
      <w:r w:rsidRPr="00992377">
        <w:rPr>
          <w:rFonts w:asciiTheme="majorHAnsi" w:hAnsiTheme="majorHAnsi"/>
          <w:i/>
          <w:iCs/>
        </w:rPr>
        <w:t>Legionella</w:t>
      </w:r>
      <w:r w:rsidRPr="00992377">
        <w:rPr>
          <w:rFonts w:asciiTheme="majorHAnsi" w:hAnsiTheme="majorHAnsi"/>
        </w:rPr>
        <w:t>.</w:t>
      </w:r>
      <w:r w:rsidRPr="00992377">
        <w:rPr>
          <w:rFonts w:asciiTheme="majorHAnsi" w:hAnsiTheme="majorHAnsi"/>
          <w:vertAlign w:val="superscript"/>
        </w:rPr>
        <w:footnoteReference w:id="113"/>
      </w:r>
      <w:r w:rsidRPr="00992377">
        <w:rPr>
          <w:rFonts w:asciiTheme="majorHAnsi" w:hAnsiTheme="majorHAnsi"/>
        </w:rPr>
        <w:t xml:space="preserve"> </w:t>
      </w:r>
      <w:r w:rsidR="00580525">
        <w:rPr>
          <w:rFonts w:asciiTheme="majorHAnsi" w:hAnsiTheme="majorHAnsi"/>
        </w:rPr>
        <w:t>Internal conditions</w:t>
      </w:r>
      <w:r w:rsidR="00D07706">
        <w:rPr>
          <w:rFonts w:asciiTheme="majorHAnsi" w:hAnsiTheme="majorHAnsi"/>
        </w:rPr>
        <w:t xml:space="preserve"> which allow for the growth of </w:t>
      </w:r>
      <w:r w:rsidR="00D07706" w:rsidRPr="00D07706">
        <w:rPr>
          <w:rFonts w:asciiTheme="majorHAnsi" w:hAnsiTheme="majorHAnsi"/>
          <w:i/>
          <w:iCs/>
        </w:rPr>
        <w:t>Legionella</w:t>
      </w:r>
      <w:r w:rsidR="00D07706">
        <w:rPr>
          <w:rFonts w:asciiTheme="majorHAnsi" w:hAnsiTheme="majorHAnsi"/>
        </w:rPr>
        <w:t xml:space="preserve"> </w:t>
      </w:r>
      <w:r w:rsidRPr="00992377">
        <w:rPr>
          <w:rFonts w:asciiTheme="majorHAnsi" w:hAnsiTheme="majorHAnsi"/>
        </w:rPr>
        <w:t>include:</w:t>
      </w:r>
      <w:r w:rsidR="00D07706" w:rsidRPr="00D07706">
        <w:t xml:space="preserve"> </w:t>
      </w:r>
    </w:p>
    <w:p w14:paraId="468B75ED" w14:textId="58C5E604" w:rsidR="005A334D" w:rsidRPr="00992377" w:rsidRDefault="005A334D" w:rsidP="005A334D">
      <w:pPr>
        <w:numPr>
          <w:ilvl w:val="0"/>
          <w:numId w:val="3"/>
        </w:numPr>
        <w:spacing w:after="120" w:line="360" w:lineRule="auto"/>
        <w:rPr>
          <w:rFonts w:asciiTheme="majorHAnsi" w:hAnsiTheme="majorHAnsi"/>
        </w:rPr>
      </w:pPr>
      <w:r>
        <w:rPr>
          <w:rFonts w:asciiTheme="majorHAnsi" w:hAnsiTheme="majorHAnsi"/>
          <w:b/>
          <w:bCs/>
        </w:rPr>
        <w:t>Sediment</w:t>
      </w:r>
      <w:r w:rsidRPr="00992377">
        <w:rPr>
          <w:rFonts w:asciiTheme="majorHAnsi" w:hAnsiTheme="majorHAnsi"/>
          <w:b/>
          <w:bCs/>
        </w:rPr>
        <w:t xml:space="preserve"> </w:t>
      </w:r>
      <w:r>
        <w:rPr>
          <w:rFonts w:asciiTheme="majorHAnsi" w:hAnsiTheme="majorHAnsi"/>
          <w:b/>
          <w:bCs/>
        </w:rPr>
        <w:t>–</w:t>
      </w:r>
      <w:r w:rsidRPr="00992377">
        <w:rPr>
          <w:rFonts w:asciiTheme="majorHAnsi" w:hAnsiTheme="majorHAnsi"/>
        </w:rPr>
        <w:t xml:space="preserve"> </w:t>
      </w:r>
      <w:r>
        <w:rPr>
          <w:rFonts w:asciiTheme="majorHAnsi" w:hAnsiTheme="majorHAnsi"/>
        </w:rPr>
        <w:t xml:space="preserve">Sediment and scale, a </w:t>
      </w:r>
      <w:r w:rsidRPr="00BE58FE">
        <w:rPr>
          <w:rFonts w:asciiTheme="majorHAnsi" w:hAnsiTheme="majorHAnsi"/>
        </w:rPr>
        <w:t xml:space="preserve">build-up </w:t>
      </w:r>
      <w:r>
        <w:rPr>
          <w:rFonts w:asciiTheme="majorHAnsi" w:hAnsiTheme="majorHAnsi"/>
        </w:rPr>
        <w:t xml:space="preserve">of minerals </w:t>
      </w:r>
      <w:r w:rsidRPr="00BE58FE">
        <w:rPr>
          <w:rFonts w:asciiTheme="majorHAnsi" w:hAnsiTheme="majorHAnsi"/>
        </w:rPr>
        <w:t>in a water system</w:t>
      </w:r>
      <w:r>
        <w:rPr>
          <w:rFonts w:asciiTheme="majorHAnsi" w:hAnsiTheme="majorHAnsi"/>
        </w:rPr>
        <w:t>,</w:t>
      </w:r>
      <w:r w:rsidRPr="00BE58FE">
        <w:rPr>
          <w:rFonts w:asciiTheme="majorHAnsi" w:hAnsiTheme="majorHAnsi"/>
        </w:rPr>
        <w:t xml:space="preserve"> </w:t>
      </w:r>
      <w:r>
        <w:rPr>
          <w:rFonts w:asciiTheme="majorHAnsi" w:hAnsiTheme="majorHAnsi"/>
        </w:rPr>
        <w:t xml:space="preserve">support the growth and survival of germs including </w:t>
      </w:r>
      <w:r w:rsidRPr="009B1586">
        <w:rPr>
          <w:rFonts w:asciiTheme="majorHAnsi" w:hAnsiTheme="majorHAnsi"/>
          <w:i/>
          <w:iCs/>
        </w:rPr>
        <w:t>Legionella</w:t>
      </w:r>
      <w:r>
        <w:rPr>
          <w:rFonts w:asciiTheme="majorHAnsi" w:hAnsiTheme="majorHAnsi"/>
        </w:rPr>
        <w:t>.</w:t>
      </w:r>
      <w:r w:rsidR="001B5A0E">
        <w:rPr>
          <w:rStyle w:val="FootnoteReference"/>
          <w:rFonts w:asciiTheme="majorHAnsi" w:hAnsiTheme="majorHAnsi"/>
        </w:rPr>
        <w:footnoteReference w:id="114"/>
      </w:r>
      <w:r>
        <w:rPr>
          <w:rFonts w:asciiTheme="majorHAnsi" w:hAnsiTheme="majorHAnsi"/>
        </w:rPr>
        <w:t xml:space="preserve"> It can reduce the </w:t>
      </w:r>
      <w:r w:rsidRPr="00015A78">
        <w:rPr>
          <w:rFonts w:asciiTheme="majorHAnsi" w:hAnsiTheme="majorHAnsi"/>
        </w:rPr>
        <w:t>amount of disinfectant available</w:t>
      </w:r>
      <w:r>
        <w:rPr>
          <w:rFonts w:asciiTheme="majorHAnsi" w:hAnsiTheme="majorHAnsi"/>
        </w:rPr>
        <w:t xml:space="preserve"> in the water system to combat and control germs.</w:t>
      </w:r>
      <w:r w:rsidR="001B5A0E">
        <w:rPr>
          <w:rStyle w:val="FootnoteReference"/>
          <w:rFonts w:asciiTheme="majorHAnsi" w:hAnsiTheme="majorHAnsi"/>
        </w:rPr>
        <w:footnoteReference w:id="115"/>
      </w:r>
    </w:p>
    <w:p w14:paraId="6F37E4A1" w14:textId="670C3D97" w:rsidR="005A334D" w:rsidRPr="00992377" w:rsidRDefault="005A334D" w:rsidP="005A334D">
      <w:pPr>
        <w:numPr>
          <w:ilvl w:val="0"/>
          <w:numId w:val="3"/>
        </w:numPr>
        <w:spacing w:after="120" w:line="360" w:lineRule="auto"/>
        <w:rPr>
          <w:rFonts w:asciiTheme="majorHAnsi" w:hAnsiTheme="majorHAnsi"/>
        </w:rPr>
      </w:pPr>
      <w:r>
        <w:rPr>
          <w:rFonts w:asciiTheme="majorHAnsi" w:hAnsiTheme="majorHAnsi"/>
          <w:b/>
          <w:bCs/>
        </w:rPr>
        <w:t>Temperature</w:t>
      </w:r>
      <w:r w:rsidRPr="00992377">
        <w:rPr>
          <w:rFonts w:asciiTheme="majorHAnsi" w:hAnsiTheme="majorHAnsi"/>
        </w:rPr>
        <w:t xml:space="preserve"> – </w:t>
      </w:r>
      <w:r w:rsidRPr="001543F1">
        <w:rPr>
          <w:rFonts w:asciiTheme="majorHAnsi" w:hAnsiTheme="majorHAnsi"/>
          <w:i/>
          <w:iCs/>
        </w:rPr>
        <w:t>Legionella</w:t>
      </w:r>
      <w:r w:rsidRPr="001543F1">
        <w:rPr>
          <w:rFonts w:asciiTheme="majorHAnsi" w:hAnsiTheme="majorHAnsi"/>
        </w:rPr>
        <w:t xml:space="preserve"> generally grow well between 77°F and 113°F.</w:t>
      </w:r>
      <w:r w:rsidR="001543F1">
        <w:rPr>
          <w:rStyle w:val="FootnoteReference"/>
          <w:rFonts w:asciiTheme="majorHAnsi" w:hAnsiTheme="majorHAnsi"/>
        </w:rPr>
        <w:footnoteReference w:id="116"/>
      </w:r>
      <w:r w:rsidRPr="001543F1">
        <w:rPr>
          <w:rFonts w:asciiTheme="majorHAnsi" w:hAnsiTheme="majorHAnsi"/>
        </w:rPr>
        <w:t xml:space="preserve"> The optimal growth range for Legionella is 85°F and 108°F.</w:t>
      </w:r>
      <w:r w:rsidR="001543F1">
        <w:rPr>
          <w:rStyle w:val="FootnoteReference"/>
          <w:rFonts w:asciiTheme="majorHAnsi" w:hAnsiTheme="majorHAnsi"/>
        </w:rPr>
        <w:footnoteReference w:id="117"/>
      </w:r>
      <w:r w:rsidRPr="001543F1">
        <w:rPr>
          <w:rFonts w:asciiTheme="majorHAnsi" w:hAnsiTheme="majorHAnsi"/>
        </w:rPr>
        <w:t xml:space="preserve"> Growth slows between 113°F and 120°F, and </w:t>
      </w:r>
      <w:r w:rsidRPr="001543F1">
        <w:rPr>
          <w:rFonts w:asciiTheme="majorHAnsi" w:hAnsiTheme="majorHAnsi"/>
          <w:i/>
          <w:iCs/>
        </w:rPr>
        <w:t>Legionella</w:t>
      </w:r>
      <w:r w:rsidRPr="001543F1">
        <w:rPr>
          <w:rFonts w:asciiTheme="majorHAnsi" w:hAnsiTheme="majorHAnsi"/>
        </w:rPr>
        <w:t xml:space="preserve"> begin to die above 120°F.</w:t>
      </w:r>
      <w:r w:rsidR="001543F1">
        <w:rPr>
          <w:rStyle w:val="FootnoteReference"/>
          <w:rFonts w:asciiTheme="majorHAnsi" w:hAnsiTheme="majorHAnsi"/>
        </w:rPr>
        <w:footnoteReference w:id="118"/>
      </w:r>
      <w:r w:rsidRPr="001543F1">
        <w:rPr>
          <w:rFonts w:asciiTheme="majorHAnsi" w:hAnsiTheme="majorHAnsi"/>
        </w:rPr>
        <w:t xml:space="preserve"> Growth also slows between 77°F and 68°F, and </w:t>
      </w:r>
      <w:r w:rsidRPr="001543F1">
        <w:rPr>
          <w:rFonts w:asciiTheme="majorHAnsi" w:hAnsiTheme="majorHAnsi"/>
          <w:i/>
          <w:iCs/>
        </w:rPr>
        <w:t>Legionella</w:t>
      </w:r>
      <w:r w:rsidRPr="001543F1">
        <w:rPr>
          <w:rFonts w:asciiTheme="majorHAnsi" w:hAnsiTheme="majorHAnsi"/>
        </w:rPr>
        <w:t xml:space="preserve"> become </w:t>
      </w:r>
      <w:r w:rsidRPr="001543F1">
        <w:rPr>
          <w:rFonts w:asciiTheme="majorHAnsi" w:hAnsiTheme="majorHAnsi"/>
        </w:rPr>
        <w:lastRenderedPageBreak/>
        <w:t>dormant below 68°F.</w:t>
      </w:r>
      <w:r w:rsidR="001543F1">
        <w:rPr>
          <w:rStyle w:val="FootnoteReference"/>
          <w:rFonts w:asciiTheme="majorHAnsi" w:hAnsiTheme="majorHAnsi"/>
        </w:rPr>
        <w:footnoteReference w:id="119"/>
      </w:r>
      <w:r w:rsidRPr="00992377">
        <w:rPr>
          <w:rFonts w:asciiTheme="majorHAnsi" w:hAnsiTheme="majorHAnsi"/>
        </w:rPr>
        <w:t xml:space="preserve"> Factors that can affect water temperature can include external weather conditions (e.g., cold water in a hot climate) or restrictions on hot water temperatures.</w:t>
      </w:r>
      <w:r w:rsidR="001543F1" w:rsidRPr="00992377">
        <w:rPr>
          <w:rFonts w:asciiTheme="majorHAnsi" w:hAnsiTheme="majorHAnsi"/>
          <w:vertAlign w:val="superscript"/>
        </w:rPr>
        <w:footnoteReference w:id="120"/>
      </w:r>
    </w:p>
    <w:p w14:paraId="11F0A477" w14:textId="0ADC48D0" w:rsidR="005A334D" w:rsidRPr="00992377" w:rsidRDefault="005A334D" w:rsidP="003A61D9">
      <w:pPr>
        <w:numPr>
          <w:ilvl w:val="0"/>
          <w:numId w:val="3"/>
        </w:numPr>
        <w:spacing w:after="120" w:line="360" w:lineRule="auto"/>
        <w:rPr>
          <w:rFonts w:asciiTheme="majorHAnsi" w:hAnsiTheme="majorHAnsi"/>
        </w:rPr>
      </w:pPr>
      <w:r w:rsidRPr="00992377">
        <w:rPr>
          <w:rFonts w:asciiTheme="majorHAnsi" w:hAnsiTheme="majorHAnsi"/>
          <w:b/>
          <w:bCs/>
        </w:rPr>
        <w:t xml:space="preserve">Water </w:t>
      </w:r>
      <w:r w:rsidR="00316B05">
        <w:rPr>
          <w:rFonts w:asciiTheme="majorHAnsi" w:hAnsiTheme="majorHAnsi"/>
          <w:b/>
          <w:bCs/>
        </w:rPr>
        <w:t>A</w:t>
      </w:r>
      <w:r>
        <w:rPr>
          <w:rFonts w:asciiTheme="majorHAnsi" w:hAnsiTheme="majorHAnsi"/>
          <w:b/>
          <w:bCs/>
        </w:rPr>
        <w:t>ge</w:t>
      </w:r>
      <w:r w:rsidRPr="00992377">
        <w:rPr>
          <w:rFonts w:asciiTheme="majorHAnsi" w:hAnsiTheme="majorHAnsi"/>
          <w:b/>
          <w:bCs/>
        </w:rPr>
        <w:t xml:space="preserve"> –</w:t>
      </w:r>
      <w:r w:rsidRPr="00992377">
        <w:rPr>
          <w:rFonts w:asciiTheme="majorHAnsi" w:hAnsiTheme="majorHAnsi"/>
        </w:rPr>
        <w:t xml:space="preserve"> Water can stagnate in portions of a building’s water system or </w:t>
      </w:r>
      <w:r w:rsidR="00F5066F">
        <w:rPr>
          <w:rFonts w:asciiTheme="majorHAnsi" w:hAnsiTheme="majorHAnsi"/>
        </w:rPr>
        <w:t xml:space="preserve">in </w:t>
      </w:r>
      <w:r w:rsidRPr="00992377">
        <w:rPr>
          <w:rFonts w:asciiTheme="majorHAnsi" w:hAnsiTheme="majorHAnsi"/>
        </w:rPr>
        <w:t xml:space="preserve">devices that are not </w:t>
      </w:r>
      <w:r w:rsidR="00F5066F">
        <w:rPr>
          <w:rFonts w:asciiTheme="majorHAnsi" w:hAnsiTheme="majorHAnsi"/>
        </w:rPr>
        <w:t xml:space="preserve">used </w:t>
      </w:r>
      <w:r w:rsidRPr="00992377">
        <w:rPr>
          <w:rFonts w:asciiTheme="majorHAnsi" w:hAnsiTheme="majorHAnsi"/>
        </w:rPr>
        <w:t>regularly</w:t>
      </w:r>
      <w:r w:rsidR="00F5066F">
        <w:rPr>
          <w:rFonts w:asciiTheme="majorHAnsi" w:hAnsiTheme="majorHAnsi"/>
        </w:rPr>
        <w:t>,</w:t>
      </w:r>
      <w:r w:rsidRPr="00992377">
        <w:rPr>
          <w:rFonts w:asciiTheme="majorHAnsi" w:hAnsiTheme="majorHAnsi"/>
        </w:rPr>
        <w:t xml:space="preserve"> if parts of the system become clogged or blocked, and if there are changes to the design of the system through facility renovation.</w:t>
      </w:r>
      <w:r w:rsidR="00F5066F">
        <w:rPr>
          <w:rStyle w:val="FootnoteReference"/>
          <w:rFonts w:asciiTheme="majorHAnsi" w:hAnsiTheme="majorHAnsi"/>
        </w:rPr>
        <w:footnoteReference w:id="121"/>
      </w:r>
      <w:r w:rsidRPr="00992377">
        <w:rPr>
          <w:rFonts w:asciiTheme="majorHAnsi" w:hAnsiTheme="majorHAnsi"/>
        </w:rPr>
        <w:t xml:space="preserve"> If water does not flow properly, then stagnating areas can give rise to biofilm, increased water temperatures conducive to </w:t>
      </w:r>
      <w:r w:rsidRPr="0032799E">
        <w:rPr>
          <w:rFonts w:asciiTheme="majorHAnsi" w:hAnsiTheme="majorHAnsi"/>
          <w:i/>
          <w:iCs/>
        </w:rPr>
        <w:t>Legionella</w:t>
      </w:r>
      <w:r w:rsidRPr="00992377">
        <w:rPr>
          <w:rFonts w:asciiTheme="majorHAnsi" w:hAnsiTheme="majorHAnsi"/>
        </w:rPr>
        <w:t xml:space="preserve"> growth, and decreased levels of disinfectants.</w:t>
      </w:r>
      <w:r w:rsidRPr="00992377">
        <w:rPr>
          <w:rFonts w:asciiTheme="majorHAnsi" w:hAnsiTheme="majorHAnsi"/>
          <w:vertAlign w:val="superscript"/>
        </w:rPr>
        <w:footnoteReference w:id="122"/>
      </w:r>
    </w:p>
    <w:p w14:paraId="045CE27B" w14:textId="0C99DDBC" w:rsidR="003A61D9" w:rsidRPr="00992377" w:rsidRDefault="003A61D9" w:rsidP="003A61D9">
      <w:pPr>
        <w:numPr>
          <w:ilvl w:val="0"/>
          <w:numId w:val="3"/>
        </w:numPr>
        <w:spacing w:line="360" w:lineRule="auto"/>
        <w:rPr>
          <w:rFonts w:asciiTheme="majorHAnsi" w:hAnsiTheme="majorHAnsi"/>
        </w:rPr>
      </w:pPr>
      <w:r>
        <w:rPr>
          <w:rFonts w:asciiTheme="majorHAnsi" w:hAnsiTheme="majorHAnsi"/>
          <w:b/>
          <w:bCs/>
        </w:rPr>
        <w:t xml:space="preserve">Disinfectant </w:t>
      </w:r>
      <w:r w:rsidR="00316B05">
        <w:rPr>
          <w:rFonts w:asciiTheme="majorHAnsi" w:hAnsiTheme="majorHAnsi"/>
          <w:b/>
          <w:bCs/>
        </w:rPr>
        <w:t>R</w:t>
      </w:r>
      <w:r>
        <w:rPr>
          <w:rFonts w:asciiTheme="majorHAnsi" w:hAnsiTheme="majorHAnsi"/>
          <w:b/>
          <w:bCs/>
        </w:rPr>
        <w:t>esidual</w:t>
      </w:r>
      <w:r w:rsidRPr="00992377">
        <w:rPr>
          <w:rFonts w:asciiTheme="majorHAnsi" w:hAnsiTheme="majorHAnsi"/>
        </w:rPr>
        <w:t xml:space="preserve"> – </w:t>
      </w:r>
      <w:r w:rsidRPr="00992377">
        <w:rPr>
          <w:rFonts w:asciiTheme="majorHAnsi" w:hAnsiTheme="majorHAnsi"/>
          <w:i/>
          <w:iCs/>
        </w:rPr>
        <w:t>Legionella</w:t>
      </w:r>
      <w:r w:rsidRPr="00992377">
        <w:rPr>
          <w:rFonts w:asciiTheme="majorHAnsi" w:hAnsiTheme="majorHAnsi"/>
        </w:rPr>
        <w:t xml:space="preserve"> can thrive in a building if the levels of disinfectant in its water systems are inadequate.</w:t>
      </w:r>
      <w:r>
        <w:rPr>
          <w:rFonts w:asciiTheme="majorHAnsi" w:hAnsiTheme="majorHAnsi"/>
        </w:rPr>
        <w:t xml:space="preserve"> Multiple factors affect the rate at which disinfectants decay including the type of disinfectant used, quality of the water entering the building and the organic matter in it, pH levels in the water</w:t>
      </w:r>
      <w:r>
        <w:rPr>
          <w:rStyle w:val="FootnoteReference"/>
          <w:rFonts w:asciiTheme="majorHAnsi" w:hAnsiTheme="majorHAnsi"/>
        </w:rPr>
        <w:footnoteReference w:id="123"/>
      </w:r>
      <w:r>
        <w:rPr>
          <w:rFonts w:asciiTheme="majorHAnsi" w:hAnsiTheme="majorHAnsi"/>
        </w:rPr>
        <w:t>, materials used in the plumbing system, and time.</w:t>
      </w:r>
      <w:r>
        <w:rPr>
          <w:rStyle w:val="FootnoteReference"/>
          <w:rFonts w:asciiTheme="majorHAnsi" w:hAnsiTheme="majorHAnsi"/>
        </w:rPr>
        <w:footnoteReference w:id="124"/>
      </w:r>
      <w:r w:rsidRPr="00992377">
        <w:rPr>
          <w:rFonts w:asciiTheme="majorHAnsi" w:hAnsiTheme="majorHAnsi"/>
        </w:rPr>
        <w:t xml:space="preserve"> Depending on the building type, processes like heating, storing, and filtering water can </w:t>
      </w:r>
      <w:r>
        <w:rPr>
          <w:rFonts w:asciiTheme="majorHAnsi" w:hAnsiTheme="majorHAnsi"/>
        </w:rPr>
        <w:t xml:space="preserve">also </w:t>
      </w:r>
      <w:r w:rsidRPr="00992377">
        <w:rPr>
          <w:rFonts w:asciiTheme="majorHAnsi" w:hAnsiTheme="majorHAnsi"/>
        </w:rPr>
        <w:t xml:space="preserve">reduce the amount of disinfectant available to impede </w:t>
      </w:r>
      <w:r w:rsidRPr="00144E0E">
        <w:rPr>
          <w:rFonts w:asciiTheme="majorHAnsi" w:hAnsiTheme="majorHAnsi"/>
          <w:i/>
          <w:iCs/>
        </w:rPr>
        <w:t>Legionella</w:t>
      </w:r>
      <w:r w:rsidRPr="00992377">
        <w:rPr>
          <w:rFonts w:asciiTheme="majorHAnsi" w:hAnsiTheme="majorHAnsi"/>
        </w:rPr>
        <w:t xml:space="preserve"> growth.</w:t>
      </w:r>
      <w:r w:rsidRPr="00992377">
        <w:rPr>
          <w:rFonts w:asciiTheme="majorHAnsi" w:hAnsiTheme="majorHAnsi"/>
          <w:vertAlign w:val="superscript"/>
        </w:rPr>
        <w:footnoteReference w:id="125"/>
      </w:r>
    </w:p>
    <w:p w14:paraId="57E2167C" w14:textId="77777777" w:rsidR="005A334D" w:rsidRPr="00992377" w:rsidRDefault="005A334D" w:rsidP="005A334D">
      <w:pPr>
        <w:spacing w:line="360" w:lineRule="auto"/>
        <w:rPr>
          <w:rFonts w:asciiTheme="majorHAnsi" w:hAnsiTheme="majorHAnsi"/>
        </w:rPr>
      </w:pPr>
    </w:p>
    <w:p w14:paraId="1785882A" w14:textId="77777777" w:rsidR="005A334D" w:rsidRPr="00992377" w:rsidRDefault="005A334D" w:rsidP="005A334D">
      <w:pPr>
        <w:spacing w:after="120" w:line="360" w:lineRule="auto"/>
        <w:rPr>
          <w:rFonts w:asciiTheme="majorHAnsi" w:hAnsiTheme="majorHAnsi"/>
        </w:rPr>
      </w:pPr>
      <w:r w:rsidRPr="00992377">
        <w:rPr>
          <w:rFonts w:asciiTheme="majorHAnsi" w:hAnsiTheme="majorHAnsi"/>
        </w:rPr>
        <w:t xml:space="preserve">External factors </w:t>
      </w:r>
      <w:r>
        <w:rPr>
          <w:rFonts w:asciiTheme="majorHAnsi" w:hAnsiTheme="majorHAnsi"/>
        </w:rPr>
        <w:t xml:space="preserve">that may be </w:t>
      </w:r>
      <w:r w:rsidRPr="00992377">
        <w:rPr>
          <w:rFonts w:asciiTheme="majorHAnsi" w:hAnsiTheme="majorHAnsi"/>
        </w:rPr>
        <w:t xml:space="preserve">beyond the control </w:t>
      </w:r>
      <w:r>
        <w:rPr>
          <w:rFonts w:asciiTheme="majorHAnsi" w:hAnsiTheme="majorHAnsi"/>
        </w:rPr>
        <w:t>of building ow</w:t>
      </w:r>
      <w:r w:rsidRPr="00992377">
        <w:rPr>
          <w:rFonts w:asciiTheme="majorHAnsi" w:hAnsiTheme="majorHAnsi"/>
        </w:rPr>
        <w:t xml:space="preserve">ners and operators can also impact </w:t>
      </w:r>
      <w:r>
        <w:rPr>
          <w:rFonts w:asciiTheme="majorHAnsi" w:hAnsiTheme="majorHAnsi"/>
        </w:rPr>
        <w:t>a building’s</w:t>
      </w:r>
      <w:r w:rsidRPr="00992377">
        <w:rPr>
          <w:rFonts w:asciiTheme="majorHAnsi" w:hAnsiTheme="majorHAnsi"/>
        </w:rPr>
        <w:t xml:space="preserve"> water systems and lead to the growth and spread of </w:t>
      </w:r>
      <w:r w:rsidRPr="00992377">
        <w:rPr>
          <w:rFonts w:asciiTheme="majorHAnsi" w:hAnsiTheme="majorHAnsi"/>
          <w:i/>
          <w:iCs/>
        </w:rPr>
        <w:t>Legionella</w:t>
      </w:r>
      <w:r w:rsidRPr="00992377">
        <w:rPr>
          <w:rFonts w:asciiTheme="majorHAnsi" w:hAnsiTheme="majorHAnsi"/>
        </w:rPr>
        <w:t>. These factors include:</w:t>
      </w:r>
    </w:p>
    <w:p w14:paraId="78C5630F" w14:textId="6527B1D1" w:rsidR="005A334D" w:rsidRPr="00992377" w:rsidRDefault="005A334D" w:rsidP="005A334D">
      <w:pPr>
        <w:numPr>
          <w:ilvl w:val="0"/>
          <w:numId w:val="2"/>
        </w:numPr>
        <w:spacing w:after="120" w:line="360" w:lineRule="auto"/>
        <w:rPr>
          <w:rFonts w:asciiTheme="majorHAnsi" w:hAnsiTheme="majorHAnsi"/>
        </w:rPr>
      </w:pPr>
      <w:r w:rsidRPr="00992377">
        <w:rPr>
          <w:rFonts w:asciiTheme="majorHAnsi" w:hAnsiTheme="majorHAnsi"/>
          <w:b/>
          <w:bCs/>
        </w:rPr>
        <w:lastRenderedPageBreak/>
        <w:t>Construction</w:t>
      </w:r>
      <w:r w:rsidRPr="008660B9">
        <w:rPr>
          <w:rFonts w:asciiTheme="majorHAnsi" w:hAnsiTheme="majorHAnsi"/>
          <w:b/>
          <w:bCs/>
        </w:rPr>
        <w:t xml:space="preserve"> </w:t>
      </w:r>
      <w:r>
        <w:rPr>
          <w:rFonts w:asciiTheme="majorHAnsi" w:hAnsiTheme="majorHAnsi"/>
          <w:b/>
          <w:bCs/>
        </w:rPr>
        <w:t>–</w:t>
      </w:r>
      <w:r w:rsidRPr="008660B9">
        <w:rPr>
          <w:rFonts w:asciiTheme="majorHAnsi" w:hAnsiTheme="majorHAnsi"/>
        </w:rPr>
        <w:t xml:space="preserve"> </w:t>
      </w:r>
      <w:r>
        <w:rPr>
          <w:rFonts w:asciiTheme="majorHAnsi" w:hAnsiTheme="majorHAnsi"/>
        </w:rPr>
        <w:t>Construction around a building can cause v</w:t>
      </w:r>
      <w:r w:rsidRPr="008660B9">
        <w:rPr>
          <w:rFonts w:asciiTheme="majorHAnsi" w:hAnsiTheme="majorHAnsi"/>
        </w:rPr>
        <w:t>ibrations and changes in water pressure</w:t>
      </w:r>
      <w:r>
        <w:rPr>
          <w:rFonts w:asciiTheme="majorHAnsi" w:hAnsiTheme="majorHAnsi"/>
        </w:rPr>
        <w:t xml:space="preserve"> that may </w:t>
      </w:r>
      <w:r w:rsidRPr="008660B9">
        <w:rPr>
          <w:rFonts w:asciiTheme="majorHAnsi" w:hAnsiTheme="majorHAnsi"/>
        </w:rPr>
        <w:t>dislodge biofilm</w:t>
      </w:r>
      <w:r>
        <w:rPr>
          <w:rFonts w:asciiTheme="majorHAnsi" w:hAnsiTheme="majorHAnsi"/>
        </w:rPr>
        <w:t xml:space="preserve"> thereby </w:t>
      </w:r>
      <w:r w:rsidRPr="008660B9">
        <w:rPr>
          <w:rFonts w:asciiTheme="majorHAnsi" w:hAnsiTheme="majorHAnsi"/>
        </w:rPr>
        <w:t>free</w:t>
      </w:r>
      <w:r>
        <w:rPr>
          <w:rFonts w:asciiTheme="majorHAnsi" w:hAnsiTheme="majorHAnsi"/>
        </w:rPr>
        <w:t>ing</w:t>
      </w:r>
      <w:r w:rsidRPr="008660B9">
        <w:rPr>
          <w:rFonts w:asciiTheme="majorHAnsi" w:hAnsiTheme="majorHAnsi"/>
        </w:rPr>
        <w:t xml:space="preserve"> </w:t>
      </w:r>
      <w:r w:rsidRPr="00A44B0E">
        <w:rPr>
          <w:rFonts w:asciiTheme="majorHAnsi" w:hAnsiTheme="majorHAnsi"/>
          <w:i/>
          <w:iCs/>
        </w:rPr>
        <w:t>Legionella</w:t>
      </w:r>
      <w:r w:rsidRPr="008660B9">
        <w:rPr>
          <w:rFonts w:asciiTheme="majorHAnsi" w:hAnsiTheme="majorHAnsi"/>
        </w:rPr>
        <w:t xml:space="preserve"> </w:t>
      </w:r>
      <w:r>
        <w:rPr>
          <w:rFonts w:asciiTheme="majorHAnsi" w:hAnsiTheme="majorHAnsi"/>
        </w:rPr>
        <w:t>and other germs to enter the building through the water supply.</w:t>
      </w:r>
      <w:r>
        <w:rPr>
          <w:rStyle w:val="FootnoteReference"/>
          <w:rFonts w:asciiTheme="majorHAnsi" w:hAnsiTheme="majorHAnsi"/>
        </w:rPr>
        <w:footnoteReference w:id="126"/>
      </w:r>
      <w:r>
        <w:rPr>
          <w:rFonts w:asciiTheme="majorHAnsi" w:hAnsiTheme="majorHAnsi"/>
        </w:rPr>
        <w:t xml:space="preserve"> </w:t>
      </w:r>
    </w:p>
    <w:p w14:paraId="4776324E" w14:textId="77777777" w:rsidR="005A334D" w:rsidRPr="00992377" w:rsidRDefault="005A334D" w:rsidP="005A334D">
      <w:pPr>
        <w:numPr>
          <w:ilvl w:val="0"/>
          <w:numId w:val="2"/>
        </w:numPr>
        <w:spacing w:after="120" w:line="360" w:lineRule="auto"/>
        <w:rPr>
          <w:rFonts w:asciiTheme="majorHAnsi" w:hAnsiTheme="majorHAnsi"/>
        </w:rPr>
      </w:pPr>
      <w:r w:rsidRPr="00992377">
        <w:rPr>
          <w:rFonts w:asciiTheme="majorHAnsi" w:hAnsiTheme="majorHAnsi"/>
          <w:b/>
          <w:bCs/>
        </w:rPr>
        <w:t>Water main breaks</w:t>
      </w:r>
      <w:r w:rsidRPr="000C4DE8">
        <w:rPr>
          <w:rFonts w:asciiTheme="majorHAnsi" w:hAnsiTheme="majorHAnsi"/>
          <w:b/>
          <w:bCs/>
        </w:rPr>
        <w:t xml:space="preserve"> </w:t>
      </w:r>
      <w:r>
        <w:rPr>
          <w:rFonts w:asciiTheme="majorHAnsi" w:hAnsiTheme="majorHAnsi"/>
          <w:b/>
          <w:bCs/>
        </w:rPr>
        <w:t>–</w:t>
      </w:r>
      <w:r>
        <w:rPr>
          <w:rFonts w:asciiTheme="majorHAnsi" w:hAnsiTheme="majorHAnsi"/>
        </w:rPr>
        <w:t xml:space="preserve"> Water main breaks cause c</w:t>
      </w:r>
      <w:r w:rsidRPr="008C5610">
        <w:rPr>
          <w:rFonts w:asciiTheme="majorHAnsi" w:hAnsiTheme="majorHAnsi"/>
        </w:rPr>
        <w:t xml:space="preserve">hanges in water pressure </w:t>
      </w:r>
      <w:r>
        <w:rPr>
          <w:rFonts w:asciiTheme="majorHAnsi" w:hAnsiTheme="majorHAnsi"/>
        </w:rPr>
        <w:t xml:space="preserve">which </w:t>
      </w:r>
      <w:r w:rsidRPr="008C5610">
        <w:rPr>
          <w:rFonts w:asciiTheme="majorHAnsi" w:hAnsiTheme="majorHAnsi"/>
        </w:rPr>
        <w:t xml:space="preserve">can dislodge biofilm and free </w:t>
      </w:r>
      <w:r w:rsidRPr="00CB2BE3">
        <w:rPr>
          <w:rFonts w:asciiTheme="majorHAnsi" w:hAnsiTheme="majorHAnsi"/>
          <w:i/>
          <w:iCs/>
        </w:rPr>
        <w:t>Legionella</w:t>
      </w:r>
      <w:r w:rsidRPr="008C5610">
        <w:rPr>
          <w:rFonts w:asciiTheme="majorHAnsi" w:hAnsiTheme="majorHAnsi"/>
        </w:rPr>
        <w:t xml:space="preserve"> </w:t>
      </w:r>
      <w:r>
        <w:rPr>
          <w:rFonts w:asciiTheme="majorHAnsi" w:hAnsiTheme="majorHAnsi"/>
        </w:rPr>
        <w:t xml:space="preserve">and other germs </w:t>
      </w:r>
      <w:r w:rsidRPr="008C5610">
        <w:rPr>
          <w:rFonts w:asciiTheme="majorHAnsi" w:hAnsiTheme="majorHAnsi"/>
        </w:rPr>
        <w:t>into the</w:t>
      </w:r>
      <w:r>
        <w:rPr>
          <w:rFonts w:asciiTheme="majorHAnsi" w:hAnsiTheme="majorHAnsi"/>
        </w:rPr>
        <w:t xml:space="preserve"> </w:t>
      </w:r>
      <w:r w:rsidRPr="00A44B0E">
        <w:rPr>
          <w:rFonts w:asciiTheme="majorHAnsi" w:hAnsiTheme="majorHAnsi"/>
        </w:rPr>
        <w:t>water</w:t>
      </w:r>
      <w:r>
        <w:rPr>
          <w:rFonts w:asciiTheme="majorHAnsi" w:hAnsiTheme="majorHAnsi"/>
        </w:rPr>
        <w:t xml:space="preserve"> supplied to a building. Likewise, </w:t>
      </w:r>
      <w:r w:rsidRPr="00A44B0E">
        <w:rPr>
          <w:rFonts w:asciiTheme="majorHAnsi" w:hAnsiTheme="majorHAnsi"/>
        </w:rPr>
        <w:t xml:space="preserve">dirt and other materials </w:t>
      </w:r>
      <w:r>
        <w:rPr>
          <w:rFonts w:asciiTheme="majorHAnsi" w:hAnsiTheme="majorHAnsi"/>
        </w:rPr>
        <w:t xml:space="preserve">potentially </w:t>
      </w:r>
      <w:r w:rsidRPr="00A44B0E">
        <w:rPr>
          <w:rFonts w:asciiTheme="majorHAnsi" w:hAnsiTheme="majorHAnsi"/>
        </w:rPr>
        <w:t xml:space="preserve">introduced into the water </w:t>
      </w:r>
      <w:r>
        <w:rPr>
          <w:rFonts w:asciiTheme="majorHAnsi" w:hAnsiTheme="majorHAnsi"/>
        </w:rPr>
        <w:t xml:space="preserve">supplied to a building can </w:t>
      </w:r>
      <w:r w:rsidRPr="00A44B0E">
        <w:rPr>
          <w:rFonts w:asciiTheme="majorHAnsi" w:hAnsiTheme="majorHAnsi"/>
        </w:rPr>
        <w:t>use up disinfectant</w:t>
      </w:r>
      <w:r>
        <w:rPr>
          <w:rFonts w:asciiTheme="majorHAnsi" w:hAnsiTheme="majorHAnsi"/>
        </w:rPr>
        <w:t xml:space="preserve"> that would otherwise control </w:t>
      </w:r>
      <w:r w:rsidRPr="007D7CB2">
        <w:rPr>
          <w:rFonts w:asciiTheme="majorHAnsi" w:hAnsiTheme="majorHAnsi"/>
          <w:i/>
          <w:iCs/>
        </w:rPr>
        <w:t>Legionella</w:t>
      </w:r>
      <w:r>
        <w:rPr>
          <w:rFonts w:asciiTheme="majorHAnsi" w:hAnsiTheme="majorHAnsi"/>
        </w:rPr>
        <w:t xml:space="preserve"> and other germs.</w:t>
      </w:r>
      <w:r>
        <w:rPr>
          <w:rStyle w:val="FootnoteReference"/>
          <w:rFonts w:asciiTheme="majorHAnsi" w:hAnsiTheme="majorHAnsi"/>
        </w:rPr>
        <w:footnoteReference w:id="127"/>
      </w:r>
    </w:p>
    <w:p w14:paraId="1C74BDEB" w14:textId="77777777" w:rsidR="005A334D" w:rsidRPr="00992377" w:rsidRDefault="005A334D" w:rsidP="005A334D">
      <w:pPr>
        <w:numPr>
          <w:ilvl w:val="0"/>
          <w:numId w:val="2"/>
        </w:numPr>
        <w:spacing w:line="360" w:lineRule="auto"/>
        <w:contextualSpacing/>
        <w:rPr>
          <w:rFonts w:asciiTheme="majorHAnsi" w:hAnsiTheme="majorHAnsi"/>
        </w:rPr>
      </w:pPr>
      <w:r w:rsidRPr="00992377">
        <w:rPr>
          <w:rFonts w:asciiTheme="majorHAnsi" w:hAnsiTheme="majorHAnsi"/>
          <w:b/>
          <w:bCs/>
        </w:rPr>
        <w:t>Changes in municipal water quality</w:t>
      </w:r>
      <w:r w:rsidRPr="000C4DE8">
        <w:rPr>
          <w:rFonts w:asciiTheme="majorHAnsi" w:hAnsiTheme="majorHAnsi"/>
          <w:b/>
          <w:bCs/>
        </w:rPr>
        <w:t xml:space="preserve"> –</w:t>
      </w:r>
      <w:r>
        <w:rPr>
          <w:rFonts w:asciiTheme="majorHAnsi" w:hAnsiTheme="majorHAnsi"/>
        </w:rPr>
        <w:t xml:space="preserve"> Changes in the quality of water supplied through municipal water systems can result in increased sediment, lower disinfectant levels, increased turbidity, or pH levels outside of recommended ranges.</w:t>
      </w:r>
      <w:r>
        <w:rPr>
          <w:rStyle w:val="FootnoteReference"/>
          <w:rFonts w:asciiTheme="majorHAnsi" w:hAnsiTheme="majorHAnsi"/>
        </w:rPr>
        <w:footnoteReference w:id="128"/>
      </w:r>
    </w:p>
    <w:p w14:paraId="45A6A335" w14:textId="77777777" w:rsidR="005A334D" w:rsidRPr="00992377" w:rsidRDefault="005A334D" w:rsidP="005A334D">
      <w:pPr>
        <w:spacing w:line="360" w:lineRule="auto"/>
      </w:pPr>
    </w:p>
    <w:p w14:paraId="24D002FE" w14:textId="77777777" w:rsidR="005A334D" w:rsidRPr="008A0E4B" w:rsidRDefault="005A334D" w:rsidP="007C3C84">
      <w:pPr>
        <w:keepNext/>
        <w:spacing w:after="120" w:line="360" w:lineRule="auto"/>
        <w:rPr>
          <w:rFonts w:asciiTheme="majorHAnsi" w:hAnsiTheme="majorHAnsi" w:cstheme="majorHAnsi"/>
        </w:rPr>
      </w:pPr>
      <w:r>
        <w:rPr>
          <w:rFonts w:ascii="Arial" w:hAnsi="Arial" w:cs="Arial"/>
          <w:b/>
          <w:bCs/>
        </w:rPr>
        <w:t>The Role of Water Management Programs</w:t>
      </w:r>
    </w:p>
    <w:p w14:paraId="5B0FA2D6" w14:textId="0B6ACB4C" w:rsidR="005A334D" w:rsidRDefault="005A334D" w:rsidP="005A334D">
      <w:pPr>
        <w:spacing w:line="360" w:lineRule="auto"/>
        <w:rPr>
          <w:rFonts w:asciiTheme="majorHAnsi" w:hAnsiTheme="majorHAnsi" w:cstheme="majorHAnsi"/>
        </w:rPr>
      </w:pPr>
      <w:r w:rsidRPr="00F80E9F">
        <w:rPr>
          <w:rFonts w:asciiTheme="majorHAnsi" w:hAnsiTheme="majorHAnsi" w:cstheme="majorHAnsi"/>
          <w:b/>
          <w:bCs/>
          <w:noProof/>
        </w:rPr>
        <mc:AlternateContent>
          <mc:Choice Requires="wps">
            <w:drawing>
              <wp:anchor distT="45720" distB="45720" distL="114300" distR="114300" simplePos="0" relativeHeight="251661312" behindDoc="0" locked="0" layoutInCell="1" allowOverlap="1" wp14:anchorId="4AC8DEFA" wp14:editId="171EF9E2">
                <wp:simplePos x="0" y="0"/>
                <wp:positionH relativeFrom="margin">
                  <wp:posOffset>3728085</wp:posOffset>
                </wp:positionH>
                <wp:positionV relativeFrom="paragraph">
                  <wp:posOffset>838200</wp:posOffset>
                </wp:positionV>
                <wp:extent cx="2063115" cy="2150110"/>
                <wp:effectExtent l="0" t="0" r="13335" b="2159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115" cy="2150110"/>
                        </a:xfrm>
                        <a:prstGeom prst="rect">
                          <a:avLst/>
                        </a:prstGeom>
                        <a:solidFill>
                          <a:srgbClr val="FFFFFF"/>
                        </a:solidFill>
                        <a:ln w="9525">
                          <a:solidFill>
                            <a:srgbClr val="000000"/>
                          </a:solidFill>
                          <a:miter lim="800000"/>
                          <a:headEnd/>
                          <a:tailEnd/>
                        </a:ln>
                      </wps:spPr>
                      <wps:txbx>
                        <w:txbxContent>
                          <w:p w14:paraId="59ABB4C6" w14:textId="77777777" w:rsidR="00A318FA" w:rsidRPr="004A3F52" w:rsidRDefault="00A318FA" w:rsidP="005A334D">
                            <w:pPr>
                              <w:rPr>
                                <w:rFonts w:ascii="Arial" w:hAnsi="Arial" w:cs="Arial"/>
                                <w:b/>
                                <w:bCs/>
                                <w:sz w:val="18"/>
                                <w:szCs w:val="18"/>
                              </w:rPr>
                            </w:pPr>
                            <w:r w:rsidRPr="004A3F52">
                              <w:rPr>
                                <w:rFonts w:ascii="Arial" w:hAnsi="Arial" w:cs="Arial"/>
                                <w:b/>
                                <w:bCs/>
                                <w:sz w:val="18"/>
                                <w:szCs w:val="18"/>
                              </w:rPr>
                              <w:t>For More Information….</w:t>
                            </w:r>
                          </w:p>
                          <w:p w14:paraId="2B42EC05" w14:textId="77777777" w:rsidR="00A318FA" w:rsidRPr="00A65992" w:rsidRDefault="00A318FA" w:rsidP="005A334D">
                            <w:pPr>
                              <w:rPr>
                                <w:rFonts w:ascii="Arial" w:hAnsi="Arial" w:cs="Arial"/>
                                <w:sz w:val="18"/>
                                <w:szCs w:val="18"/>
                              </w:rPr>
                            </w:pPr>
                          </w:p>
                          <w:p w14:paraId="4165385C" w14:textId="77777777" w:rsidR="00A318FA" w:rsidRDefault="00A318FA" w:rsidP="005A334D">
                            <w:pPr>
                              <w:rPr>
                                <w:rFonts w:ascii="Arial" w:hAnsi="Arial" w:cs="Arial"/>
                                <w:i/>
                                <w:iCs/>
                                <w:sz w:val="18"/>
                                <w:szCs w:val="18"/>
                              </w:rPr>
                            </w:pPr>
                            <w:r w:rsidRPr="00A65992">
                              <w:rPr>
                                <w:rFonts w:ascii="Arial" w:hAnsi="Arial" w:cs="Arial"/>
                                <w:sz w:val="18"/>
                                <w:szCs w:val="18"/>
                              </w:rPr>
                              <w:t>See CSTE’s</w:t>
                            </w:r>
                            <w:r w:rsidRPr="00A65992">
                              <w:rPr>
                                <w:rFonts w:ascii="Arial" w:hAnsi="Arial" w:cs="Arial"/>
                                <w:i/>
                                <w:iCs/>
                                <w:sz w:val="18"/>
                                <w:szCs w:val="18"/>
                              </w:rPr>
                              <w:t xml:space="preserve"> Water Management Program Template. </w:t>
                            </w:r>
                          </w:p>
                          <w:p w14:paraId="632FF245" w14:textId="77777777" w:rsidR="00A318FA" w:rsidRDefault="00A318FA" w:rsidP="005A334D">
                            <w:pPr>
                              <w:rPr>
                                <w:rFonts w:ascii="Arial" w:hAnsi="Arial" w:cs="Arial"/>
                                <w:i/>
                                <w:iCs/>
                                <w:sz w:val="18"/>
                                <w:szCs w:val="18"/>
                              </w:rPr>
                            </w:pPr>
                          </w:p>
                          <w:p w14:paraId="416E1A88" w14:textId="77777777" w:rsidR="00A318FA" w:rsidRDefault="00A318FA" w:rsidP="005A334D">
                            <w:pPr>
                              <w:rPr>
                                <w:rFonts w:ascii="Arial" w:hAnsi="Arial" w:cs="Arial"/>
                                <w:sz w:val="18"/>
                                <w:szCs w:val="18"/>
                                <w:shd w:val="clear" w:color="auto" w:fill="FFFFFF"/>
                              </w:rPr>
                            </w:pPr>
                            <w:r w:rsidRPr="00A65992">
                              <w:rPr>
                                <w:rFonts w:ascii="Arial" w:hAnsi="Arial" w:cs="Arial"/>
                                <w:sz w:val="18"/>
                                <w:szCs w:val="18"/>
                                <w:shd w:val="clear" w:color="auto" w:fill="FFFFFF"/>
                              </w:rPr>
                              <w:t xml:space="preserve">The template is intended to be an interactive tool that facilities can use to create or improve their water management program with emphasis on </w:t>
                            </w:r>
                            <w:r w:rsidRPr="00A65992">
                              <w:rPr>
                                <w:rFonts w:ascii="Arial" w:hAnsi="Arial" w:cs="Arial"/>
                                <w:i/>
                                <w:iCs/>
                                <w:sz w:val="18"/>
                                <w:szCs w:val="18"/>
                                <w:shd w:val="clear" w:color="auto" w:fill="FFFFFF"/>
                              </w:rPr>
                              <w:t>Legionella</w:t>
                            </w:r>
                            <w:r w:rsidRPr="00A65992">
                              <w:rPr>
                                <w:rFonts w:ascii="Arial" w:hAnsi="Arial" w:cs="Arial"/>
                                <w:sz w:val="18"/>
                                <w:szCs w:val="18"/>
                                <w:shd w:val="clear" w:color="auto" w:fill="FFFFFF"/>
                              </w:rPr>
                              <w:t xml:space="preserve"> control and prevention. </w:t>
                            </w:r>
                          </w:p>
                          <w:p w14:paraId="37FCA89A" w14:textId="77777777" w:rsidR="00A318FA" w:rsidRDefault="00A318FA" w:rsidP="005A334D">
                            <w:pPr>
                              <w:rPr>
                                <w:rFonts w:ascii="Arial" w:hAnsi="Arial" w:cs="Arial"/>
                                <w:sz w:val="18"/>
                                <w:szCs w:val="18"/>
                                <w:shd w:val="clear" w:color="auto" w:fill="FFFFFF"/>
                              </w:rPr>
                            </w:pPr>
                          </w:p>
                          <w:p w14:paraId="72DCE393" w14:textId="77777777" w:rsidR="00A318FA" w:rsidRPr="00A65992" w:rsidRDefault="00A318FA" w:rsidP="005A334D">
                            <w:pPr>
                              <w:rPr>
                                <w:rFonts w:ascii="Arial" w:hAnsi="Arial" w:cs="Arial"/>
                                <w:sz w:val="18"/>
                                <w:szCs w:val="18"/>
                              </w:rPr>
                            </w:pPr>
                            <w:r w:rsidRPr="00A65992">
                              <w:rPr>
                                <w:rFonts w:ascii="Arial" w:hAnsi="Arial" w:cs="Arial"/>
                                <w:sz w:val="18"/>
                                <w:szCs w:val="18"/>
                                <w:shd w:val="clear" w:color="auto" w:fill="FFFFFF"/>
                              </w:rPr>
                              <w:t xml:space="preserve">Available at: </w:t>
                            </w:r>
                            <w:hyperlink r:id="rId67" w:history="1">
                              <w:r w:rsidRPr="00A65992">
                                <w:rPr>
                                  <w:rStyle w:val="Hyperlink"/>
                                  <w:rFonts w:ascii="Arial" w:hAnsi="Arial" w:cs="Arial"/>
                                  <w:sz w:val="18"/>
                                  <w:szCs w:val="18"/>
                                </w:rPr>
                                <w:t>https://www.cste.org/general/custom.asp?page=Legionnaires</w:t>
                              </w:r>
                            </w:hyperlink>
                            <w:r w:rsidRPr="00A65992">
                              <w:rPr>
                                <w:rFonts w:ascii="Arial" w:hAnsi="Arial" w:cs="Arial"/>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8DEFA" id="_x0000_s1040" type="#_x0000_t202" style="position:absolute;margin-left:293.55pt;margin-top:66pt;width:162.45pt;height:169.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">
                <v:textbox>
                  <w:txbxContent>
                    <w:p w14:paraId="59ABB4C6" w14:textId="77777777" w:rsidR="00A318FA" w:rsidRPr="004A3F52" w:rsidRDefault="00A318FA" w:rsidP="005A334D">
                      <w:pPr>
                        <w:rPr>
                          <w:rFonts w:ascii="Arial" w:hAnsi="Arial" w:cs="Arial"/>
                          <w:b/>
                          <w:bCs/>
                          <w:sz w:val="18"/>
                          <w:szCs w:val="18"/>
                        </w:rPr>
                      </w:pPr>
                      <w:r w:rsidRPr="004A3F52">
                        <w:rPr>
                          <w:rFonts w:ascii="Arial" w:hAnsi="Arial" w:cs="Arial"/>
                          <w:b/>
                          <w:bCs/>
                          <w:sz w:val="18"/>
                          <w:szCs w:val="18"/>
                        </w:rPr>
                        <w:t>For More Information….</w:t>
                      </w:r>
                    </w:p>
                    <w:p w14:paraId="2B42EC05" w14:textId="77777777" w:rsidR="00A318FA" w:rsidRPr="00A65992" w:rsidRDefault="00A318FA" w:rsidP="005A334D">
                      <w:pPr>
                        <w:rPr>
                          <w:rFonts w:ascii="Arial" w:hAnsi="Arial" w:cs="Arial"/>
                          <w:sz w:val="18"/>
                          <w:szCs w:val="18"/>
                        </w:rPr>
                      </w:pPr>
                    </w:p>
                    <w:p w14:paraId="4165385C" w14:textId="77777777" w:rsidR="00A318FA" w:rsidRDefault="00A318FA" w:rsidP="005A334D">
                      <w:pPr>
                        <w:rPr>
                          <w:rFonts w:ascii="Arial" w:hAnsi="Arial" w:cs="Arial"/>
                          <w:i/>
                          <w:iCs/>
                          <w:sz w:val="18"/>
                          <w:szCs w:val="18"/>
                        </w:rPr>
                      </w:pPr>
                      <w:r w:rsidRPr="00A65992">
                        <w:rPr>
                          <w:rFonts w:ascii="Arial" w:hAnsi="Arial" w:cs="Arial"/>
                          <w:sz w:val="18"/>
                          <w:szCs w:val="18"/>
                        </w:rPr>
                        <w:t>See CSTE’s</w:t>
                      </w:r>
                      <w:r w:rsidRPr="00A65992">
                        <w:rPr>
                          <w:rFonts w:ascii="Arial" w:hAnsi="Arial" w:cs="Arial"/>
                          <w:i/>
                          <w:iCs/>
                          <w:sz w:val="18"/>
                          <w:szCs w:val="18"/>
                        </w:rPr>
                        <w:t xml:space="preserve"> Water Management Program Template. </w:t>
                      </w:r>
                    </w:p>
                    <w:p w14:paraId="632FF245" w14:textId="77777777" w:rsidR="00A318FA" w:rsidRDefault="00A318FA" w:rsidP="005A334D">
                      <w:pPr>
                        <w:rPr>
                          <w:rFonts w:ascii="Arial" w:hAnsi="Arial" w:cs="Arial"/>
                          <w:i/>
                          <w:iCs/>
                          <w:sz w:val="18"/>
                          <w:szCs w:val="18"/>
                        </w:rPr>
                      </w:pPr>
                    </w:p>
                    <w:p w14:paraId="416E1A88" w14:textId="77777777" w:rsidR="00A318FA" w:rsidRDefault="00A318FA" w:rsidP="005A334D">
                      <w:pPr>
                        <w:rPr>
                          <w:rFonts w:ascii="Arial" w:hAnsi="Arial" w:cs="Arial"/>
                          <w:sz w:val="18"/>
                          <w:szCs w:val="18"/>
                          <w:shd w:val="clear" w:color="auto" w:fill="FFFFFF"/>
                        </w:rPr>
                      </w:pPr>
                      <w:r w:rsidRPr="00A65992">
                        <w:rPr>
                          <w:rFonts w:ascii="Arial" w:hAnsi="Arial" w:cs="Arial"/>
                          <w:sz w:val="18"/>
                          <w:szCs w:val="18"/>
                          <w:shd w:val="clear" w:color="auto" w:fill="FFFFFF"/>
                        </w:rPr>
                        <w:t xml:space="preserve">The template is intended to be an interactive tool that facilities can use to create or improve their water management program with emphasis on </w:t>
                      </w:r>
                      <w:r w:rsidRPr="00A65992">
                        <w:rPr>
                          <w:rFonts w:ascii="Arial" w:hAnsi="Arial" w:cs="Arial"/>
                          <w:i/>
                          <w:iCs/>
                          <w:sz w:val="18"/>
                          <w:szCs w:val="18"/>
                          <w:shd w:val="clear" w:color="auto" w:fill="FFFFFF"/>
                        </w:rPr>
                        <w:t>Legionella</w:t>
                      </w:r>
                      <w:r w:rsidRPr="00A65992">
                        <w:rPr>
                          <w:rFonts w:ascii="Arial" w:hAnsi="Arial" w:cs="Arial"/>
                          <w:sz w:val="18"/>
                          <w:szCs w:val="18"/>
                          <w:shd w:val="clear" w:color="auto" w:fill="FFFFFF"/>
                        </w:rPr>
                        <w:t xml:space="preserve"> control and prevention. </w:t>
                      </w:r>
                    </w:p>
                    <w:p w14:paraId="37FCA89A" w14:textId="77777777" w:rsidR="00A318FA" w:rsidRDefault="00A318FA" w:rsidP="005A334D">
                      <w:pPr>
                        <w:rPr>
                          <w:rFonts w:ascii="Arial" w:hAnsi="Arial" w:cs="Arial"/>
                          <w:sz w:val="18"/>
                          <w:szCs w:val="18"/>
                          <w:shd w:val="clear" w:color="auto" w:fill="FFFFFF"/>
                        </w:rPr>
                      </w:pPr>
                    </w:p>
                    <w:p w14:paraId="72DCE393" w14:textId="77777777" w:rsidR="00A318FA" w:rsidRPr="00A65992" w:rsidRDefault="00A318FA" w:rsidP="005A334D">
                      <w:pPr>
                        <w:rPr>
                          <w:rFonts w:ascii="Arial" w:hAnsi="Arial" w:cs="Arial"/>
                          <w:sz w:val="18"/>
                          <w:szCs w:val="18"/>
                        </w:rPr>
                      </w:pPr>
                      <w:r w:rsidRPr="00A65992">
                        <w:rPr>
                          <w:rFonts w:ascii="Arial" w:hAnsi="Arial" w:cs="Arial"/>
                          <w:sz w:val="18"/>
                          <w:szCs w:val="18"/>
                          <w:shd w:val="clear" w:color="auto" w:fill="FFFFFF"/>
                        </w:rPr>
                        <w:t xml:space="preserve">Available at: </w:t>
                      </w:r>
                      <w:hyperlink r:id="rId68" w:history="1">
                        <w:r w:rsidRPr="00A65992">
                          <w:rPr>
                            <w:rStyle w:val="Hyperlink"/>
                            <w:rFonts w:ascii="Arial" w:hAnsi="Arial" w:cs="Arial"/>
                            <w:sz w:val="18"/>
                            <w:szCs w:val="18"/>
                          </w:rPr>
                          <w:t>https://www.cste.org/general/custom.asp?page=Legionnaires</w:t>
                        </w:r>
                      </w:hyperlink>
                      <w:r w:rsidRPr="00A65992">
                        <w:rPr>
                          <w:rFonts w:ascii="Arial" w:hAnsi="Arial" w:cs="Arial"/>
                          <w:sz w:val="18"/>
                          <w:szCs w:val="18"/>
                        </w:rPr>
                        <w:t xml:space="preserve"> </w:t>
                      </w:r>
                    </w:p>
                  </w:txbxContent>
                </v:textbox>
                <w10:wrap type="square" anchorx="margin"/>
              </v:shape>
            </w:pict>
          </mc:Fallback>
        </mc:AlternateContent>
      </w:r>
      <w:r>
        <w:rPr>
          <w:rFonts w:asciiTheme="majorHAnsi" w:hAnsiTheme="majorHAnsi" w:cstheme="majorHAnsi"/>
        </w:rPr>
        <w:t xml:space="preserve">Implementing an ongoing </w:t>
      </w:r>
      <w:r w:rsidR="00A47588">
        <w:rPr>
          <w:rFonts w:asciiTheme="majorHAnsi" w:hAnsiTheme="majorHAnsi"/>
        </w:rPr>
        <w:t>WMP</w:t>
      </w:r>
      <w:r w:rsidR="00A47588">
        <w:rPr>
          <w:rFonts w:asciiTheme="majorHAnsi" w:hAnsiTheme="majorHAnsi" w:cstheme="majorHAnsi"/>
        </w:rPr>
        <w:t xml:space="preserve"> </w:t>
      </w:r>
      <w:r>
        <w:rPr>
          <w:rFonts w:asciiTheme="majorHAnsi" w:hAnsiTheme="majorHAnsi" w:cstheme="majorHAnsi"/>
        </w:rPr>
        <w:t xml:space="preserve">is key to mitigating the effects of various internal and external factors that can allow </w:t>
      </w:r>
      <w:bookmarkStart w:id="14" w:name="_Hlk58756454"/>
      <w:r w:rsidRPr="00251891">
        <w:rPr>
          <w:rFonts w:asciiTheme="majorHAnsi" w:hAnsiTheme="majorHAnsi" w:cstheme="majorHAnsi"/>
          <w:i/>
          <w:iCs/>
        </w:rPr>
        <w:t>Legionella</w:t>
      </w:r>
      <w:bookmarkEnd w:id="14"/>
      <w:r>
        <w:rPr>
          <w:rFonts w:asciiTheme="majorHAnsi" w:hAnsiTheme="majorHAnsi" w:cstheme="majorHAnsi"/>
        </w:rPr>
        <w:t xml:space="preserve"> to propagate in a building’s water system or devices. A </w:t>
      </w:r>
      <w:r w:rsidR="00A47588">
        <w:rPr>
          <w:rFonts w:asciiTheme="majorHAnsi" w:hAnsiTheme="majorHAnsi"/>
        </w:rPr>
        <w:t>WMP</w:t>
      </w:r>
      <w:r w:rsidR="00A47588">
        <w:rPr>
          <w:rFonts w:asciiTheme="majorHAnsi" w:hAnsiTheme="majorHAnsi" w:cstheme="majorHAnsi"/>
        </w:rPr>
        <w:t xml:space="preserve"> </w:t>
      </w:r>
      <w:r>
        <w:rPr>
          <w:rFonts w:asciiTheme="majorHAnsi" w:hAnsiTheme="majorHAnsi" w:cstheme="majorHAnsi"/>
        </w:rPr>
        <w:t xml:space="preserve">is designed to </w:t>
      </w:r>
      <w:r w:rsidRPr="0039747A">
        <w:rPr>
          <w:rFonts w:asciiTheme="majorHAnsi" w:hAnsiTheme="majorHAnsi" w:cstheme="majorHAnsi"/>
        </w:rPr>
        <w:t xml:space="preserve">detect conditions </w:t>
      </w:r>
      <w:r>
        <w:rPr>
          <w:rFonts w:asciiTheme="majorHAnsi" w:hAnsiTheme="majorHAnsi" w:cstheme="majorHAnsi"/>
        </w:rPr>
        <w:t xml:space="preserve">that can lead to </w:t>
      </w:r>
      <w:r w:rsidR="005B662D" w:rsidRPr="00251891">
        <w:rPr>
          <w:rFonts w:asciiTheme="majorHAnsi" w:hAnsiTheme="majorHAnsi" w:cstheme="majorHAnsi"/>
          <w:i/>
          <w:iCs/>
        </w:rPr>
        <w:t>Legionella</w:t>
      </w:r>
      <w:r>
        <w:rPr>
          <w:rFonts w:asciiTheme="majorHAnsi" w:hAnsiTheme="majorHAnsi" w:cstheme="majorHAnsi"/>
        </w:rPr>
        <w:t xml:space="preserve"> </w:t>
      </w:r>
      <w:r w:rsidR="005B662D">
        <w:rPr>
          <w:rFonts w:asciiTheme="majorHAnsi" w:hAnsiTheme="majorHAnsi" w:cstheme="majorHAnsi"/>
        </w:rPr>
        <w:t xml:space="preserve">proliferation </w:t>
      </w:r>
      <w:r w:rsidRPr="0039747A">
        <w:rPr>
          <w:rFonts w:asciiTheme="majorHAnsi" w:hAnsiTheme="majorHAnsi" w:cstheme="majorHAnsi"/>
        </w:rPr>
        <w:t xml:space="preserve">and </w:t>
      </w:r>
      <w:r>
        <w:rPr>
          <w:rFonts w:asciiTheme="majorHAnsi" w:hAnsiTheme="majorHAnsi" w:cstheme="majorHAnsi"/>
        </w:rPr>
        <w:t xml:space="preserve">identify the steps necessary to mitigate </w:t>
      </w:r>
      <w:r w:rsidR="005B662D">
        <w:rPr>
          <w:rFonts w:asciiTheme="majorHAnsi" w:hAnsiTheme="majorHAnsi" w:cstheme="majorHAnsi"/>
        </w:rPr>
        <w:t xml:space="preserve">it </w:t>
      </w:r>
      <w:r>
        <w:rPr>
          <w:rFonts w:asciiTheme="majorHAnsi" w:hAnsiTheme="majorHAnsi" w:cstheme="majorHAnsi"/>
        </w:rPr>
        <w:t>and other waterborne pathogens in a building’s water system or devices.</w:t>
      </w:r>
      <w:r>
        <w:rPr>
          <w:rStyle w:val="FootnoteReference"/>
          <w:rFonts w:asciiTheme="majorHAnsi" w:hAnsiTheme="majorHAnsi" w:cstheme="majorHAnsi"/>
        </w:rPr>
        <w:footnoteReference w:id="129"/>
      </w:r>
      <w:r>
        <w:rPr>
          <w:rFonts w:asciiTheme="majorHAnsi" w:hAnsiTheme="majorHAnsi" w:cstheme="majorHAnsi"/>
        </w:rPr>
        <w:t xml:space="preserve"> </w:t>
      </w:r>
      <w:r w:rsidR="00A47588">
        <w:rPr>
          <w:rFonts w:asciiTheme="majorHAnsi" w:hAnsiTheme="majorHAnsi"/>
        </w:rPr>
        <w:t>WMP</w:t>
      </w:r>
      <w:r w:rsidR="00A47588">
        <w:rPr>
          <w:rFonts w:asciiTheme="majorHAnsi" w:hAnsiTheme="majorHAnsi" w:cstheme="majorHAnsi"/>
        </w:rPr>
        <w:t xml:space="preserve"> </w:t>
      </w:r>
      <w:r>
        <w:rPr>
          <w:rFonts w:asciiTheme="majorHAnsi" w:hAnsiTheme="majorHAnsi" w:cstheme="majorHAnsi"/>
        </w:rPr>
        <w:t xml:space="preserve">are now the industry standard in the United States </w:t>
      </w:r>
      <w:r w:rsidR="00924BA5">
        <w:rPr>
          <w:rFonts w:asciiTheme="majorHAnsi" w:hAnsiTheme="majorHAnsi" w:cstheme="majorHAnsi"/>
        </w:rPr>
        <w:t>for</w:t>
      </w:r>
      <w:r>
        <w:rPr>
          <w:rFonts w:asciiTheme="majorHAnsi" w:hAnsiTheme="majorHAnsi" w:cstheme="majorHAnsi"/>
        </w:rPr>
        <w:t xml:space="preserve"> the </w:t>
      </w:r>
      <w:r w:rsidR="00924BA5">
        <w:rPr>
          <w:rFonts w:asciiTheme="majorHAnsi" w:hAnsiTheme="majorHAnsi" w:cstheme="majorHAnsi"/>
        </w:rPr>
        <w:t xml:space="preserve">types of </w:t>
      </w:r>
      <w:r>
        <w:rPr>
          <w:rFonts w:asciiTheme="majorHAnsi" w:hAnsiTheme="majorHAnsi" w:cstheme="majorHAnsi"/>
        </w:rPr>
        <w:t>building</w:t>
      </w:r>
      <w:r w:rsidR="00924BA5">
        <w:rPr>
          <w:rFonts w:asciiTheme="majorHAnsi" w:hAnsiTheme="majorHAnsi" w:cstheme="majorHAnsi"/>
        </w:rPr>
        <w:t>s</w:t>
      </w:r>
      <w:r>
        <w:rPr>
          <w:rFonts w:asciiTheme="majorHAnsi" w:hAnsiTheme="majorHAnsi" w:cstheme="majorHAnsi"/>
        </w:rPr>
        <w:t xml:space="preserve"> or device</w:t>
      </w:r>
      <w:r w:rsidR="00924BA5">
        <w:rPr>
          <w:rFonts w:asciiTheme="majorHAnsi" w:hAnsiTheme="majorHAnsi" w:cstheme="majorHAnsi"/>
        </w:rPr>
        <w:t>s</w:t>
      </w:r>
      <w:r>
        <w:rPr>
          <w:rFonts w:asciiTheme="majorHAnsi" w:hAnsiTheme="majorHAnsi" w:cstheme="majorHAnsi"/>
        </w:rPr>
        <w:t xml:space="preserve"> </w:t>
      </w:r>
      <w:r w:rsidR="00924BA5">
        <w:rPr>
          <w:rFonts w:asciiTheme="majorHAnsi" w:hAnsiTheme="majorHAnsi" w:cstheme="majorHAnsi"/>
        </w:rPr>
        <w:t>described earlier in this chapter.</w:t>
      </w:r>
      <w:r>
        <w:rPr>
          <w:rStyle w:val="FootnoteReference"/>
          <w:rFonts w:asciiTheme="majorHAnsi" w:hAnsiTheme="majorHAnsi" w:cstheme="majorHAnsi"/>
        </w:rPr>
        <w:footnoteReference w:id="130"/>
      </w:r>
      <w:r>
        <w:rPr>
          <w:rFonts w:asciiTheme="majorHAnsi" w:hAnsiTheme="majorHAnsi" w:cstheme="majorHAnsi"/>
        </w:rPr>
        <w:t xml:space="preserve"> </w:t>
      </w:r>
      <w:r w:rsidR="00924BA5">
        <w:rPr>
          <w:rFonts w:asciiTheme="majorHAnsi" w:hAnsiTheme="majorHAnsi" w:cstheme="majorHAnsi"/>
        </w:rPr>
        <w:t>The</w:t>
      </w:r>
      <w:r w:rsidR="00A246B1">
        <w:rPr>
          <w:rFonts w:asciiTheme="majorHAnsi" w:hAnsiTheme="majorHAnsi" w:cstheme="majorHAnsi"/>
        </w:rPr>
        <w:t xml:space="preserve"> ASHRAE publication</w:t>
      </w:r>
      <w:r w:rsidR="00924BA5">
        <w:rPr>
          <w:rFonts w:asciiTheme="majorHAnsi" w:hAnsiTheme="majorHAnsi" w:cstheme="majorHAnsi"/>
        </w:rPr>
        <w:t xml:space="preserve"> “</w:t>
      </w:r>
      <w:r w:rsidR="00924BA5" w:rsidRPr="00924BA5">
        <w:rPr>
          <w:rFonts w:asciiTheme="majorHAnsi" w:hAnsiTheme="majorHAnsi" w:cstheme="majorHAnsi"/>
          <w:i/>
          <w:iCs/>
        </w:rPr>
        <w:t>Legionellosis</w:t>
      </w:r>
      <w:r w:rsidR="00924BA5" w:rsidRPr="00222BA3">
        <w:rPr>
          <w:rFonts w:asciiTheme="majorHAnsi" w:hAnsiTheme="majorHAnsi" w:cstheme="majorHAnsi"/>
        </w:rPr>
        <w:t>: Risk Management for Building Water Systems</w:t>
      </w:r>
      <w:r w:rsidR="00924BA5">
        <w:rPr>
          <w:rFonts w:asciiTheme="majorHAnsi" w:hAnsiTheme="majorHAnsi" w:cstheme="majorHAnsi"/>
        </w:rPr>
        <w:t>” (</w:t>
      </w:r>
      <w:r w:rsidR="00924BA5" w:rsidRPr="00222BA3">
        <w:rPr>
          <w:rFonts w:asciiTheme="majorHAnsi" w:hAnsiTheme="majorHAnsi" w:cstheme="majorHAnsi"/>
        </w:rPr>
        <w:t>ASHRAE 188</w:t>
      </w:r>
      <w:r w:rsidR="00A246B1">
        <w:rPr>
          <w:rFonts w:asciiTheme="majorHAnsi" w:hAnsiTheme="majorHAnsi" w:cstheme="majorHAnsi"/>
        </w:rPr>
        <w:t xml:space="preserve">-2018) is </w:t>
      </w:r>
      <w:r w:rsidR="0024668F">
        <w:rPr>
          <w:rFonts w:asciiTheme="majorHAnsi" w:hAnsiTheme="majorHAnsi" w:cstheme="majorHAnsi"/>
        </w:rPr>
        <w:t xml:space="preserve">an example of </w:t>
      </w:r>
      <w:r w:rsidR="00A246B1">
        <w:rPr>
          <w:rFonts w:asciiTheme="majorHAnsi" w:hAnsiTheme="majorHAnsi" w:cstheme="majorHAnsi"/>
        </w:rPr>
        <w:t>a consensus standard</w:t>
      </w:r>
      <w:r w:rsidR="0024668F">
        <w:rPr>
          <w:rFonts w:asciiTheme="majorHAnsi" w:hAnsiTheme="majorHAnsi" w:cstheme="majorHAnsi"/>
        </w:rPr>
        <w:t xml:space="preserve">, which </w:t>
      </w:r>
      <w:r w:rsidR="00A365EF">
        <w:rPr>
          <w:rFonts w:asciiTheme="majorHAnsi" w:hAnsiTheme="majorHAnsi" w:cstheme="majorHAnsi"/>
        </w:rPr>
        <w:t>h</w:t>
      </w:r>
      <w:r w:rsidR="0024668F">
        <w:rPr>
          <w:rFonts w:asciiTheme="majorHAnsi" w:hAnsiTheme="majorHAnsi" w:cstheme="majorHAnsi"/>
        </w:rPr>
        <w:t>as been</w:t>
      </w:r>
      <w:r w:rsidR="00A246B1">
        <w:rPr>
          <w:rFonts w:asciiTheme="majorHAnsi" w:hAnsiTheme="majorHAnsi" w:cstheme="majorHAnsi"/>
        </w:rPr>
        <w:t xml:space="preserve"> approved </w:t>
      </w:r>
      <w:r w:rsidR="00A246B1">
        <w:rPr>
          <w:rFonts w:asciiTheme="majorHAnsi" w:hAnsiTheme="majorHAnsi" w:cstheme="majorHAnsi"/>
        </w:rPr>
        <w:lastRenderedPageBreak/>
        <w:t xml:space="preserve">by the </w:t>
      </w:r>
      <w:r w:rsidR="00A246B1" w:rsidRPr="00A246B1">
        <w:rPr>
          <w:rFonts w:asciiTheme="majorHAnsi" w:hAnsiTheme="majorHAnsi" w:cstheme="majorHAnsi"/>
        </w:rPr>
        <w:t>American National Standards Institute (ANSI)</w:t>
      </w:r>
      <w:r w:rsidR="00A246B1">
        <w:rPr>
          <w:rFonts w:asciiTheme="majorHAnsi" w:hAnsiTheme="majorHAnsi" w:cstheme="majorHAnsi"/>
        </w:rPr>
        <w:t>.</w:t>
      </w:r>
      <w:r w:rsidR="00A246B1">
        <w:rPr>
          <w:rStyle w:val="FootnoteReference"/>
          <w:rFonts w:asciiTheme="majorHAnsi" w:hAnsiTheme="majorHAnsi" w:cstheme="majorHAnsi"/>
        </w:rPr>
        <w:footnoteReference w:id="131"/>
      </w:r>
      <w:r w:rsidR="00DE63F8">
        <w:rPr>
          <w:rFonts w:asciiTheme="majorHAnsi" w:hAnsiTheme="majorHAnsi" w:cstheme="majorHAnsi"/>
        </w:rPr>
        <w:t xml:space="preserve"> </w:t>
      </w:r>
      <w:r w:rsidR="00A246B1">
        <w:rPr>
          <w:rFonts w:asciiTheme="majorHAnsi" w:hAnsiTheme="majorHAnsi" w:cstheme="majorHAnsi"/>
        </w:rPr>
        <w:t xml:space="preserve">It can be used as a voluntary standard, but can also be </w:t>
      </w:r>
      <w:r w:rsidR="00A365EF">
        <w:rPr>
          <w:rFonts w:asciiTheme="majorHAnsi" w:hAnsiTheme="majorHAnsi" w:cstheme="majorHAnsi"/>
        </w:rPr>
        <w:t xml:space="preserve">used </w:t>
      </w:r>
      <w:r w:rsidR="005046FC">
        <w:rPr>
          <w:rFonts w:asciiTheme="majorHAnsi" w:hAnsiTheme="majorHAnsi" w:cstheme="majorHAnsi"/>
        </w:rPr>
        <w:t xml:space="preserve">to </w:t>
      </w:r>
      <w:r w:rsidR="0024668F">
        <w:rPr>
          <w:rFonts w:asciiTheme="majorHAnsi" w:hAnsiTheme="majorHAnsi" w:cstheme="majorHAnsi"/>
        </w:rPr>
        <w:t xml:space="preserve">inform governmental action or be </w:t>
      </w:r>
      <w:r w:rsidR="00A246B1">
        <w:rPr>
          <w:rFonts w:asciiTheme="majorHAnsi" w:hAnsiTheme="majorHAnsi" w:cstheme="majorHAnsi"/>
        </w:rPr>
        <w:t xml:space="preserve">adopted in whole or in part into state and local </w:t>
      </w:r>
      <w:r w:rsidR="00BD170D">
        <w:rPr>
          <w:rFonts w:asciiTheme="majorHAnsi" w:hAnsiTheme="majorHAnsi" w:cstheme="majorHAnsi"/>
        </w:rPr>
        <w:t xml:space="preserve">building or public health </w:t>
      </w:r>
      <w:r w:rsidR="00A246B1">
        <w:rPr>
          <w:rFonts w:asciiTheme="majorHAnsi" w:hAnsiTheme="majorHAnsi" w:cstheme="majorHAnsi"/>
        </w:rPr>
        <w:t>codes, regulations, or ordinances</w:t>
      </w:r>
      <w:r w:rsidR="00BD170D">
        <w:rPr>
          <w:rFonts w:asciiTheme="majorHAnsi" w:hAnsiTheme="majorHAnsi" w:cstheme="majorHAnsi"/>
        </w:rPr>
        <w:t>.</w:t>
      </w:r>
      <w:r w:rsidR="00BD170D">
        <w:rPr>
          <w:rStyle w:val="FootnoteReference"/>
          <w:rFonts w:asciiTheme="majorHAnsi" w:hAnsiTheme="majorHAnsi" w:cstheme="majorHAnsi"/>
        </w:rPr>
        <w:footnoteReference w:id="132"/>
      </w:r>
      <w:r w:rsidR="00BD170D">
        <w:rPr>
          <w:rFonts w:asciiTheme="majorHAnsi" w:hAnsiTheme="majorHAnsi" w:cstheme="majorHAnsi"/>
        </w:rPr>
        <w:t xml:space="preserve"> </w:t>
      </w:r>
      <w:r w:rsidR="0005286C">
        <w:rPr>
          <w:rFonts w:asciiTheme="majorHAnsi" w:hAnsiTheme="majorHAnsi" w:cstheme="majorHAnsi"/>
        </w:rPr>
        <w:t>ASHRAE has a companion document, “</w:t>
      </w:r>
      <w:r w:rsidR="0005286C" w:rsidRPr="0005286C">
        <w:rPr>
          <w:rFonts w:asciiTheme="majorHAnsi" w:hAnsiTheme="majorHAnsi" w:cstheme="majorHAnsi"/>
        </w:rPr>
        <w:t xml:space="preserve">ASHRAE Guideline 12-2020, Managing the Risk of </w:t>
      </w:r>
      <w:r w:rsidR="0005286C" w:rsidRPr="0005286C">
        <w:rPr>
          <w:rFonts w:asciiTheme="majorHAnsi" w:hAnsiTheme="majorHAnsi" w:cstheme="majorHAnsi"/>
          <w:i/>
          <w:iCs/>
        </w:rPr>
        <w:t>Legionellosis</w:t>
      </w:r>
      <w:r w:rsidR="0005286C" w:rsidRPr="0005286C">
        <w:rPr>
          <w:rFonts w:asciiTheme="majorHAnsi" w:hAnsiTheme="majorHAnsi" w:cstheme="majorHAnsi"/>
        </w:rPr>
        <w:t xml:space="preserve"> Associated with Building Water Systems</w:t>
      </w:r>
      <w:r w:rsidR="0005286C">
        <w:rPr>
          <w:rFonts w:asciiTheme="majorHAnsi" w:hAnsiTheme="majorHAnsi" w:cstheme="majorHAnsi"/>
        </w:rPr>
        <w:t>” which is intended to provide guidance in implementing the ASHRAE 188-2018 standard</w:t>
      </w:r>
      <w:r w:rsidR="00DC34B4">
        <w:rPr>
          <w:rFonts w:asciiTheme="majorHAnsi" w:hAnsiTheme="majorHAnsi" w:cstheme="majorHAnsi"/>
        </w:rPr>
        <w:t>.</w:t>
      </w:r>
      <w:r w:rsidR="00DC34B4">
        <w:rPr>
          <w:rStyle w:val="FootnoteReference"/>
          <w:rFonts w:asciiTheme="majorHAnsi" w:hAnsiTheme="majorHAnsi" w:cstheme="majorHAnsi"/>
        </w:rPr>
        <w:footnoteReference w:id="133"/>
      </w:r>
      <w:r w:rsidR="00DC34B4">
        <w:rPr>
          <w:rFonts w:asciiTheme="majorHAnsi" w:hAnsiTheme="majorHAnsi" w:cstheme="majorHAnsi"/>
        </w:rPr>
        <w:t xml:space="preserve"> </w:t>
      </w:r>
      <w:r w:rsidR="00835242">
        <w:rPr>
          <w:rFonts w:asciiTheme="majorHAnsi" w:hAnsiTheme="majorHAnsi" w:cstheme="majorHAnsi"/>
        </w:rPr>
        <w:t xml:space="preserve">(See the Resources section at the end of the chapter for additional protocols and guidance documents.) </w:t>
      </w:r>
      <w:r>
        <w:rPr>
          <w:rFonts w:asciiTheme="majorHAnsi" w:hAnsiTheme="majorHAnsi" w:cstheme="majorHAnsi"/>
        </w:rPr>
        <w:t xml:space="preserve">While </w:t>
      </w:r>
      <w:r w:rsidR="00A47588">
        <w:rPr>
          <w:rFonts w:asciiTheme="majorHAnsi" w:hAnsiTheme="majorHAnsi"/>
        </w:rPr>
        <w:t>WMP</w:t>
      </w:r>
      <w:r w:rsidR="00A47588">
        <w:rPr>
          <w:rFonts w:asciiTheme="majorHAnsi" w:hAnsiTheme="majorHAnsi"/>
        </w:rPr>
        <w:t xml:space="preserve">s </w:t>
      </w:r>
      <w:r>
        <w:rPr>
          <w:rFonts w:asciiTheme="majorHAnsi" w:hAnsiTheme="majorHAnsi" w:cstheme="majorHAnsi"/>
        </w:rPr>
        <w:t>have common elements, each building and device at a specific site must be evaluated to determine the particular hazards, potential groups at risk for L</w:t>
      </w:r>
      <w:r w:rsidR="00DE63F8">
        <w:rPr>
          <w:rFonts w:asciiTheme="majorHAnsi" w:hAnsiTheme="majorHAnsi" w:cstheme="majorHAnsi"/>
        </w:rPr>
        <w:t>D</w:t>
      </w:r>
      <w:r>
        <w:rPr>
          <w:rFonts w:asciiTheme="majorHAnsi" w:hAnsiTheme="majorHAnsi" w:cstheme="majorHAnsi"/>
        </w:rPr>
        <w:t xml:space="preserve">, and mitigation measures associated with that site. </w:t>
      </w:r>
    </w:p>
    <w:p w14:paraId="01E6E069" w14:textId="77777777" w:rsidR="005A334D" w:rsidRDefault="005A334D" w:rsidP="005A334D">
      <w:pPr>
        <w:spacing w:line="360" w:lineRule="auto"/>
        <w:rPr>
          <w:rFonts w:asciiTheme="majorHAnsi" w:hAnsiTheme="majorHAnsi" w:cstheme="majorHAnsi"/>
        </w:rPr>
      </w:pPr>
    </w:p>
    <w:p w14:paraId="113BC881" w14:textId="53790835" w:rsidR="005A334D" w:rsidRDefault="005A334D" w:rsidP="005A334D">
      <w:pPr>
        <w:spacing w:line="360" w:lineRule="auto"/>
        <w:rPr>
          <w:rFonts w:asciiTheme="majorHAnsi" w:hAnsiTheme="majorHAnsi" w:cstheme="majorHAnsi"/>
        </w:rPr>
      </w:pPr>
      <w:r>
        <w:rPr>
          <w:rFonts w:asciiTheme="majorHAnsi" w:hAnsiTheme="majorHAnsi" w:cstheme="majorHAnsi"/>
        </w:rPr>
        <w:t xml:space="preserve">Once a </w:t>
      </w:r>
      <w:r w:rsidR="00A47588">
        <w:rPr>
          <w:rFonts w:asciiTheme="majorHAnsi" w:hAnsiTheme="majorHAnsi"/>
        </w:rPr>
        <w:t>WMP</w:t>
      </w:r>
      <w:r w:rsidR="00A47588">
        <w:rPr>
          <w:rFonts w:asciiTheme="majorHAnsi" w:hAnsiTheme="majorHAnsi" w:cstheme="majorHAnsi"/>
        </w:rPr>
        <w:t xml:space="preserve"> </w:t>
      </w:r>
      <w:r>
        <w:rPr>
          <w:rFonts w:asciiTheme="majorHAnsi" w:hAnsiTheme="majorHAnsi" w:cstheme="majorHAnsi"/>
        </w:rPr>
        <w:t>has been established, building water systems and devices must be regularly monitored for potentially hazardous conditions.</w:t>
      </w:r>
      <w:r>
        <w:rPr>
          <w:rStyle w:val="FootnoteReference"/>
          <w:rFonts w:asciiTheme="majorHAnsi" w:hAnsiTheme="majorHAnsi" w:cstheme="majorHAnsi"/>
        </w:rPr>
        <w:footnoteReference w:id="134"/>
      </w:r>
      <w:r>
        <w:rPr>
          <w:rFonts w:asciiTheme="majorHAnsi" w:hAnsiTheme="majorHAnsi" w:cstheme="majorHAnsi"/>
        </w:rPr>
        <w:t xml:space="preserve"> If such conditions are detected, then owners and operators must implement the mitigation measures identified in the </w:t>
      </w:r>
      <w:r w:rsidR="00A47588">
        <w:rPr>
          <w:rFonts w:asciiTheme="majorHAnsi" w:hAnsiTheme="majorHAnsi"/>
        </w:rPr>
        <w:t>WMP</w:t>
      </w:r>
      <w:r w:rsidR="00A47588">
        <w:rPr>
          <w:rFonts w:asciiTheme="majorHAnsi" w:hAnsiTheme="majorHAnsi" w:cstheme="majorHAnsi"/>
        </w:rPr>
        <w:t xml:space="preserve"> </w:t>
      </w:r>
      <w:r>
        <w:rPr>
          <w:rFonts w:asciiTheme="majorHAnsi" w:hAnsiTheme="majorHAnsi" w:cstheme="majorHAnsi"/>
        </w:rPr>
        <w:t xml:space="preserve">to address the hazard. The program must also be regularly reviewed and updated as needed to account for changes to the building and devices. </w:t>
      </w:r>
    </w:p>
    <w:p w14:paraId="3D87C4B9" w14:textId="77777777" w:rsidR="005A334D" w:rsidRDefault="005A334D" w:rsidP="005A334D">
      <w:pPr>
        <w:spacing w:line="360" w:lineRule="auto"/>
        <w:rPr>
          <w:rFonts w:asciiTheme="majorHAnsi" w:hAnsiTheme="majorHAnsi" w:cstheme="majorHAnsi"/>
        </w:rPr>
      </w:pPr>
    </w:p>
    <w:p w14:paraId="1C92BF1B" w14:textId="77777777" w:rsidR="005A334D" w:rsidRPr="002B07C2" w:rsidRDefault="005A334D" w:rsidP="005A334D">
      <w:pPr>
        <w:spacing w:line="360" w:lineRule="auto"/>
        <w:rPr>
          <w:rFonts w:asciiTheme="majorHAnsi" w:hAnsiTheme="majorHAnsi" w:cstheme="majorHAnsi"/>
          <w:b/>
          <w:bCs/>
        </w:rPr>
      </w:pPr>
      <w:r w:rsidRPr="002B07C2">
        <w:rPr>
          <w:rFonts w:asciiTheme="majorHAnsi" w:hAnsiTheme="majorHAnsi" w:cstheme="majorHAnsi"/>
          <w:b/>
          <w:bCs/>
        </w:rPr>
        <w:t>Effective Water Management Program Principles</w:t>
      </w:r>
      <w:r>
        <w:rPr>
          <w:rFonts w:asciiTheme="majorHAnsi" w:hAnsiTheme="majorHAnsi" w:cstheme="majorHAnsi"/>
          <w:b/>
          <w:bCs/>
        </w:rPr>
        <w:t xml:space="preserve"> and Elements</w:t>
      </w:r>
    </w:p>
    <w:p w14:paraId="44BA36BD" w14:textId="77777777" w:rsidR="005A334D" w:rsidRDefault="005A334D" w:rsidP="005A334D">
      <w:pPr>
        <w:spacing w:line="360" w:lineRule="auto"/>
        <w:rPr>
          <w:rFonts w:asciiTheme="majorHAnsi" w:hAnsiTheme="majorHAnsi" w:cstheme="majorHAnsi"/>
        </w:rPr>
      </w:pPr>
      <w:r>
        <w:rPr>
          <w:rFonts w:asciiTheme="majorHAnsi" w:hAnsiTheme="majorHAnsi" w:cstheme="majorHAnsi"/>
        </w:rPr>
        <w:t xml:space="preserve">CDC identifies the following key principles to effective water management to prevent </w:t>
      </w:r>
      <w:r w:rsidRPr="00653A1A">
        <w:rPr>
          <w:rFonts w:asciiTheme="majorHAnsi" w:hAnsiTheme="majorHAnsi" w:cstheme="majorHAnsi"/>
          <w:i/>
          <w:iCs/>
        </w:rPr>
        <w:t>Legionella</w:t>
      </w:r>
      <w:r>
        <w:rPr>
          <w:rStyle w:val="FootnoteReference"/>
          <w:rFonts w:asciiTheme="majorHAnsi" w:hAnsiTheme="majorHAnsi" w:cstheme="majorHAnsi"/>
        </w:rPr>
        <w:footnoteReference w:id="135"/>
      </w:r>
      <w:r>
        <w:rPr>
          <w:rFonts w:asciiTheme="majorHAnsi" w:hAnsiTheme="majorHAnsi" w:cstheme="majorHAnsi"/>
        </w:rPr>
        <w:t>:</w:t>
      </w:r>
    </w:p>
    <w:p w14:paraId="36D2D8E3" w14:textId="77777777" w:rsidR="005A334D" w:rsidRPr="00867ADD" w:rsidRDefault="005A334D" w:rsidP="005A334D">
      <w:pPr>
        <w:pStyle w:val="ListParagraph"/>
        <w:numPr>
          <w:ilvl w:val="0"/>
          <w:numId w:val="8"/>
        </w:numPr>
        <w:spacing w:after="120" w:line="360" w:lineRule="auto"/>
        <w:contextualSpacing w:val="0"/>
        <w:rPr>
          <w:rFonts w:asciiTheme="majorHAnsi" w:hAnsiTheme="majorHAnsi" w:cstheme="majorHAnsi"/>
        </w:rPr>
      </w:pPr>
      <w:r w:rsidRPr="00867ADD">
        <w:rPr>
          <w:rFonts w:asciiTheme="majorHAnsi" w:hAnsiTheme="majorHAnsi" w:cstheme="majorHAnsi"/>
        </w:rPr>
        <w:t xml:space="preserve">Maintaining water temperatures outside the ideal range for </w:t>
      </w:r>
      <w:r w:rsidRPr="008D22EC">
        <w:rPr>
          <w:rFonts w:asciiTheme="majorHAnsi" w:hAnsiTheme="majorHAnsi" w:cstheme="majorHAnsi"/>
          <w:i/>
          <w:iCs/>
        </w:rPr>
        <w:t>Legionella</w:t>
      </w:r>
      <w:r w:rsidRPr="00867ADD">
        <w:rPr>
          <w:rFonts w:asciiTheme="majorHAnsi" w:hAnsiTheme="majorHAnsi" w:cstheme="majorHAnsi"/>
        </w:rPr>
        <w:t xml:space="preserve"> growth</w:t>
      </w:r>
    </w:p>
    <w:p w14:paraId="51D74957" w14:textId="77777777" w:rsidR="005A334D" w:rsidRPr="00867ADD" w:rsidRDefault="005A334D" w:rsidP="005A334D">
      <w:pPr>
        <w:pStyle w:val="ListParagraph"/>
        <w:numPr>
          <w:ilvl w:val="0"/>
          <w:numId w:val="8"/>
        </w:numPr>
        <w:spacing w:after="120" w:line="360" w:lineRule="auto"/>
        <w:contextualSpacing w:val="0"/>
        <w:rPr>
          <w:rFonts w:asciiTheme="majorHAnsi" w:hAnsiTheme="majorHAnsi" w:cstheme="majorHAnsi"/>
        </w:rPr>
      </w:pPr>
      <w:r w:rsidRPr="00867ADD">
        <w:rPr>
          <w:rFonts w:asciiTheme="majorHAnsi" w:hAnsiTheme="majorHAnsi" w:cstheme="majorHAnsi"/>
        </w:rPr>
        <w:t>Preventing water stagnation</w:t>
      </w:r>
    </w:p>
    <w:p w14:paraId="4B257661" w14:textId="77777777" w:rsidR="005A334D" w:rsidRPr="00867ADD" w:rsidRDefault="005A334D" w:rsidP="005A334D">
      <w:pPr>
        <w:pStyle w:val="ListParagraph"/>
        <w:numPr>
          <w:ilvl w:val="0"/>
          <w:numId w:val="8"/>
        </w:numPr>
        <w:spacing w:after="120" w:line="360" w:lineRule="auto"/>
        <w:contextualSpacing w:val="0"/>
        <w:rPr>
          <w:rFonts w:asciiTheme="majorHAnsi" w:hAnsiTheme="majorHAnsi" w:cstheme="majorHAnsi"/>
        </w:rPr>
      </w:pPr>
      <w:r w:rsidRPr="00867ADD">
        <w:rPr>
          <w:rFonts w:asciiTheme="majorHAnsi" w:hAnsiTheme="majorHAnsi" w:cstheme="majorHAnsi"/>
        </w:rPr>
        <w:t>Ensuring adequate disinfection</w:t>
      </w:r>
    </w:p>
    <w:p w14:paraId="773B5707" w14:textId="77777777" w:rsidR="005A334D" w:rsidRPr="00867ADD" w:rsidRDefault="005A334D" w:rsidP="005A334D">
      <w:pPr>
        <w:pStyle w:val="ListParagraph"/>
        <w:numPr>
          <w:ilvl w:val="0"/>
          <w:numId w:val="8"/>
        </w:numPr>
        <w:spacing w:line="360" w:lineRule="auto"/>
        <w:rPr>
          <w:rFonts w:asciiTheme="majorHAnsi" w:hAnsiTheme="majorHAnsi" w:cstheme="majorHAnsi"/>
        </w:rPr>
      </w:pPr>
      <w:r w:rsidRPr="00867ADD">
        <w:rPr>
          <w:rFonts w:asciiTheme="majorHAnsi" w:hAnsiTheme="majorHAnsi" w:cstheme="majorHAnsi"/>
        </w:rPr>
        <w:lastRenderedPageBreak/>
        <w:t xml:space="preserve">Maintaining devices to prevent scale, corrosion, and biofilm, </w:t>
      </w:r>
      <w:r>
        <w:rPr>
          <w:rFonts w:asciiTheme="majorHAnsi" w:hAnsiTheme="majorHAnsi" w:cstheme="majorHAnsi"/>
        </w:rPr>
        <w:t xml:space="preserve">all of </w:t>
      </w:r>
      <w:r w:rsidRPr="00867ADD">
        <w:rPr>
          <w:rFonts w:asciiTheme="majorHAnsi" w:hAnsiTheme="majorHAnsi" w:cstheme="majorHAnsi"/>
        </w:rPr>
        <w:t>which provide a</w:t>
      </w:r>
      <w:r>
        <w:rPr>
          <w:rFonts w:asciiTheme="majorHAnsi" w:hAnsiTheme="majorHAnsi" w:cstheme="majorHAnsi"/>
        </w:rPr>
        <w:t xml:space="preserve">n environment and </w:t>
      </w:r>
      <w:r w:rsidRPr="00867ADD">
        <w:rPr>
          <w:rFonts w:asciiTheme="majorHAnsi" w:hAnsiTheme="majorHAnsi" w:cstheme="majorHAnsi"/>
        </w:rPr>
        <w:t xml:space="preserve">nutrients for </w:t>
      </w:r>
      <w:r w:rsidRPr="007F4B53">
        <w:rPr>
          <w:rFonts w:asciiTheme="majorHAnsi" w:hAnsiTheme="majorHAnsi" w:cstheme="majorHAnsi"/>
          <w:i/>
          <w:iCs/>
        </w:rPr>
        <w:t>Legionella</w:t>
      </w:r>
      <w:r>
        <w:rPr>
          <w:rFonts w:asciiTheme="majorHAnsi" w:hAnsiTheme="majorHAnsi" w:cstheme="majorHAnsi"/>
        </w:rPr>
        <w:t xml:space="preserve"> to proliferate</w:t>
      </w:r>
    </w:p>
    <w:p w14:paraId="3A86A80C" w14:textId="77777777" w:rsidR="005A334D" w:rsidRDefault="005A334D" w:rsidP="005A334D">
      <w:pPr>
        <w:spacing w:line="360" w:lineRule="auto"/>
        <w:rPr>
          <w:rFonts w:asciiTheme="majorHAnsi" w:hAnsiTheme="majorHAnsi" w:cstheme="majorHAnsi"/>
        </w:rPr>
      </w:pPr>
    </w:p>
    <w:p w14:paraId="5AE99B9D" w14:textId="65C364F9" w:rsidR="005A334D" w:rsidRDefault="005A334D" w:rsidP="005A334D">
      <w:pPr>
        <w:spacing w:after="120" w:line="360" w:lineRule="auto"/>
        <w:rPr>
          <w:rFonts w:asciiTheme="majorHAnsi" w:hAnsiTheme="majorHAnsi" w:cstheme="majorHAnsi"/>
        </w:rPr>
      </w:pPr>
      <w:r>
        <w:rPr>
          <w:rFonts w:asciiTheme="majorHAnsi" w:hAnsiTheme="majorHAnsi" w:cstheme="majorHAnsi"/>
        </w:rPr>
        <w:t xml:space="preserve">To implement these principles, CDC has identified seven key elements in developing an effective </w:t>
      </w:r>
      <w:r w:rsidR="00A47588">
        <w:rPr>
          <w:rFonts w:asciiTheme="majorHAnsi" w:hAnsiTheme="majorHAnsi"/>
        </w:rPr>
        <w:t>WMP</w:t>
      </w:r>
      <w:r>
        <w:rPr>
          <w:rFonts w:asciiTheme="majorHAnsi" w:hAnsiTheme="majorHAnsi" w:cstheme="majorHAnsi"/>
        </w:rPr>
        <w:t xml:space="preserve"> to address </w:t>
      </w:r>
      <w:r w:rsidRPr="00131799">
        <w:rPr>
          <w:rFonts w:asciiTheme="majorHAnsi" w:hAnsiTheme="majorHAnsi" w:cstheme="majorHAnsi"/>
          <w:i/>
          <w:iCs/>
        </w:rPr>
        <w:t>Legionella</w:t>
      </w:r>
      <w:r>
        <w:rPr>
          <w:rStyle w:val="FootnoteReference"/>
          <w:rFonts w:asciiTheme="majorHAnsi" w:hAnsiTheme="majorHAnsi" w:cstheme="majorHAnsi"/>
        </w:rPr>
        <w:footnoteReference w:id="136"/>
      </w:r>
      <w:r>
        <w:rPr>
          <w:rFonts w:asciiTheme="majorHAnsi" w:hAnsiTheme="majorHAnsi" w:cstheme="majorHAnsi"/>
        </w:rPr>
        <w:t>:</w:t>
      </w:r>
    </w:p>
    <w:p w14:paraId="4F03CC45" w14:textId="77777777" w:rsidR="005A334D" w:rsidRPr="00B752E6" w:rsidRDefault="005A334D" w:rsidP="005A334D">
      <w:pPr>
        <w:numPr>
          <w:ilvl w:val="0"/>
          <w:numId w:val="7"/>
        </w:numPr>
        <w:spacing w:after="120" w:line="360" w:lineRule="auto"/>
        <w:rPr>
          <w:rFonts w:asciiTheme="majorHAnsi" w:hAnsiTheme="majorHAnsi" w:cstheme="majorHAnsi"/>
        </w:rPr>
      </w:pPr>
      <w:r w:rsidRPr="00B752E6">
        <w:rPr>
          <w:rFonts w:asciiTheme="majorHAnsi" w:hAnsiTheme="majorHAnsi" w:cstheme="majorHAnsi"/>
        </w:rPr>
        <w:t>Establish a water management program team</w:t>
      </w:r>
    </w:p>
    <w:p w14:paraId="5FC06508" w14:textId="77777777" w:rsidR="005A334D" w:rsidRPr="00B752E6" w:rsidRDefault="005A334D" w:rsidP="005A334D">
      <w:pPr>
        <w:numPr>
          <w:ilvl w:val="0"/>
          <w:numId w:val="7"/>
        </w:numPr>
        <w:spacing w:after="120" w:line="360" w:lineRule="auto"/>
        <w:rPr>
          <w:rFonts w:asciiTheme="majorHAnsi" w:hAnsiTheme="majorHAnsi" w:cstheme="majorHAnsi"/>
        </w:rPr>
      </w:pPr>
      <w:r w:rsidRPr="00B752E6">
        <w:rPr>
          <w:rFonts w:asciiTheme="majorHAnsi" w:hAnsiTheme="majorHAnsi" w:cstheme="majorHAnsi"/>
        </w:rPr>
        <w:t>Describe the building water systems using text and flow diagrams</w:t>
      </w:r>
    </w:p>
    <w:p w14:paraId="72F0C84F" w14:textId="77777777" w:rsidR="005A334D" w:rsidRPr="00B752E6" w:rsidRDefault="005A334D" w:rsidP="005A334D">
      <w:pPr>
        <w:numPr>
          <w:ilvl w:val="0"/>
          <w:numId w:val="7"/>
        </w:numPr>
        <w:spacing w:after="120" w:line="360" w:lineRule="auto"/>
        <w:rPr>
          <w:rFonts w:asciiTheme="majorHAnsi" w:hAnsiTheme="majorHAnsi" w:cstheme="majorHAnsi"/>
        </w:rPr>
      </w:pPr>
      <w:r w:rsidRPr="00B752E6">
        <w:rPr>
          <w:rFonts w:asciiTheme="majorHAnsi" w:hAnsiTheme="majorHAnsi" w:cstheme="majorHAnsi"/>
        </w:rPr>
        <w:t>Identify areas where </w:t>
      </w:r>
      <w:r w:rsidRPr="00B752E6">
        <w:rPr>
          <w:rFonts w:asciiTheme="majorHAnsi" w:hAnsiTheme="majorHAnsi" w:cstheme="majorHAnsi"/>
          <w:i/>
          <w:iCs/>
        </w:rPr>
        <w:t>Legionella</w:t>
      </w:r>
      <w:r w:rsidRPr="00B752E6">
        <w:rPr>
          <w:rFonts w:asciiTheme="majorHAnsi" w:hAnsiTheme="majorHAnsi" w:cstheme="majorHAnsi"/>
        </w:rPr>
        <w:t> could grow and spread</w:t>
      </w:r>
    </w:p>
    <w:p w14:paraId="1A4167D4" w14:textId="77777777" w:rsidR="005A334D" w:rsidRPr="00B752E6" w:rsidRDefault="005A334D" w:rsidP="005A334D">
      <w:pPr>
        <w:numPr>
          <w:ilvl w:val="0"/>
          <w:numId w:val="7"/>
        </w:numPr>
        <w:spacing w:after="120" w:line="360" w:lineRule="auto"/>
        <w:rPr>
          <w:rFonts w:asciiTheme="majorHAnsi" w:hAnsiTheme="majorHAnsi" w:cstheme="majorHAnsi"/>
        </w:rPr>
      </w:pPr>
      <w:r w:rsidRPr="00B752E6">
        <w:rPr>
          <w:rFonts w:asciiTheme="majorHAnsi" w:hAnsiTheme="majorHAnsi" w:cstheme="majorHAnsi"/>
        </w:rPr>
        <w:t>Decide where control measures should be applied and how to monitor them</w:t>
      </w:r>
    </w:p>
    <w:p w14:paraId="5A38DD7F" w14:textId="77777777" w:rsidR="005A334D" w:rsidRPr="00B752E6" w:rsidRDefault="005A334D" w:rsidP="005A334D">
      <w:pPr>
        <w:numPr>
          <w:ilvl w:val="0"/>
          <w:numId w:val="7"/>
        </w:numPr>
        <w:spacing w:after="120" w:line="360" w:lineRule="auto"/>
        <w:rPr>
          <w:rFonts w:asciiTheme="majorHAnsi" w:hAnsiTheme="majorHAnsi" w:cstheme="majorHAnsi"/>
        </w:rPr>
      </w:pPr>
      <w:r w:rsidRPr="00B752E6">
        <w:rPr>
          <w:rFonts w:asciiTheme="majorHAnsi" w:hAnsiTheme="majorHAnsi" w:cstheme="majorHAnsi"/>
        </w:rPr>
        <w:t>Establish ways to intervene when control limits are not met</w:t>
      </w:r>
    </w:p>
    <w:p w14:paraId="529634CA" w14:textId="77777777" w:rsidR="005A334D" w:rsidRPr="00B752E6" w:rsidRDefault="005A334D" w:rsidP="005A334D">
      <w:pPr>
        <w:numPr>
          <w:ilvl w:val="0"/>
          <w:numId w:val="7"/>
        </w:numPr>
        <w:spacing w:after="120" w:line="360" w:lineRule="auto"/>
        <w:rPr>
          <w:rFonts w:asciiTheme="majorHAnsi" w:hAnsiTheme="majorHAnsi" w:cstheme="majorHAnsi"/>
        </w:rPr>
      </w:pPr>
      <w:r w:rsidRPr="00B752E6">
        <w:rPr>
          <w:rFonts w:asciiTheme="majorHAnsi" w:hAnsiTheme="majorHAnsi" w:cstheme="majorHAnsi"/>
        </w:rPr>
        <w:t>Make sure the program is running as designed and is effective</w:t>
      </w:r>
    </w:p>
    <w:p w14:paraId="6774198C" w14:textId="77777777" w:rsidR="005A334D" w:rsidRPr="00B752E6" w:rsidRDefault="005A334D" w:rsidP="005A334D">
      <w:pPr>
        <w:numPr>
          <w:ilvl w:val="0"/>
          <w:numId w:val="7"/>
        </w:numPr>
        <w:spacing w:line="360" w:lineRule="auto"/>
        <w:rPr>
          <w:rFonts w:asciiTheme="majorHAnsi" w:hAnsiTheme="majorHAnsi" w:cstheme="majorHAnsi"/>
        </w:rPr>
      </w:pPr>
      <w:r w:rsidRPr="00B752E6">
        <w:rPr>
          <w:rFonts w:asciiTheme="majorHAnsi" w:hAnsiTheme="majorHAnsi" w:cstheme="majorHAnsi"/>
        </w:rPr>
        <w:t>Document and communicate all the activities</w:t>
      </w:r>
    </w:p>
    <w:p w14:paraId="6C050CD6" w14:textId="77777777" w:rsidR="005A334D" w:rsidRDefault="005A334D" w:rsidP="005A334D">
      <w:pPr>
        <w:spacing w:line="360" w:lineRule="auto"/>
        <w:rPr>
          <w:rFonts w:asciiTheme="majorHAnsi" w:hAnsiTheme="majorHAnsi" w:cstheme="majorHAnsi"/>
        </w:rPr>
      </w:pPr>
    </w:p>
    <w:p w14:paraId="18CA6D0C" w14:textId="35AD8E89" w:rsidR="005A334D" w:rsidRDefault="005A334D" w:rsidP="005A334D">
      <w:pPr>
        <w:spacing w:line="360" w:lineRule="auto"/>
        <w:rPr>
          <w:rFonts w:asciiTheme="majorHAnsi" w:hAnsiTheme="majorHAnsi" w:cstheme="majorHAnsi"/>
        </w:rPr>
      </w:pPr>
      <w:r>
        <w:rPr>
          <w:rFonts w:asciiTheme="majorHAnsi" w:hAnsiTheme="majorHAnsi" w:cstheme="majorHAnsi"/>
        </w:rPr>
        <w:t xml:space="preserve">More detailed information about each of these elements is contained in the CDC’s </w:t>
      </w:r>
      <w:r w:rsidRPr="00424900">
        <w:rPr>
          <w:rFonts w:asciiTheme="majorHAnsi" w:hAnsiTheme="majorHAnsi"/>
          <w:i/>
          <w:iCs/>
        </w:rPr>
        <w:t>Developing a Water Management Program to Reduce Legionella Growth and Spread in Buildings</w:t>
      </w:r>
      <w:r>
        <w:rPr>
          <w:rFonts w:asciiTheme="majorHAnsi" w:hAnsiTheme="majorHAnsi"/>
          <w:i/>
          <w:iCs/>
        </w:rPr>
        <w:t xml:space="preserve"> </w:t>
      </w:r>
      <w:r>
        <w:rPr>
          <w:rFonts w:asciiTheme="majorHAnsi" w:hAnsiTheme="majorHAnsi" w:cstheme="majorHAnsi"/>
        </w:rPr>
        <w:t>publication.</w:t>
      </w:r>
      <w:r>
        <w:rPr>
          <w:rStyle w:val="FootnoteReference"/>
          <w:rFonts w:asciiTheme="majorHAnsi" w:hAnsiTheme="majorHAnsi" w:cstheme="majorHAnsi"/>
        </w:rPr>
        <w:footnoteReference w:id="137"/>
      </w:r>
      <w:r>
        <w:rPr>
          <w:rFonts w:asciiTheme="majorHAnsi" w:hAnsiTheme="majorHAnsi" w:cstheme="majorHAnsi"/>
        </w:rPr>
        <w:t xml:space="preserve"> </w:t>
      </w:r>
      <w:r w:rsidR="00AA7D1E">
        <w:rPr>
          <w:rFonts w:asciiTheme="majorHAnsi" w:hAnsiTheme="majorHAnsi" w:cstheme="majorHAnsi"/>
        </w:rPr>
        <w:t xml:space="preserve">Additionally, </w:t>
      </w:r>
      <w:r w:rsidR="007B1FC1">
        <w:rPr>
          <w:rFonts w:asciiTheme="majorHAnsi" w:hAnsiTheme="majorHAnsi" w:cstheme="majorHAnsi"/>
        </w:rPr>
        <w:t xml:space="preserve">CDC </w:t>
      </w:r>
      <w:r w:rsidR="00AA7D1E">
        <w:rPr>
          <w:rFonts w:asciiTheme="majorHAnsi" w:hAnsiTheme="majorHAnsi" w:cstheme="majorHAnsi"/>
        </w:rPr>
        <w:t xml:space="preserve">and others </w:t>
      </w:r>
      <w:r w:rsidR="008C758C">
        <w:rPr>
          <w:rFonts w:asciiTheme="majorHAnsi" w:hAnsiTheme="majorHAnsi" w:cstheme="majorHAnsi"/>
        </w:rPr>
        <w:t>developed the “</w:t>
      </w:r>
      <w:proofErr w:type="spellStart"/>
      <w:r w:rsidR="008C758C">
        <w:rPr>
          <w:rFonts w:asciiTheme="majorHAnsi" w:hAnsiTheme="majorHAnsi" w:cstheme="majorHAnsi"/>
        </w:rPr>
        <w:t>PreventLD</w:t>
      </w:r>
      <w:proofErr w:type="spellEnd"/>
      <w:r w:rsidR="008C758C">
        <w:rPr>
          <w:rFonts w:asciiTheme="majorHAnsi" w:hAnsiTheme="majorHAnsi" w:cstheme="majorHAnsi"/>
        </w:rPr>
        <w:t xml:space="preserve"> Training” online program </w:t>
      </w:r>
      <w:r w:rsidR="00AA7D1E">
        <w:rPr>
          <w:rFonts w:asciiTheme="majorHAnsi" w:hAnsiTheme="majorHAnsi" w:cstheme="majorHAnsi"/>
        </w:rPr>
        <w:t>to</w:t>
      </w:r>
      <w:r w:rsidR="008C758C">
        <w:rPr>
          <w:rFonts w:asciiTheme="majorHAnsi" w:hAnsiTheme="majorHAnsi" w:cstheme="majorHAnsi"/>
        </w:rPr>
        <w:t xml:space="preserve"> review the </w:t>
      </w:r>
      <w:r w:rsidR="00AA7D1E">
        <w:rPr>
          <w:rFonts w:asciiTheme="majorHAnsi" w:hAnsiTheme="majorHAnsi" w:cstheme="majorHAnsi"/>
        </w:rPr>
        <w:t>contents of a</w:t>
      </w:r>
      <w:r w:rsidR="008C758C" w:rsidRPr="008C758C">
        <w:rPr>
          <w:rFonts w:asciiTheme="majorHAnsi" w:hAnsiTheme="majorHAnsi" w:cstheme="majorHAnsi"/>
        </w:rPr>
        <w:t xml:space="preserve"> </w:t>
      </w:r>
      <w:r w:rsidR="00A47588">
        <w:rPr>
          <w:rFonts w:asciiTheme="majorHAnsi" w:hAnsiTheme="majorHAnsi"/>
        </w:rPr>
        <w:t>WMP</w:t>
      </w:r>
      <w:r w:rsidR="008C758C">
        <w:rPr>
          <w:rFonts w:asciiTheme="majorHAnsi" w:hAnsiTheme="majorHAnsi" w:cstheme="majorHAnsi"/>
        </w:rPr>
        <w:t>.</w:t>
      </w:r>
      <w:r w:rsidR="008C758C">
        <w:rPr>
          <w:rStyle w:val="FootnoteReference"/>
          <w:rFonts w:asciiTheme="majorHAnsi" w:hAnsiTheme="majorHAnsi" w:cstheme="majorHAnsi"/>
        </w:rPr>
        <w:footnoteReference w:id="138"/>
      </w:r>
      <w:r w:rsidR="008C758C">
        <w:rPr>
          <w:rFonts w:asciiTheme="majorHAnsi" w:hAnsiTheme="majorHAnsi" w:cstheme="majorHAnsi"/>
        </w:rPr>
        <w:t xml:space="preserve"> The </w:t>
      </w:r>
      <w:proofErr w:type="spellStart"/>
      <w:r w:rsidR="008C758C" w:rsidRPr="008C758C">
        <w:rPr>
          <w:rFonts w:asciiTheme="majorHAnsi" w:hAnsiTheme="majorHAnsi" w:cstheme="majorHAnsi"/>
        </w:rPr>
        <w:t>PreventLD</w:t>
      </w:r>
      <w:proofErr w:type="spellEnd"/>
      <w:r w:rsidR="008C758C" w:rsidRPr="008C758C">
        <w:rPr>
          <w:rFonts w:asciiTheme="majorHAnsi" w:hAnsiTheme="majorHAnsi" w:cstheme="majorHAnsi"/>
        </w:rPr>
        <w:t xml:space="preserve"> Training aligns with </w:t>
      </w:r>
      <w:r w:rsidR="008C758C">
        <w:rPr>
          <w:rFonts w:asciiTheme="majorHAnsi" w:hAnsiTheme="majorHAnsi" w:cstheme="majorHAnsi"/>
        </w:rPr>
        <w:t xml:space="preserve">the ASHRAE 188 </w:t>
      </w:r>
      <w:r w:rsidR="008C758C" w:rsidRPr="008C758C">
        <w:rPr>
          <w:rFonts w:asciiTheme="majorHAnsi" w:hAnsiTheme="majorHAnsi" w:cstheme="majorHAnsi"/>
        </w:rPr>
        <w:t xml:space="preserve">industry standard on managing risk for </w:t>
      </w:r>
      <w:r w:rsidR="008C758C" w:rsidRPr="008C758C">
        <w:rPr>
          <w:rFonts w:asciiTheme="majorHAnsi" w:hAnsiTheme="majorHAnsi" w:cstheme="majorHAnsi"/>
          <w:i/>
          <w:iCs/>
        </w:rPr>
        <w:t>Legionella</w:t>
      </w:r>
      <w:r w:rsidR="008C758C">
        <w:rPr>
          <w:rFonts w:asciiTheme="majorHAnsi" w:hAnsiTheme="majorHAnsi" w:cstheme="majorHAnsi"/>
        </w:rPr>
        <w:t>.</w:t>
      </w:r>
      <w:r w:rsidR="008C758C">
        <w:rPr>
          <w:rStyle w:val="FootnoteReference"/>
          <w:rFonts w:asciiTheme="majorHAnsi" w:hAnsiTheme="majorHAnsi" w:cstheme="majorHAnsi"/>
        </w:rPr>
        <w:footnoteReference w:id="139"/>
      </w:r>
    </w:p>
    <w:p w14:paraId="28C63037" w14:textId="77777777" w:rsidR="005A334D" w:rsidRDefault="005A334D" w:rsidP="005A334D">
      <w:pPr>
        <w:spacing w:line="360" w:lineRule="auto"/>
        <w:rPr>
          <w:rFonts w:asciiTheme="majorHAnsi" w:hAnsiTheme="majorHAnsi" w:cstheme="majorHAnsi"/>
        </w:rPr>
      </w:pPr>
    </w:p>
    <w:p w14:paraId="56347310" w14:textId="77777777" w:rsidR="005A334D" w:rsidRPr="00DC74AB" w:rsidRDefault="005A334D" w:rsidP="00527549">
      <w:pPr>
        <w:keepNext/>
        <w:spacing w:line="360" w:lineRule="auto"/>
        <w:rPr>
          <w:rFonts w:asciiTheme="majorHAnsi" w:hAnsiTheme="majorHAnsi" w:cstheme="majorHAnsi"/>
          <w:b/>
          <w:bCs/>
        </w:rPr>
      </w:pPr>
      <w:r w:rsidRPr="00DC74AB">
        <w:rPr>
          <w:rFonts w:asciiTheme="majorHAnsi" w:hAnsiTheme="majorHAnsi" w:cstheme="majorHAnsi"/>
          <w:b/>
          <w:bCs/>
        </w:rPr>
        <w:lastRenderedPageBreak/>
        <w:t>Site and Building Characteristics</w:t>
      </w:r>
    </w:p>
    <w:p w14:paraId="352F18C9" w14:textId="3384146B" w:rsidR="005A334D" w:rsidRPr="00CD7065" w:rsidRDefault="005A334D" w:rsidP="005A334D">
      <w:pPr>
        <w:spacing w:line="360" w:lineRule="auto"/>
        <w:rPr>
          <w:rFonts w:asciiTheme="majorHAnsi" w:hAnsiTheme="majorHAnsi" w:cstheme="majorHAnsi"/>
        </w:rPr>
      </w:pPr>
      <w:r>
        <w:rPr>
          <w:rFonts w:asciiTheme="majorHAnsi" w:hAnsiTheme="majorHAnsi" w:cstheme="majorHAnsi"/>
        </w:rPr>
        <w:t xml:space="preserve">Every </w:t>
      </w:r>
      <w:r w:rsidR="00A47588">
        <w:rPr>
          <w:rFonts w:asciiTheme="majorHAnsi" w:hAnsiTheme="majorHAnsi"/>
        </w:rPr>
        <w:t>WMP</w:t>
      </w:r>
      <w:r w:rsidR="00A47588">
        <w:rPr>
          <w:rFonts w:asciiTheme="majorHAnsi" w:hAnsiTheme="majorHAnsi" w:cstheme="majorHAnsi"/>
        </w:rPr>
        <w:t xml:space="preserve"> </w:t>
      </w:r>
      <w:r>
        <w:rPr>
          <w:rFonts w:asciiTheme="majorHAnsi" w:hAnsiTheme="majorHAnsi" w:cstheme="majorHAnsi"/>
        </w:rPr>
        <w:t xml:space="preserve">must be </w:t>
      </w:r>
      <w:r w:rsidRPr="00CD7065">
        <w:rPr>
          <w:rFonts w:asciiTheme="majorHAnsi" w:hAnsiTheme="majorHAnsi" w:cstheme="majorHAnsi"/>
        </w:rPr>
        <w:t>customized</w:t>
      </w:r>
      <w:r>
        <w:rPr>
          <w:rFonts w:asciiTheme="majorHAnsi" w:hAnsiTheme="majorHAnsi" w:cstheme="majorHAnsi"/>
        </w:rPr>
        <w:t xml:space="preserve"> </w:t>
      </w:r>
      <w:r w:rsidRPr="00CD7065">
        <w:rPr>
          <w:rFonts w:asciiTheme="majorHAnsi" w:hAnsiTheme="majorHAnsi" w:cstheme="majorHAnsi"/>
        </w:rPr>
        <w:t xml:space="preserve">for each </w:t>
      </w:r>
      <w:r>
        <w:rPr>
          <w:rFonts w:asciiTheme="majorHAnsi" w:hAnsiTheme="majorHAnsi" w:cstheme="majorHAnsi"/>
        </w:rPr>
        <w:t xml:space="preserve">specific </w:t>
      </w:r>
      <w:r w:rsidRPr="00CD7065">
        <w:rPr>
          <w:rFonts w:asciiTheme="majorHAnsi" w:hAnsiTheme="majorHAnsi" w:cstheme="majorHAnsi"/>
        </w:rPr>
        <w:t xml:space="preserve">building </w:t>
      </w:r>
      <w:r>
        <w:rPr>
          <w:rFonts w:asciiTheme="majorHAnsi" w:hAnsiTheme="majorHAnsi" w:cstheme="majorHAnsi"/>
        </w:rPr>
        <w:t>or device at the site. CDC identifies the following factors to consider while creating and implementing a water management program</w:t>
      </w:r>
      <w:r>
        <w:rPr>
          <w:rStyle w:val="FootnoteReference"/>
          <w:rFonts w:asciiTheme="majorHAnsi" w:hAnsiTheme="majorHAnsi" w:cstheme="majorHAnsi"/>
        </w:rPr>
        <w:footnoteReference w:id="140"/>
      </w:r>
      <w:r>
        <w:rPr>
          <w:rFonts w:asciiTheme="majorHAnsi" w:hAnsiTheme="majorHAnsi" w:cstheme="majorHAnsi"/>
        </w:rPr>
        <w:t>:</w:t>
      </w:r>
      <w:r w:rsidRPr="00CD7065">
        <w:rPr>
          <w:rFonts w:asciiTheme="majorHAnsi" w:hAnsiTheme="majorHAnsi" w:cstheme="majorHAnsi"/>
        </w:rPr>
        <w:t xml:space="preserve"> </w:t>
      </w:r>
    </w:p>
    <w:p w14:paraId="6AD6A70A" w14:textId="77777777" w:rsidR="005A334D" w:rsidRPr="00CD7065" w:rsidRDefault="005A334D" w:rsidP="005A334D">
      <w:pPr>
        <w:numPr>
          <w:ilvl w:val="0"/>
          <w:numId w:val="9"/>
        </w:numPr>
        <w:spacing w:line="360" w:lineRule="auto"/>
        <w:rPr>
          <w:rFonts w:asciiTheme="majorHAnsi" w:hAnsiTheme="majorHAnsi" w:cstheme="majorHAnsi"/>
        </w:rPr>
      </w:pPr>
      <w:r w:rsidRPr="00CD7065">
        <w:rPr>
          <w:rFonts w:asciiTheme="majorHAnsi" w:hAnsiTheme="majorHAnsi" w:cstheme="majorHAnsi"/>
        </w:rPr>
        <w:t>Structure and size</w:t>
      </w:r>
    </w:p>
    <w:p w14:paraId="47D32A89" w14:textId="77777777" w:rsidR="005A334D" w:rsidRPr="00CD7065" w:rsidRDefault="005A334D" w:rsidP="005A334D">
      <w:pPr>
        <w:numPr>
          <w:ilvl w:val="0"/>
          <w:numId w:val="9"/>
        </w:numPr>
        <w:spacing w:line="360" w:lineRule="auto"/>
        <w:rPr>
          <w:rFonts w:asciiTheme="majorHAnsi" w:hAnsiTheme="majorHAnsi" w:cstheme="majorHAnsi"/>
        </w:rPr>
      </w:pPr>
      <w:r w:rsidRPr="00CD7065">
        <w:rPr>
          <w:rFonts w:asciiTheme="majorHAnsi" w:hAnsiTheme="majorHAnsi" w:cstheme="majorHAnsi"/>
        </w:rPr>
        <w:t>Age</w:t>
      </w:r>
    </w:p>
    <w:p w14:paraId="0B13A603" w14:textId="77777777" w:rsidR="005A334D" w:rsidRPr="00CD7065" w:rsidRDefault="005A334D" w:rsidP="005A334D">
      <w:pPr>
        <w:numPr>
          <w:ilvl w:val="0"/>
          <w:numId w:val="9"/>
        </w:numPr>
        <w:spacing w:line="360" w:lineRule="auto"/>
        <w:rPr>
          <w:rFonts w:asciiTheme="majorHAnsi" w:hAnsiTheme="majorHAnsi" w:cstheme="majorHAnsi"/>
        </w:rPr>
      </w:pPr>
      <w:r w:rsidRPr="00CD7065">
        <w:rPr>
          <w:rFonts w:asciiTheme="majorHAnsi" w:hAnsiTheme="majorHAnsi" w:cstheme="majorHAnsi"/>
        </w:rPr>
        <w:t>Location and surrounding conditions</w:t>
      </w:r>
    </w:p>
    <w:p w14:paraId="0BD46535" w14:textId="77777777" w:rsidR="005A334D" w:rsidRPr="00CD7065" w:rsidRDefault="005A334D" w:rsidP="005A334D">
      <w:pPr>
        <w:numPr>
          <w:ilvl w:val="0"/>
          <w:numId w:val="9"/>
        </w:numPr>
        <w:spacing w:line="360" w:lineRule="auto"/>
        <w:rPr>
          <w:rFonts w:asciiTheme="majorHAnsi" w:hAnsiTheme="majorHAnsi" w:cstheme="majorHAnsi"/>
        </w:rPr>
      </w:pPr>
      <w:r w:rsidRPr="00CD7065">
        <w:rPr>
          <w:rFonts w:asciiTheme="majorHAnsi" w:hAnsiTheme="majorHAnsi" w:cstheme="majorHAnsi"/>
        </w:rPr>
        <w:t>Unique areas of risk for </w:t>
      </w:r>
      <w:r w:rsidRPr="00CD7065">
        <w:rPr>
          <w:rFonts w:asciiTheme="majorHAnsi" w:hAnsiTheme="majorHAnsi" w:cstheme="majorHAnsi"/>
          <w:i/>
          <w:iCs/>
        </w:rPr>
        <w:t>Legionella</w:t>
      </w:r>
      <w:r w:rsidRPr="00CD7065">
        <w:rPr>
          <w:rFonts w:asciiTheme="majorHAnsi" w:hAnsiTheme="majorHAnsi" w:cstheme="majorHAnsi"/>
        </w:rPr>
        <w:t> growth and spread</w:t>
      </w:r>
    </w:p>
    <w:p w14:paraId="6E3B6ADB" w14:textId="77777777" w:rsidR="005A334D" w:rsidRPr="00CD7065" w:rsidRDefault="005A334D" w:rsidP="005A334D">
      <w:pPr>
        <w:numPr>
          <w:ilvl w:val="0"/>
          <w:numId w:val="9"/>
        </w:numPr>
        <w:spacing w:line="360" w:lineRule="auto"/>
        <w:rPr>
          <w:rFonts w:asciiTheme="majorHAnsi" w:hAnsiTheme="majorHAnsi" w:cstheme="majorHAnsi"/>
        </w:rPr>
      </w:pPr>
      <w:r w:rsidRPr="00CD7065">
        <w:rPr>
          <w:rFonts w:asciiTheme="majorHAnsi" w:hAnsiTheme="majorHAnsi" w:cstheme="majorHAnsi"/>
        </w:rPr>
        <w:t>Susceptibilities of the people found within</w:t>
      </w:r>
    </w:p>
    <w:p w14:paraId="787F5422" w14:textId="77777777" w:rsidR="005A334D" w:rsidRDefault="005A334D" w:rsidP="005A334D">
      <w:pPr>
        <w:spacing w:line="360" w:lineRule="auto"/>
        <w:rPr>
          <w:rFonts w:asciiTheme="majorHAnsi" w:hAnsiTheme="majorHAnsi" w:cstheme="majorHAnsi"/>
        </w:rPr>
      </w:pPr>
    </w:p>
    <w:p w14:paraId="47CB90DD" w14:textId="1E81D31D" w:rsidR="005A334D" w:rsidRPr="00CD7065" w:rsidRDefault="005A334D" w:rsidP="005A334D">
      <w:pPr>
        <w:spacing w:line="360" w:lineRule="auto"/>
        <w:rPr>
          <w:rFonts w:asciiTheme="majorHAnsi" w:hAnsiTheme="majorHAnsi" w:cstheme="majorHAnsi"/>
        </w:rPr>
      </w:pPr>
      <w:r>
        <w:rPr>
          <w:rFonts w:asciiTheme="majorHAnsi" w:hAnsiTheme="majorHAnsi" w:cstheme="majorHAnsi"/>
        </w:rPr>
        <w:t xml:space="preserve">It is also important to note that requirements or limitations in specific state and local codes and regulations may affect a building’s </w:t>
      </w:r>
      <w:r w:rsidR="00A47588">
        <w:rPr>
          <w:rFonts w:asciiTheme="majorHAnsi" w:hAnsiTheme="majorHAnsi"/>
        </w:rPr>
        <w:t>WMP</w:t>
      </w:r>
      <w:r>
        <w:rPr>
          <w:rFonts w:asciiTheme="majorHAnsi" w:hAnsiTheme="majorHAnsi" w:cstheme="majorHAnsi"/>
        </w:rPr>
        <w:t>.</w:t>
      </w:r>
      <w:r>
        <w:rPr>
          <w:rStyle w:val="FootnoteReference"/>
          <w:rFonts w:asciiTheme="majorHAnsi" w:hAnsiTheme="majorHAnsi" w:cstheme="majorHAnsi"/>
        </w:rPr>
        <w:footnoteReference w:id="141"/>
      </w:r>
      <w:r>
        <w:rPr>
          <w:rFonts w:asciiTheme="majorHAnsi" w:hAnsiTheme="majorHAnsi" w:cstheme="majorHAnsi"/>
        </w:rPr>
        <w:t xml:space="preserve"> Such codes and regulations could include, for example, </w:t>
      </w:r>
      <w:r w:rsidRPr="00CD7065">
        <w:rPr>
          <w:rFonts w:asciiTheme="majorHAnsi" w:hAnsiTheme="majorHAnsi" w:cstheme="majorHAnsi"/>
        </w:rPr>
        <w:t>building codes, water treatment regulations, healthcare accreditation and survey requirements, and public health reporting requirements.</w:t>
      </w:r>
      <w:r>
        <w:rPr>
          <w:rStyle w:val="FootnoteReference"/>
          <w:rFonts w:asciiTheme="majorHAnsi" w:hAnsiTheme="majorHAnsi" w:cstheme="majorHAnsi"/>
        </w:rPr>
        <w:footnoteReference w:id="142"/>
      </w:r>
      <w:r w:rsidRPr="00CD7065">
        <w:rPr>
          <w:rFonts w:asciiTheme="majorHAnsi" w:hAnsiTheme="majorHAnsi" w:cstheme="majorHAnsi"/>
        </w:rPr>
        <w:t xml:space="preserve"> </w:t>
      </w:r>
    </w:p>
    <w:p w14:paraId="67815981" w14:textId="77777777" w:rsidR="005A334D" w:rsidRDefault="005A334D" w:rsidP="005A334D">
      <w:pPr>
        <w:spacing w:line="360" w:lineRule="auto"/>
        <w:rPr>
          <w:rFonts w:asciiTheme="majorHAnsi" w:hAnsiTheme="majorHAnsi" w:cstheme="majorHAnsi"/>
        </w:rPr>
      </w:pPr>
    </w:p>
    <w:p w14:paraId="6853A74B" w14:textId="77777777" w:rsidR="005A334D" w:rsidRPr="00082C07" w:rsidRDefault="005A334D" w:rsidP="005A334D">
      <w:pPr>
        <w:spacing w:line="360" w:lineRule="auto"/>
        <w:rPr>
          <w:rFonts w:asciiTheme="majorHAnsi" w:hAnsiTheme="majorHAnsi" w:cstheme="majorHAnsi"/>
          <w:b/>
          <w:bCs/>
        </w:rPr>
      </w:pPr>
      <w:r>
        <w:rPr>
          <w:rFonts w:asciiTheme="majorHAnsi" w:hAnsiTheme="majorHAnsi" w:cstheme="majorHAnsi"/>
          <w:b/>
          <w:bCs/>
        </w:rPr>
        <w:t xml:space="preserve">Water Management Programs in </w:t>
      </w:r>
      <w:r w:rsidRPr="00082C07">
        <w:rPr>
          <w:rFonts w:asciiTheme="majorHAnsi" w:hAnsiTheme="majorHAnsi" w:cstheme="majorHAnsi"/>
          <w:b/>
          <w:bCs/>
        </w:rPr>
        <w:t>Healthcare Settings</w:t>
      </w:r>
    </w:p>
    <w:p w14:paraId="6C45C4A1" w14:textId="199E9815" w:rsidR="005A334D" w:rsidRDefault="005A334D" w:rsidP="005A334D">
      <w:pPr>
        <w:spacing w:line="360" w:lineRule="auto"/>
        <w:rPr>
          <w:rFonts w:asciiTheme="majorHAnsi" w:hAnsiTheme="majorHAnsi" w:cstheme="majorHAnsi"/>
        </w:rPr>
      </w:pPr>
      <w:r>
        <w:rPr>
          <w:rFonts w:asciiTheme="majorHAnsi" w:hAnsiTheme="majorHAnsi" w:cstheme="majorHAnsi"/>
        </w:rPr>
        <w:t xml:space="preserve">While the same principles apply for </w:t>
      </w:r>
      <w:r w:rsidR="00A47588">
        <w:rPr>
          <w:rFonts w:asciiTheme="majorHAnsi" w:hAnsiTheme="majorHAnsi"/>
        </w:rPr>
        <w:t>WMP</w:t>
      </w:r>
      <w:r w:rsidR="00A47588">
        <w:rPr>
          <w:rFonts w:asciiTheme="majorHAnsi" w:hAnsiTheme="majorHAnsi"/>
        </w:rPr>
        <w:t>s</w:t>
      </w:r>
      <w:r w:rsidR="00A47588">
        <w:rPr>
          <w:rFonts w:asciiTheme="majorHAnsi" w:hAnsiTheme="majorHAnsi" w:cstheme="majorHAnsi"/>
        </w:rPr>
        <w:t xml:space="preserve"> </w:t>
      </w:r>
      <w:r>
        <w:rPr>
          <w:rFonts w:asciiTheme="majorHAnsi" w:hAnsiTheme="majorHAnsi" w:cstheme="majorHAnsi"/>
        </w:rPr>
        <w:t xml:space="preserve">in healthcare facilities, there are </w:t>
      </w:r>
    </w:p>
    <w:p w14:paraId="4B955344" w14:textId="2CBC3950" w:rsidR="005A334D" w:rsidRPr="000C6D7D" w:rsidRDefault="005A334D" w:rsidP="005A334D">
      <w:pPr>
        <w:spacing w:line="360" w:lineRule="auto"/>
        <w:rPr>
          <w:rFonts w:asciiTheme="majorHAnsi" w:hAnsiTheme="majorHAnsi" w:cstheme="majorHAnsi"/>
        </w:rPr>
      </w:pPr>
      <w:r w:rsidRPr="000532DA">
        <w:rPr>
          <w:rFonts w:asciiTheme="majorHAnsi" w:hAnsiTheme="majorHAnsi" w:cstheme="majorHAnsi"/>
        </w:rPr>
        <w:t xml:space="preserve">additional considerations </w:t>
      </w:r>
      <w:r>
        <w:rPr>
          <w:rFonts w:asciiTheme="majorHAnsi" w:hAnsiTheme="majorHAnsi" w:cstheme="majorHAnsi"/>
        </w:rPr>
        <w:t>in these settings. As discussed in Chapter 1 (Legionnaires’ Disease Basics), m</w:t>
      </w:r>
      <w:r w:rsidRPr="003E4548">
        <w:rPr>
          <w:rFonts w:asciiTheme="majorHAnsi" w:hAnsiTheme="majorHAnsi" w:cstheme="majorHAnsi"/>
        </w:rPr>
        <w:t>any people being treated at healthcare facilities</w:t>
      </w:r>
      <w:r>
        <w:rPr>
          <w:rFonts w:asciiTheme="majorHAnsi" w:hAnsiTheme="majorHAnsi" w:cstheme="majorHAnsi"/>
        </w:rPr>
        <w:t>—</w:t>
      </w:r>
      <w:r w:rsidRPr="003E4548">
        <w:rPr>
          <w:rFonts w:asciiTheme="majorHAnsi" w:hAnsiTheme="majorHAnsi" w:cstheme="majorHAnsi"/>
        </w:rPr>
        <w:t>including long-term care facilities</w:t>
      </w:r>
      <w:r w:rsidR="00573F8E">
        <w:rPr>
          <w:rFonts w:asciiTheme="majorHAnsi" w:hAnsiTheme="majorHAnsi" w:cstheme="majorHAnsi"/>
        </w:rPr>
        <w:t>,</w:t>
      </w:r>
      <w:r w:rsidRPr="003E4548">
        <w:rPr>
          <w:rFonts w:asciiTheme="majorHAnsi" w:hAnsiTheme="majorHAnsi" w:cstheme="majorHAnsi"/>
        </w:rPr>
        <w:t xml:space="preserve"> hospitals</w:t>
      </w:r>
      <w:r>
        <w:rPr>
          <w:rFonts w:asciiTheme="majorHAnsi" w:hAnsiTheme="majorHAnsi" w:cstheme="majorHAnsi"/>
        </w:rPr>
        <w:t>, and outpatient clinics—</w:t>
      </w:r>
      <w:r w:rsidRPr="003E4548">
        <w:rPr>
          <w:rFonts w:asciiTheme="majorHAnsi" w:hAnsiTheme="majorHAnsi" w:cstheme="majorHAnsi"/>
        </w:rPr>
        <w:t xml:space="preserve">have conditions that put them at </w:t>
      </w:r>
      <w:r>
        <w:rPr>
          <w:rFonts w:asciiTheme="majorHAnsi" w:hAnsiTheme="majorHAnsi" w:cstheme="majorHAnsi"/>
        </w:rPr>
        <w:t>higher</w:t>
      </w:r>
      <w:r w:rsidRPr="003E4548">
        <w:rPr>
          <w:rFonts w:asciiTheme="majorHAnsi" w:hAnsiTheme="majorHAnsi" w:cstheme="majorHAnsi"/>
        </w:rPr>
        <w:t xml:space="preserve"> risk of getting sick and dying from LD.</w:t>
      </w:r>
      <w:r>
        <w:rPr>
          <w:rStyle w:val="FootnoteReference"/>
          <w:rFonts w:asciiTheme="majorHAnsi" w:hAnsiTheme="majorHAnsi" w:cstheme="majorHAnsi"/>
        </w:rPr>
        <w:footnoteReference w:id="143"/>
      </w:r>
      <w:r w:rsidRPr="003E4548">
        <w:rPr>
          <w:rFonts w:asciiTheme="majorHAnsi" w:hAnsiTheme="majorHAnsi" w:cstheme="majorHAnsi"/>
        </w:rPr>
        <w:t xml:space="preserve"> </w:t>
      </w:r>
      <w:r>
        <w:rPr>
          <w:rFonts w:asciiTheme="majorHAnsi" w:hAnsiTheme="majorHAnsi" w:cstheme="majorHAnsi"/>
        </w:rPr>
        <w:t>Further, i</w:t>
      </w:r>
      <w:r w:rsidRPr="008C5DAF">
        <w:rPr>
          <w:rFonts w:asciiTheme="majorHAnsi" w:hAnsiTheme="majorHAnsi" w:cstheme="majorHAnsi"/>
        </w:rPr>
        <w:t>n Ju</w:t>
      </w:r>
      <w:r>
        <w:rPr>
          <w:rFonts w:asciiTheme="majorHAnsi" w:hAnsiTheme="majorHAnsi" w:cstheme="majorHAnsi"/>
        </w:rPr>
        <w:t>ly 2018</w:t>
      </w:r>
      <w:r w:rsidRPr="008C5DAF">
        <w:rPr>
          <w:rFonts w:asciiTheme="majorHAnsi" w:hAnsiTheme="majorHAnsi" w:cstheme="majorHAnsi"/>
        </w:rPr>
        <w:t>, the Centers for Medicare &amp; Medicaid Services (CMS) released a</w:t>
      </w:r>
      <w:r>
        <w:rPr>
          <w:rFonts w:asciiTheme="majorHAnsi" w:hAnsiTheme="majorHAnsi" w:cstheme="majorHAnsi"/>
        </w:rPr>
        <w:t>n updated</w:t>
      </w:r>
      <w:r w:rsidRPr="008C5DAF">
        <w:rPr>
          <w:rFonts w:asciiTheme="majorHAnsi" w:hAnsiTheme="majorHAnsi" w:cstheme="majorHAnsi"/>
        </w:rPr>
        <w:t> </w:t>
      </w:r>
      <w:r w:rsidRPr="001C1208">
        <w:rPr>
          <w:rFonts w:asciiTheme="majorHAnsi" w:hAnsiTheme="majorHAnsi" w:cstheme="majorHAnsi"/>
        </w:rPr>
        <w:t>survey and certification memo</w:t>
      </w:r>
      <w:r>
        <w:rPr>
          <w:rFonts w:asciiTheme="majorHAnsi" w:hAnsiTheme="majorHAnsi" w:cstheme="majorHAnsi"/>
        </w:rPr>
        <w:t xml:space="preserve">randum requiring </w:t>
      </w:r>
      <w:r w:rsidRPr="008C5DAF">
        <w:rPr>
          <w:rFonts w:asciiTheme="majorHAnsi" w:hAnsiTheme="majorHAnsi" w:cstheme="majorHAnsi"/>
        </w:rPr>
        <w:t xml:space="preserve">healthcare facilities </w:t>
      </w:r>
      <w:r>
        <w:rPr>
          <w:rFonts w:asciiTheme="majorHAnsi" w:hAnsiTheme="majorHAnsi" w:cstheme="majorHAnsi"/>
        </w:rPr>
        <w:t xml:space="preserve">to </w:t>
      </w:r>
      <w:r w:rsidRPr="008C5DAF">
        <w:rPr>
          <w:rFonts w:asciiTheme="majorHAnsi" w:hAnsiTheme="majorHAnsi" w:cstheme="majorHAnsi"/>
        </w:rPr>
        <w:t xml:space="preserve">develop and adhere to ASHRAE-compliant </w:t>
      </w:r>
      <w:r w:rsidR="00A47588">
        <w:rPr>
          <w:rFonts w:asciiTheme="majorHAnsi" w:hAnsiTheme="majorHAnsi"/>
        </w:rPr>
        <w:t>WMP</w:t>
      </w:r>
      <w:r w:rsidRPr="008C5DAF">
        <w:rPr>
          <w:rFonts w:asciiTheme="majorHAnsi" w:hAnsiTheme="majorHAnsi" w:cstheme="majorHAnsi"/>
        </w:rPr>
        <w:t>s to reduce the risk for </w:t>
      </w:r>
      <w:r w:rsidRPr="008C5DAF">
        <w:rPr>
          <w:rFonts w:asciiTheme="majorHAnsi" w:hAnsiTheme="majorHAnsi" w:cstheme="majorHAnsi"/>
          <w:i/>
          <w:iCs/>
        </w:rPr>
        <w:t>Legionella </w:t>
      </w:r>
      <w:r w:rsidRPr="008C5DAF">
        <w:rPr>
          <w:rFonts w:asciiTheme="majorHAnsi" w:hAnsiTheme="majorHAnsi" w:cstheme="majorHAnsi"/>
        </w:rPr>
        <w:t>and other pathogens in their water systems</w:t>
      </w:r>
      <w:r w:rsidRPr="008C5DAF">
        <w:rPr>
          <w:rFonts w:asciiTheme="majorHAnsi" w:hAnsiTheme="majorHAnsi" w:cstheme="majorHAnsi"/>
          <w:i/>
          <w:iCs/>
        </w:rPr>
        <w:t>.</w:t>
      </w:r>
      <w:r w:rsidRPr="007D3A88">
        <w:rPr>
          <w:rStyle w:val="FootnoteReference"/>
          <w:rFonts w:asciiTheme="majorHAnsi" w:hAnsiTheme="majorHAnsi" w:cstheme="majorHAnsi"/>
        </w:rPr>
        <w:footnoteReference w:id="144"/>
      </w:r>
    </w:p>
    <w:p w14:paraId="3AA83E6E" w14:textId="77777777" w:rsidR="005A334D" w:rsidRPr="000C6D7D" w:rsidRDefault="005A334D" w:rsidP="005A334D">
      <w:pPr>
        <w:spacing w:line="360" w:lineRule="auto"/>
        <w:rPr>
          <w:rFonts w:asciiTheme="majorHAnsi" w:hAnsiTheme="majorHAnsi" w:cstheme="majorHAnsi"/>
        </w:rPr>
      </w:pPr>
    </w:p>
    <w:p w14:paraId="636FDCEC" w14:textId="588869C7" w:rsidR="005A334D" w:rsidRDefault="005A334D" w:rsidP="005A334D">
      <w:pPr>
        <w:spacing w:line="360" w:lineRule="auto"/>
        <w:rPr>
          <w:rFonts w:asciiTheme="majorHAnsi" w:hAnsiTheme="majorHAnsi" w:cstheme="majorHAnsi"/>
        </w:rPr>
      </w:pPr>
      <w:r w:rsidRPr="00927D7F">
        <w:rPr>
          <w:rFonts w:asciiTheme="majorHAnsi" w:hAnsiTheme="majorHAnsi" w:cstheme="majorHAnsi"/>
        </w:rPr>
        <w:t xml:space="preserve">A </w:t>
      </w:r>
      <w:r w:rsidR="00A47588">
        <w:rPr>
          <w:rFonts w:asciiTheme="majorHAnsi" w:hAnsiTheme="majorHAnsi"/>
        </w:rPr>
        <w:t>WMP</w:t>
      </w:r>
      <w:r w:rsidR="00A47588" w:rsidRPr="00927D7F">
        <w:rPr>
          <w:rFonts w:asciiTheme="majorHAnsi" w:hAnsiTheme="majorHAnsi" w:cstheme="majorHAnsi"/>
        </w:rPr>
        <w:t xml:space="preserve"> </w:t>
      </w:r>
      <w:r w:rsidRPr="00927D7F">
        <w:rPr>
          <w:rFonts w:asciiTheme="majorHAnsi" w:hAnsiTheme="majorHAnsi" w:cstheme="majorHAnsi"/>
        </w:rPr>
        <w:t xml:space="preserve">can </w:t>
      </w:r>
      <w:r>
        <w:rPr>
          <w:rFonts w:asciiTheme="majorHAnsi" w:hAnsiTheme="majorHAnsi" w:cstheme="majorHAnsi"/>
        </w:rPr>
        <w:t xml:space="preserve">also aid in controlling other </w:t>
      </w:r>
      <w:r w:rsidRPr="00927D7F">
        <w:rPr>
          <w:rFonts w:asciiTheme="majorHAnsi" w:hAnsiTheme="majorHAnsi" w:cstheme="majorHAnsi"/>
        </w:rPr>
        <w:t>water-related healthcare-associated infections</w:t>
      </w:r>
      <w:r>
        <w:rPr>
          <w:rFonts w:asciiTheme="majorHAnsi" w:hAnsiTheme="majorHAnsi" w:cstheme="majorHAnsi"/>
        </w:rPr>
        <w:t xml:space="preserve"> and may be considered</w:t>
      </w:r>
      <w:r w:rsidRPr="00927D7F">
        <w:rPr>
          <w:rFonts w:asciiTheme="majorHAnsi" w:hAnsiTheme="majorHAnsi" w:cstheme="majorHAnsi"/>
        </w:rPr>
        <w:t xml:space="preserve"> for </w:t>
      </w:r>
      <w:r>
        <w:rPr>
          <w:rFonts w:asciiTheme="majorHAnsi" w:hAnsiTheme="majorHAnsi" w:cstheme="majorHAnsi"/>
        </w:rPr>
        <w:t xml:space="preserve">its </w:t>
      </w:r>
      <w:r w:rsidRPr="00927D7F">
        <w:rPr>
          <w:rFonts w:asciiTheme="majorHAnsi" w:hAnsiTheme="majorHAnsi" w:cstheme="majorHAnsi"/>
        </w:rPr>
        <w:t xml:space="preserve">efficacy in reducing risk for </w:t>
      </w:r>
      <w:r>
        <w:rPr>
          <w:rFonts w:asciiTheme="majorHAnsi" w:hAnsiTheme="majorHAnsi" w:cstheme="majorHAnsi"/>
        </w:rPr>
        <w:t>other</w:t>
      </w:r>
      <w:r w:rsidRPr="00927D7F">
        <w:rPr>
          <w:rFonts w:asciiTheme="majorHAnsi" w:hAnsiTheme="majorHAnsi" w:cstheme="majorHAnsi"/>
        </w:rPr>
        <w:t xml:space="preserve"> pathogens</w:t>
      </w:r>
      <w:r>
        <w:rPr>
          <w:rFonts w:asciiTheme="majorHAnsi" w:hAnsiTheme="majorHAnsi" w:cstheme="majorHAnsi"/>
        </w:rPr>
        <w:t xml:space="preserve"> like </w:t>
      </w:r>
      <w:r w:rsidRPr="00927D7F">
        <w:rPr>
          <w:rFonts w:asciiTheme="majorHAnsi" w:hAnsiTheme="majorHAnsi" w:cstheme="majorHAnsi"/>
        </w:rPr>
        <w:t xml:space="preserve">gram-negative bacteria (e.g., </w:t>
      </w:r>
      <w:r w:rsidRPr="001D0D7B">
        <w:rPr>
          <w:rFonts w:asciiTheme="majorHAnsi" w:hAnsiTheme="majorHAnsi" w:cstheme="majorHAnsi"/>
          <w:i/>
          <w:iCs/>
        </w:rPr>
        <w:t>Pseudomonas</w:t>
      </w:r>
      <w:r w:rsidRPr="00927D7F">
        <w:rPr>
          <w:rFonts w:asciiTheme="majorHAnsi" w:hAnsiTheme="majorHAnsi" w:cstheme="majorHAnsi"/>
        </w:rPr>
        <w:t xml:space="preserve">, </w:t>
      </w:r>
      <w:proofErr w:type="spellStart"/>
      <w:r w:rsidRPr="001D0D7B">
        <w:rPr>
          <w:rFonts w:asciiTheme="majorHAnsi" w:hAnsiTheme="majorHAnsi" w:cstheme="majorHAnsi"/>
          <w:i/>
          <w:iCs/>
        </w:rPr>
        <w:t>Burkholderia</w:t>
      </w:r>
      <w:proofErr w:type="spellEnd"/>
      <w:r w:rsidRPr="00927D7F">
        <w:rPr>
          <w:rFonts w:asciiTheme="majorHAnsi" w:hAnsiTheme="majorHAnsi" w:cstheme="majorHAnsi"/>
        </w:rPr>
        <w:t xml:space="preserve">, </w:t>
      </w:r>
      <w:r w:rsidRPr="001D0D7B">
        <w:rPr>
          <w:rFonts w:asciiTheme="majorHAnsi" w:hAnsiTheme="majorHAnsi" w:cstheme="majorHAnsi"/>
          <w:i/>
          <w:iCs/>
        </w:rPr>
        <w:t>Stenotrophomonas</w:t>
      </w:r>
      <w:r w:rsidRPr="00927D7F">
        <w:rPr>
          <w:rFonts w:asciiTheme="majorHAnsi" w:hAnsiTheme="majorHAnsi" w:cstheme="majorHAnsi"/>
        </w:rPr>
        <w:t>) and nontuberculous mycobacteria.</w:t>
      </w:r>
      <w:r>
        <w:rPr>
          <w:rStyle w:val="FootnoteReference"/>
          <w:rFonts w:asciiTheme="majorHAnsi" w:hAnsiTheme="majorHAnsi" w:cstheme="majorHAnsi"/>
        </w:rPr>
        <w:footnoteReference w:id="145"/>
      </w:r>
      <w:r>
        <w:rPr>
          <w:rFonts w:asciiTheme="majorHAnsi" w:hAnsiTheme="majorHAnsi" w:cstheme="majorHAnsi"/>
        </w:rPr>
        <w:t xml:space="preserve"> CDC has also identified additional information resources about </w:t>
      </w:r>
      <w:r w:rsidR="00A47588">
        <w:rPr>
          <w:rFonts w:asciiTheme="majorHAnsi" w:hAnsiTheme="majorHAnsi"/>
        </w:rPr>
        <w:t>WMP</w:t>
      </w:r>
      <w:r w:rsidR="00A47588">
        <w:rPr>
          <w:rFonts w:asciiTheme="majorHAnsi" w:hAnsiTheme="majorHAnsi" w:cstheme="majorHAnsi"/>
        </w:rPr>
        <w:t xml:space="preserve"> </w:t>
      </w:r>
      <w:r>
        <w:rPr>
          <w:rFonts w:asciiTheme="majorHAnsi" w:hAnsiTheme="majorHAnsi" w:cstheme="majorHAnsi"/>
        </w:rPr>
        <w:t>in healthcare facilities on its website.</w:t>
      </w:r>
      <w:r>
        <w:rPr>
          <w:rStyle w:val="FootnoteReference"/>
          <w:rFonts w:asciiTheme="majorHAnsi" w:hAnsiTheme="majorHAnsi" w:cstheme="majorHAnsi"/>
        </w:rPr>
        <w:footnoteReference w:id="146"/>
      </w:r>
    </w:p>
    <w:p w14:paraId="557B3734" w14:textId="77777777" w:rsidR="005A334D" w:rsidRDefault="005A334D" w:rsidP="005A334D">
      <w:pPr>
        <w:spacing w:line="360" w:lineRule="auto"/>
        <w:rPr>
          <w:rFonts w:asciiTheme="majorHAnsi" w:hAnsiTheme="majorHAnsi" w:cstheme="majorHAnsi"/>
        </w:rPr>
      </w:pPr>
    </w:p>
    <w:p w14:paraId="7301AE30" w14:textId="4F9BF560" w:rsidR="005A334D" w:rsidRPr="00B752E6" w:rsidRDefault="00DC34B4" w:rsidP="005A334D">
      <w:pPr>
        <w:spacing w:line="360" w:lineRule="auto"/>
        <w:rPr>
          <w:rFonts w:asciiTheme="majorHAnsi" w:hAnsiTheme="majorHAnsi" w:cstheme="majorHAnsi"/>
        </w:rPr>
      </w:pPr>
      <w:r w:rsidRPr="002426E8">
        <w:rPr>
          <w:rFonts w:ascii="Calibri" w:eastAsia="Calibri" w:hAnsi="Calibri" w:cs="Times New Roman"/>
          <w:noProof/>
        </w:rPr>
        <w:lastRenderedPageBreak/>
        <mc:AlternateContent>
          <mc:Choice Requires="wps">
            <w:drawing>
              <wp:anchor distT="45720" distB="45720" distL="114300" distR="114300" simplePos="0" relativeHeight="251659264" behindDoc="0" locked="0" layoutInCell="1" allowOverlap="1" wp14:anchorId="1A651D82" wp14:editId="2ED4F610">
                <wp:simplePos x="0" y="0"/>
                <wp:positionH relativeFrom="margin">
                  <wp:posOffset>-29845</wp:posOffset>
                </wp:positionH>
                <wp:positionV relativeFrom="paragraph">
                  <wp:posOffset>406400</wp:posOffset>
                </wp:positionV>
                <wp:extent cx="5989320" cy="6953885"/>
                <wp:effectExtent l="0" t="0" r="11430" b="184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6953885"/>
                        </a:xfrm>
                        <a:prstGeom prst="rect">
                          <a:avLst/>
                        </a:prstGeom>
                        <a:solidFill>
                          <a:srgbClr val="FFFFFF"/>
                        </a:solidFill>
                        <a:ln w="9525">
                          <a:solidFill>
                            <a:srgbClr val="000000"/>
                          </a:solidFill>
                          <a:miter lim="800000"/>
                          <a:headEnd/>
                          <a:tailEnd/>
                        </a:ln>
                      </wps:spPr>
                      <wps:txbx>
                        <w:txbxContent>
                          <w:p w14:paraId="47E76955" w14:textId="77777777" w:rsidR="00A318FA" w:rsidRDefault="00A318FA" w:rsidP="005A334D">
                            <w:pPr>
                              <w:spacing w:after="120"/>
                              <w:jc w:val="center"/>
                              <w:rPr>
                                <w:rFonts w:ascii="Arial" w:hAnsi="Arial" w:cs="Arial"/>
                                <w:b/>
                                <w:bCs/>
                              </w:rPr>
                            </w:pPr>
                          </w:p>
                          <w:p w14:paraId="13C0CF21" w14:textId="77777777" w:rsidR="00A318FA" w:rsidRPr="0058248F" w:rsidRDefault="00A318FA" w:rsidP="005A334D">
                            <w:pPr>
                              <w:spacing w:after="120"/>
                              <w:jc w:val="center"/>
                              <w:rPr>
                                <w:rFonts w:ascii="Arial" w:hAnsi="Arial" w:cs="Arial"/>
                                <w:b/>
                                <w:bCs/>
                              </w:rPr>
                            </w:pPr>
                            <w:r>
                              <w:rPr>
                                <w:rFonts w:ascii="Arial" w:hAnsi="Arial" w:cs="Arial"/>
                                <w:b/>
                                <w:bCs/>
                              </w:rPr>
                              <w:t>Selected Resources</w:t>
                            </w:r>
                          </w:p>
                          <w:p w14:paraId="66D6D205" w14:textId="77777777" w:rsidR="00A318FA" w:rsidRPr="0058248F" w:rsidRDefault="00A318FA" w:rsidP="005A334D">
                            <w:pPr>
                              <w:jc w:val="center"/>
                              <w:rPr>
                                <w:rFonts w:ascii="Arial" w:hAnsi="Arial" w:cs="Arial"/>
                                <w:b/>
                                <w:bCs/>
                              </w:rPr>
                            </w:pPr>
                          </w:p>
                          <w:p w14:paraId="5A43EA06" w14:textId="77777777" w:rsidR="00A318FA" w:rsidRPr="0070495B" w:rsidRDefault="00A318FA" w:rsidP="005A334D">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7A75CAB5" w14:textId="77777777" w:rsidR="00A318FA" w:rsidRDefault="00A318FA" w:rsidP="005A334D">
                            <w:pPr>
                              <w:rPr>
                                <w:rFonts w:ascii="Arial" w:hAnsi="Arial" w:cs="Arial"/>
                                <w:sz w:val="20"/>
                                <w:szCs w:val="20"/>
                              </w:rPr>
                            </w:pPr>
                          </w:p>
                          <w:p w14:paraId="13EE7C7D" w14:textId="77777777" w:rsidR="00A318FA" w:rsidRPr="00373F76" w:rsidRDefault="00A318FA" w:rsidP="005A334D">
                            <w:pPr>
                              <w:rPr>
                                <w:rFonts w:asciiTheme="majorHAnsi" w:hAnsiTheme="majorHAnsi" w:cstheme="majorHAnsi"/>
                                <w:sz w:val="20"/>
                                <w:szCs w:val="20"/>
                              </w:rPr>
                            </w:pPr>
                          </w:p>
                          <w:p w14:paraId="437BC25C" w14:textId="44D6CD61" w:rsidR="00A318FA" w:rsidRPr="00835242" w:rsidRDefault="00A318FA" w:rsidP="00835242">
                            <w:pPr>
                              <w:pStyle w:val="ListParagraph"/>
                              <w:numPr>
                                <w:ilvl w:val="0"/>
                                <w:numId w:val="1"/>
                              </w:numPr>
                              <w:spacing w:after="120"/>
                              <w:contextualSpacing w:val="0"/>
                              <w:rPr>
                                <w:rFonts w:asciiTheme="majorHAnsi" w:hAnsiTheme="majorHAnsi" w:cstheme="majorHAnsi"/>
                                <w:sz w:val="20"/>
                                <w:szCs w:val="20"/>
                              </w:rPr>
                            </w:pPr>
                            <w:r w:rsidRPr="00835242">
                              <w:rPr>
                                <w:rFonts w:asciiTheme="majorHAnsi" w:hAnsiTheme="majorHAnsi" w:cstheme="majorHAnsi"/>
                                <w:sz w:val="20"/>
                                <w:szCs w:val="20"/>
                              </w:rPr>
                              <w:t>American Industrial Hygiene Association</w:t>
                            </w:r>
                            <w:r>
                              <w:rPr>
                                <w:rFonts w:asciiTheme="majorHAnsi" w:hAnsiTheme="majorHAnsi" w:cstheme="majorHAnsi"/>
                                <w:sz w:val="20"/>
                                <w:szCs w:val="20"/>
                              </w:rPr>
                              <w:t xml:space="preserve">. </w:t>
                            </w:r>
                            <w:r w:rsidRPr="00835242">
                              <w:rPr>
                                <w:rFonts w:asciiTheme="majorHAnsi" w:hAnsiTheme="majorHAnsi" w:cstheme="majorHAnsi"/>
                                <w:sz w:val="20"/>
                                <w:szCs w:val="20"/>
                              </w:rPr>
                              <w:t>Recognition, Evaluation, and Control of Legionella in Building Water Systems</w:t>
                            </w:r>
                            <w:r>
                              <w:rPr>
                                <w:rFonts w:asciiTheme="majorHAnsi" w:hAnsiTheme="majorHAnsi" w:cstheme="majorHAnsi"/>
                                <w:sz w:val="20"/>
                                <w:szCs w:val="20"/>
                              </w:rPr>
                              <w:t xml:space="preserve">. 2015: </w:t>
                            </w:r>
                            <w:hyperlink r:id="rId69" w:history="1">
                              <w:r w:rsidRPr="00FA789D">
                                <w:rPr>
                                  <w:rStyle w:val="Hyperlink"/>
                                  <w:rFonts w:asciiTheme="majorHAnsi" w:hAnsiTheme="majorHAnsi" w:cstheme="majorHAnsi"/>
                                  <w:sz w:val="20"/>
                                  <w:szCs w:val="20"/>
                                </w:rPr>
                                <w:t>https://online-ams.aiha.org/amsssa/ecssashop.show_product_detail?p_product_serno=1047&amp;p_mode=detail&amp;p_cust_id=&amp;p_session_serno=10324669&amp;p_trans_ty=&amp;p_order_serno=&amp;p_promo_cd=&amp;p_price_cd=</w:t>
                              </w:r>
                            </w:hyperlink>
                            <w:r w:rsidRPr="00835242">
                              <w:rPr>
                                <w:rFonts w:asciiTheme="majorHAnsi" w:hAnsiTheme="majorHAnsi" w:cstheme="majorHAnsi"/>
                                <w:sz w:val="20"/>
                                <w:szCs w:val="20"/>
                              </w:rPr>
                              <w:t xml:space="preserve"> </w:t>
                            </w:r>
                          </w:p>
                          <w:p w14:paraId="7FA770F8" w14:textId="77777777" w:rsidR="00A318FA" w:rsidRPr="00835242" w:rsidRDefault="00A318FA" w:rsidP="00835242">
                            <w:pPr>
                              <w:pStyle w:val="ListParagraph"/>
                              <w:numPr>
                                <w:ilvl w:val="0"/>
                                <w:numId w:val="1"/>
                              </w:numPr>
                              <w:spacing w:after="120"/>
                              <w:contextualSpacing w:val="0"/>
                              <w:rPr>
                                <w:rStyle w:val="Hyperlink"/>
                                <w:rFonts w:asciiTheme="majorHAnsi" w:hAnsiTheme="majorHAnsi" w:cstheme="majorHAnsi"/>
                                <w:color w:val="auto"/>
                                <w:sz w:val="20"/>
                                <w:szCs w:val="20"/>
                                <w:u w:val="none"/>
                              </w:rPr>
                            </w:pPr>
                            <w:r w:rsidRPr="00835242">
                              <w:rPr>
                                <w:rFonts w:asciiTheme="majorHAnsi" w:hAnsiTheme="majorHAnsi" w:cstheme="majorHAnsi"/>
                                <w:sz w:val="20"/>
                                <w:szCs w:val="20"/>
                              </w:rPr>
                              <w:t xml:space="preserve">ASHRAE. Standard 188-2018: Legionellosis: Risk Management for Building Water Systems (ANSI approved): </w:t>
                            </w:r>
                            <w:hyperlink r:id="rId70" w:history="1">
                              <w:r w:rsidRPr="00835242">
                                <w:rPr>
                                  <w:rStyle w:val="Hyperlink"/>
                                  <w:rFonts w:asciiTheme="majorHAnsi" w:hAnsiTheme="majorHAnsi" w:cstheme="majorHAnsi"/>
                                  <w:sz w:val="20"/>
                                  <w:szCs w:val="20"/>
                                </w:rPr>
                                <w:t>https://www.ashrae.org/technical-resources/bookstore/ansi-ashrae-standard-188-2018-legionellosis-risk-management-for-building-water-systems</w:t>
                              </w:r>
                            </w:hyperlink>
                          </w:p>
                          <w:p w14:paraId="1416225E" w14:textId="1FCC6766" w:rsidR="00A318FA" w:rsidRPr="00835242" w:rsidRDefault="00A318FA" w:rsidP="00835242">
                            <w:pPr>
                              <w:pStyle w:val="ListParagraph"/>
                              <w:numPr>
                                <w:ilvl w:val="0"/>
                                <w:numId w:val="1"/>
                              </w:numPr>
                              <w:rPr>
                                <w:rStyle w:val="Hyperlink"/>
                                <w:rFonts w:asciiTheme="majorHAnsi" w:hAnsiTheme="majorHAnsi" w:cstheme="majorHAnsi"/>
                                <w:color w:val="auto"/>
                                <w:sz w:val="20"/>
                                <w:szCs w:val="20"/>
                                <w:u w:val="none"/>
                              </w:rPr>
                            </w:pPr>
                            <w:r w:rsidRPr="00835242">
                              <w:rPr>
                                <w:rFonts w:asciiTheme="majorHAnsi" w:hAnsiTheme="majorHAnsi" w:cstheme="majorHAnsi"/>
                                <w:sz w:val="20"/>
                                <w:szCs w:val="20"/>
                              </w:rPr>
                              <w:t xml:space="preserve">ASHRAE. </w:t>
                            </w:r>
                            <w:r w:rsidRPr="00835242">
                              <w:rPr>
                                <w:rStyle w:val="Hyperlink"/>
                                <w:rFonts w:asciiTheme="majorHAnsi" w:hAnsiTheme="majorHAnsi" w:cstheme="majorHAnsi"/>
                                <w:sz w:val="20"/>
                                <w:szCs w:val="20"/>
                              </w:rPr>
                              <w:t xml:space="preserve">Managing the risk of legionellosis associated with building water systems. ASHRAE guideline 12-2020: </w:t>
                            </w:r>
                            <w:hyperlink r:id="rId71" w:history="1">
                              <w:r w:rsidRPr="00835242">
                                <w:rPr>
                                  <w:rStyle w:val="Hyperlink"/>
                                  <w:rFonts w:asciiTheme="majorHAnsi" w:hAnsiTheme="majorHAnsi" w:cstheme="majorHAnsi"/>
                                  <w:sz w:val="20"/>
                                  <w:szCs w:val="20"/>
                                </w:rPr>
                                <w:t>https://www.techstreet.com/ashrae/standards/guideline-12-2020-managing-the-risk-of-legionellosis-associated-with-building-water-systems?product_id=2111422</w:t>
                              </w:r>
                            </w:hyperlink>
                          </w:p>
                          <w:p w14:paraId="30313130" w14:textId="77777777" w:rsidR="00A318FA" w:rsidRPr="00373F76" w:rsidRDefault="00A318FA" w:rsidP="005A334D">
                            <w:pPr>
                              <w:ind w:left="360"/>
                              <w:rPr>
                                <w:rFonts w:asciiTheme="majorHAnsi" w:hAnsiTheme="majorHAnsi" w:cstheme="majorHAnsi"/>
                                <w:sz w:val="20"/>
                                <w:szCs w:val="20"/>
                              </w:rPr>
                            </w:pPr>
                          </w:p>
                          <w:p w14:paraId="6A38CB63" w14:textId="7C408D68" w:rsidR="00A318FA" w:rsidRPr="00373F76" w:rsidRDefault="00A318FA" w:rsidP="005A334D">
                            <w:pPr>
                              <w:pStyle w:val="ListParagraph"/>
                              <w:numPr>
                                <w:ilvl w:val="0"/>
                                <w:numId w:val="1"/>
                              </w:numPr>
                              <w:rPr>
                                <w:rFonts w:asciiTheme="majorHAnsi" w:hAnsiTheme="majorHAnsi" w:cstheme="majorHAnsi"/>
                                <w:sz w:val="20"/>
                                <w:szCs w:val="20"/>
                              </w:rPr>
                            </w:pPr>
                            <w:r w:rsidRPr="00373F76">
                              <w:rPr>
                                <w:rFonts w:asciiTheme="majorHAnsi" w:hAnsiTheme="majorHAnsi" w:cstheme="majorHAnsi"/>
                                <w:sz w:val="20"/>
                                <w:szCs w:val="20"/>
                              </w:rPr>
                              <w:t>CDC. Overview of Water Management Programs</w:t>
                            </w:r>
                            <w:r>
                              <w:rPr>
                                <w:rFonts w:asciiTheme="majorHAnsi" w:hAnsiTheme="majorHAnsi" w:cstheme="majorHAnsi"/>
                                <w:sz w:val="20"/>
                                <w:szCs w:val="20"/>
                              </w:rPr>
                              <w:t xml:space="preserve">: </w:t>
                            </w:r>
                            <w:hyperlink r:id="rId72" w:history="1">
                              <w:r w:rsidRPr="00373F76">
                                <w:rPr>
                                  <w:rStyle w:val="Hyperlink"/>
                                  <w:rFonts w:asciiTheme="majorHAnsi" w:hAnsiTheme="majorHAnsi" w:cstheme="majorHAnsi"/>
                                  <w:sz w:val="20"/>
                                  <w:szCs w:val="20"/>
                                </w:rPr>
                                <w:t>https://www.cdc.gov/legionella/wmp/overview.html</w:t>
                              </w:r>
                            </w:hyperlink>
                          </w:p>
                          <w:p w14:paraId="1FDF83B6" w14:textId="77777777" w:rsidR="00A318FA" w:rsidRPr="00373F76" w:rsidRDefault="00A318FA" w:rsidP="005A334D">
                            <w:pPr>
                              <w:pStyle w:val="ListParagraph"/>
                              <w:rPr>
                                <w:rFonts w:asciiTheme="majorHAnsi" w:hAnsiTheme="majorHAnsi" w:cstheme="majorHAnsi"/>
                                <w:sz w:val="20"/>
                                <w:szCs w:val="20"/>
                              </w:rPr>
                            </w:pPr>
                          </w:p>
                          <w:p w14:paraId="5CCCA26D" w14:textId="37C61ED7" w:rsidR="00A318FA" w:rsidRPr="00373F76" w:rsidRDefault="00A318FA" w:rsidP="005A334D">
                            <w:pPr>
                              <w:pStyle w:val="ListParagraph"/>
                              <w:numPr>
                                <w:ilvl w:val="0"/>
                                <w:numId w:val="1"/>
                              </w:numPr>
                              <w:rPr>
                                <w:rFonts w:asciiTheme="majorHAnsi" w:hAnsiTheme="majorHAnsi" w:cstheme="majorHAnsi"/>
                                <w:sz w:val="20"/>
                                <w:szCs w:val="20"/>
                              </w:rPr>
                            </w:pPr>
                            <w:r w:rsidRPr="00373F76">
                              <w:rPr>
                                <w:rFonts w:asciiTheme="majorHAnsi" w:hAnsiTheme="majorHAnsi" w:cstheme="majorHAnsi"/>
                                <w:sz w:val="20"/>
                                <w:szCs w:val="20"/>
                              </w:rPr>
                              <w:t>CDC. Developing a Water Management Program to Reduce Legionella Growth and Spread in Buildings: A Practical Guide to Implementing Industry Standards. June 5, 2017. Version 1.1</w:t>
                            </w:r>
                            <w:r>
                              <w:rPr>
                                <w:rFonts w:asciiTheme="majorHAnsi" w:hAnsiTheme="majorHAnsi" w:cstheme="majorHAnsi"/>
                                <w:sz w:val="20"/>
                                <w:szCs w:val="20"/>
                              </w:rPr>
                              <w:t xml:space="preserve">: </w:t>
                            </w:r>
                            <w:hyperlink r:id="rId73" w:history="1">
                              <w:r w:rsidRPr="00C14491">
                                <w:rPr>
                                  <w:rStyle w:val="Hyperlink"/>
                                  <w:rFonts w:asciiTheme="majorHAnsi" w:hAnsiTheme="majorHAnsi" w:cstheme="majorHAnsi"/>
                                  <w:sz w:val="20"/>
                                  <w:szCs w:val="20"/>
                                </w:rPr>
                                <w:t>https://www.cdc.gov/legionella/downloads/toolkit.pdf</w:t>
                              </w:r>
                            </w:hyperlink>
                          </w:p>
                          <w:p w14:paraId="31800A1D" w14:textId="77777777" w:rsidR="00A318FA" w:rsidRPr="00373F76" w:rsidRDefault="00A318FA" w:rsidP="005A334D">
                            <w:pPr>
                              <w:ind w:left="360"/>
                              <w:rPr>
                                <w:rFonts w:asciiTheme="majorHAnsi" w:hAnsiTheme="majorHAnsi" w:cstheme="majorHAnsi"/>
                                <w:sz w:val="20"/>
                                <w:szCs w:val="20"/>
                              </w:rPr>
                            </w:pPr>
                          </w:p>
                          <w:p w14:paraId="1810BE33" w14:textId="136A0273" w:rsidR="00A318FA" w:rsidRPr="00373F76" w:rsidRDefault="00A318FA" w:rsidP="005A334D">
                            <w:pPr>
                              <w:pStyle w:val="ListParagraph"/>
                              <w:numPr>
                                <w:ilvl w:val="0"/>
                                <w:numId w:val="1"/>
                              </w:numPr>
                              <w:rPr>
                                <w:rFonts w:asciiTheme="majorHAnsi" w:hAnsiTheme="majorHAnsi" w:cstheme="majorHAnsi"/>
                                <w:sz w:val="20"/>
                                <w:szCs w:val="20"/>
                              </w:rPr>
                            </w:pPr>
                            <w:r w:rsidRPr="00373F76">
                              <w:rPr>
                                <w:rFonts w:asciiTheme="majorHAnsi" w:hAnsiTheme="majorHAnsi" w:cstheme="majorHAnsi"/>
                                <w:sz w:val="20"/>
                                <w:szCs w:val="20"/>
                              </w:rPr>
                              <w:t xml:space="preserve">CDC. Guidance for Reopening Buildings After Prolonged Shutdown or Reduced Operation. Updated May 7, 2020: </w:t>
                            </w:r>
                            <w:hyperlink r:id="rId74" w:history="1">
                              <w:r w:rsidRPr="00373F76">
                                <w:rPr>
                                  <w:rStyle w:val="Hyperlink"/>
                                  <w:rFonts w:asciiTheme="majorHAnsi" w:hAnsiTheme="majorHAnsi" w:cstheme="majorHAnsi"/>
                                  <w:sz w:val="20"/>
                                  <w:szCs w:val="20"/>
                                </w:rPr>
                                <w:t>https://www.cdc.gov/coronavirus/2019-ncov/php/building-water-system.html</w:t>
                              </w:r>
                            </w:hyperlink>
                          </w:p>
                          <w:p w14:paraId="2F4FA575" w14:textId="77777777" w:rsidR="00A318FA" w:rsidRPr="00095E93" w:rsidRDefault="00A318FA" w:rsidP="005A334D">
                            <w:pPr>
                              <w:pStyle w:val="ListParagraph"/>
                              <w:rPr>
                                <w:rFonts w:asciiTheme="majorHAnsi" w:hAnsiTheme="majorHAnsi" w:cstheme="majorHAnsi"/>
                                <w:sz w:val="20"/>
                                <w:szCs w:val="20"/>
                              </w:rPr>
                            </w:pPr>
                            <w:bookmarkStart w:id="17" w:name="_Hlk56005790"/>
                          </w:p>
                          <w:p w14:paraId="03E9B594" w14:textId="118A81D6" w:rsidR="00A318FA" w:rsidRDefault="00A318FA" w:rsidP="003D58C2">
                            <w:pPr>
                              <w:pStyle w:val="ListParagraph"/>
                              <w:numPr>
                                <w:ilvl w:val="0"/>
                                <w:numId w:val="1"/>
                              </w:numPr>
                              <w:rPr>
                                <w:rFonts w:asciiTheme="majorHAnsi" w:hAnsiTheme="majorHAnsi" w:cstheme="majorHAnsi"/>
                                <w:sz w:val="20"/>
                                <w:szCs w:val="20"/>
                              </w:rPr>
                            </w:pPr>
                            <w:r w:rsidRPr="00A3268C">
                              <w:rPr>
                                <w:rFonts w:asciiTheme="majorHAnsi" w:hAnsiTheme="majorHAnsi" w:cstheme="majorHAnsi"/>
                                <w:sz w:val="20"/>
                                <w:szCs w:val="20"/>
                              </w:rPr>
                              <w:t>CDC</w:t>
                            </w:r>
                            <w:r>
                              <w:rPr>
                                <w:rFonts w:asciiTheme="majorHAnsi" w:hAnsiTheme="majorHAnsi" w:cstheme="majorHAnsi"/>
                                <w:sz w:val="20"/>
                                <w:szCs w:val="20"/>
                              </w:rPr>
                              <w:t xml:space="preserve"> at al. </w:t>
                            </w:r>
                            <w:proofErr w:type="spellStart"/>
                            <w:r w:rsidRPr="00A3268C">
                              <w:rPr>
                                <w:rFonts w:asciiTheme="majorHAnsi" w:hAnsiTheme="majorHAnsi" w:cstheme="majorHAnsi"/>
                                <w:sz w:val="20"/>
                                <w:szCs w:val="20"/>
                              </w:rPr>
                              <w:t>PreventLD</w:t>
                            </w:r>
                            <w:proofErr w:type="spellEnd"/>
                            <w:r w:rsidRPr="00A3268C">
                              <w:rPr>
                                <w:rFonts w:asciiTheme="majorHAnsi" w:hAnsiTheme="majorHAnsi" w:cstheme="majorHAnsi"/>
                                <w:sz w:val="20"/>
                                <w:szCs w:val="20"/>
                              </w:rPr>
                              <w:t xml:space="preserve"> Training: </w:t>
                            </w:r>
                            <w:hyperlink r:id="rId75" w:history="1">
                              <w:r w:rsidRPr="00A3268C">
                                <w:rPr>
                                  <w:rStyle w:val="Hyperlink"/>
                                  <w:rFonts w:asciiTheme="majorHAnsi" w:hAnsiTheme="majorHAnsi" w:cstheme="majorHAnsi"/>
                                  <w:sz w:val="20"/>
                                  <w:szCs w:val="20"/>
                                </w:rPr>
                                <w:t>https://www.cdc.gov/nceh/ehs/elearn/prevent-LD-training.html</w:t>
                              </w:r>
                            </w:hyperlink>
                          </w:p>
                          <w:p w14:paraId="0D1C2D85" w14:textId="21169FA4" w:rsidR="00A318FA" w:rsidRDefault="00A318FA" w:rsidP="005A334D">
                            <w:pPr>
                              <w:rPr>
                                <w:rFonts w:asciiTheme="majorHAnsi" w:hAnsiTheme="majorHAnsi" w:cstheme="majorHAnsi"/>
                                <w:sz w:val="20"/>
                                <w:szCs w:val="20"/>
                              </w:rPr>
                            </w:pPr>
                          </w:p>
                          <w:p w14:paraId="379379A4" w14:textId="7359DA13" w:rsidR="00A318FA" w:rsidRDefault="00A318FA" w:rsidP="00A3268C">
                            <w:pPr>
                              <w:pStyle w:val="ListParagraph"/>
                              <w:numPr>
                                <w:ilvl w:val="0"/>
                                <w:numId w:val="12"/>
                              </w:numPr>
                              <w:spacing w:after="120"/>
                              <w:contextualSpacing w:val="0"/>
                              <w:rPr>
                                <w:rFonts w:asciiTheme="majorHAnsi" w:hAnsiTheme="majorHAnsi" w:cstheme="majorHAnsi"/>
                                <w:sz w:val="20"/>
                                <w:szCs w:val="20"/>
                              </w:rPr>
                            </w:pPr>
                            <w:r w:rsidRPr="00A3268C">
                              <w:rPr>
                                <w:rFonts w:asciiTheme="majorHAnsi" w:hAnsiTheme="majorHAnsi" w:cstheme="majorHAnsi"/>
                                <w:sz w:val="20"/>
                                <w:szCs w:val="20"/>
                              </w:rPr>
                              <w:t xml:space="preserve">CMS. Requirement to Reduce Legionella Risk in Healthcare Facility Water Systems to Prevent Cases and Outbreaks of Legionnaires’ Disease. Revised </w:t>
                            </w:r>
                            <w:r>
                              <w:rPr>
                                <w:rFonts w:asciiTheme="majorHAnsi" w:hAnsiTheme="majorHAnsi" w:cstheme="majorHAnsi"/>
                                <w:sz w:val="20"/>
                                <w:szCs w:val="20"/>
                              </w:rPr>
                              <w:t xml:space="preserve">July 6, </w:t>
                            </w:r>
                            <w:r w:rsidRPr="00A3268C">
                              <w:rPr>
                                <w:rFonts w:asciiTheme="majorHAnsi" w:hAnsiTheme="majorHAnsi" w:cstheme="majorHAnsi"/>
                                <w:sz w:val="20"/>
                                <w:szCs w:val="20"/>
                              </w:rPr>
                              <w:t>2018</w:t>
                            </w:r>
                            <w:r>
                              <w:rPr>
                                <w:rFonts w:asciiTheme="majorHAnsi" w:hAnsiTheme="majorHAnsi" w:cstheme="majorHAnsi"/>
                                <w:sz w:val="20"/>
                                <w:szCs w:val="20"/>
                              </w:rPr>
                              <w:t xml:space="preserve">: </w:t>
                            </w:r>
                            <w:hyperlink r:id="rId76" w:history="1">
                              <w:r w:rsidRPr="00FA789D">
                                <w:rPr>
                                  <w:rStyle w:val="Hyperlink"/>
                                  <w:rFonts w:asciiTheme="majorHAnsi" w:hAnsiTheme="majorHAnsi" w:cstheme="majorHAnsi"/>
                                  <w:sz w:val="20"/>
                                  <w:szCs w:val="20"/>
                                </w:rPr>
                                <w:t>https://www.cms.gov/Medicare/Provider-Enrollment-and-Certification/SurveyCertificationGenInfo/Downloads/QSO17-30-HospitalCAH-NH-REVISED-.pdf</w:t>
                              </w:r>
                            </w:hyperlink>
                          </w:p>
                          <w:p w14:paraId="56DE4860" w14:textId="4FCC62A7" w:rsidR="00A318FA" w:rsidRDefault="00A318FA" w:rsidP="00A3268C">
                            <w:pPr>
                              <w:pStyle w:val="ListParagraph"/>
                              <w:numPr>
                                <w:ilvl w:val="0"/>
                                <w:numId w:val="12"/>
                              </w:numPr>
                              <w:rPr>
                                <w:rFonts w:asciiTheme="majorHAnsi" w:hAnsiTheme="majorHAnsi" w:cstheme="majorHAnsi"/>
                                <w:sz w:val="20"/>
                                <w:szCs w:val="20"/>
                              </w:rPr>
                            </w:pPr>
                            <w:r w:rsidRPr="00373F76">
                              <w:rPr>
                                <w:rFonts w:asciiTheme="majorHAnsi" w:hAnsiTheme="majorHAnsi" w:cstheme="majorHAnsi"/>
                                <w:sz w:val="20"/>
                                <w:szCs w:val="20"/>
                              </w:rPr>
                              <w:t>CSTE. Water Management Program Template</w:t>
                            </w:r>
                            <w:r>
                              <w:rPr>
                                <w:rFonts w:asciiTheme="majorHAnsi" w:hAnsiTheme="majorHAnsi" w:cstheme="majorHAnsi"/>
                                <w:sz w:val="20"/>
                                <w:szCs w:val="20"/>
                              </w:rPr>
                              <w:t>. June 2019:</w:t>
                            </w:r>
                            <w:r w:rsidRPr="00373F76">
                              <w:rPr>
                                <w:rFonts w:asciiTheme="majorHAnsi" w:hAnsiTheme="majorHAnsi" w:cstheme="majorHAnsi"/>
                                <w:sz w:val="20"/>
                                <w:szCs w:val="20"/>
                              </w:rPr>
                              <w:t xml:space="preserve"> </w:t>
                            </w:r>
                            <w:hyperlink r:id="rId77" w:history="1">
                              <w:r w:rsidRPr="00FA789D">
                                <w:rPr>
                                  <w:rStyle w:val="Hyperlink"/>
                                  <w:rFonts w:asciiTheme="majorHAnsi" w:hAnsiTheme="majorHAnsi" w:cstheme="majorHAnsi"/>
                                  <w:sz w:val="20"/>
                                  <w:szCs w:val="20"/>
                                </w:rPr>
                                <w:t>https://www.cste.org/general/custom.asp?page=Legionnaires</w:t>
                              </w:r>
                            </w:hyperlink>
                            <w:r w:rsidRPr="00373F76">
                              <w:rPr>
                                <w:rFonts w:asciiTheme="majorHAnsi" w:hAnsiTheme="majorHAnsi" w:cstheme="majorHAnsi"/>
                                <w:sz w:val="20"/>
                                <w:szCs w:val="20"/>
                              </w:rPr>
                              <w:t xml:space="preserve"> </w:t>
                            </w:r>
                          </w:p>
                          <w:p w14:paraId="60498C65" w14:textId="77777777" w:rsidR="00A318FA" w:rsidRPr="00A3268C" w:rsidRDefault="00A318FA" w:rsidP="00A3268C">
                            <w:pPr>
                              <w:rPr>
                                <w:rFonts w:asciiTheme="majorHAnsi" w:hAnsiTheme="majorHAnsi" w:cstheme="majorHAnsi"/>
                                <w:sz w:val="20"/>
                                <w:szCs w:val="20"/>
                              </w:rPr>
                            </w:pPr>
                          </w:p>
                          <w:p w14:paraId="7BF72BD8" w14:textId="67E89283" w:rsidR="00A318FA" w:rsidRPr="00DC34B4" w:rsidRDefault="00A318FA" w:rsidP="00DC34B4">
                            <w:pPr>
                              <w:pStyle w:val="ListParagraph"/>
                              <w:numPr>
                                <w:ilvl w:val="0"/>
                                <w:numId w:val="12"/>
                              </w:numPr>
                              <w:rPr>
                                <w:rFonts w:asciiTheme="majorHAnsi" w:hAnsiTheme="majorHAnsi" w:cstheme="majorHAnsi"/>
                                <w:sz w:val="20"/>
                                <w:szCs w:val="20"/>
                              </w:rPr>
                            </w:pPr>
                            <w:r>
                              <w:rPr>
                                <w:rFonts w:asciiTheme="majorHAnsi" w:hAnsiTheme="majorHAnsi" w:cstheme="majorHAnsi"/>
                                <w:sz w:val="20"/>
                                <w:szCs w:val="20"/>
                              </w:rPr>
                              <w:t xml:space="preserve">NSF International. </w:t>
                            </w:r>
                            <w:r w:rsidRPr="00DC34B4">
                              <w:rPr>
                                <w:rFonts w:asciiTheme="majorHAnsi" w:hAnsiTheme="majorHAnsi" w:cstheme="majorHAnsi"/>
                                <w:sz w:val="20"/>
                                <w:szCs w:val="20"/>
                              </w:rPr>
                              <w:t>NSF P453-2017</w:t>
                            </w:r>
                            <w:r>
                              <w:rPr>
                                <w:rFonts w:asciiTheme="majorHAnsi" w:hAnsiTheme="majorHAnsi" w:cstheme="majorHAnsi"/>
                                <w:sz w:val="20"/>
                                <w:szCs w:val="20"/>
                              </w:rPr>
                              <w:t xml:space="preserve">, </w:t>
                            </w:r>
                            <w:r w:rsidRPr="00DC34B4">
                              <w:rPr>
                                <w:rFonts w:asciiTheme="majorHAnsi" w:hAnsiTheme="majorHAnsi" w:cstheme="majorHAnsi"/>
                                <w:sz w:val="20"/>
                                <w:szCs w:val="20"/>
                              </w:rPr>
                              <w:t>Cooling Towers</w:t>
                            </w:r>
                            <w:r>
                              <w:rPr>
                                <w:rFonts w:asciiTheme="majorHAnsi" w:hAnsiTheme="majorHAnsi" w:cstheme="majorHAnsi"/>
                                <w:sz w:val="20"/>
                                <w:szCs w:val="20"/>
                              </w:rPr>
                              <w:t>: T</w:t>
                            </w:r>
                            <w:r w:rsidRPr="00DC34B4">
                              <w:rPr>
                                <w:rFonts w:asciiTheme="majorHAnsi" w:hAnsiTheme="majorHAnsi" w:cstheme="majorHAnsi"/>
                                <w:sz w:val="20"/>
                                <w:szCs w:val="20"/>
                              </w:rPr>
                              <w:t xml:space="preserve">reatment, </w:t>
                            </w:r>
                            <w:r>
                              <w:rPr>
                                <w:rFonts w:asciiTheme="majorHAnsi" w:hAnsiTheme="majorHAnsi" w:cstheme="majorHAnsi"/>
                                <w:sz w:val="20"/>
                                <w:szCs w:val="20"/>
                              </w:rPr>
                              <w:t>O</w:t>
                            </w:r>
                            <w:r w:rsidRPr="00DC34B4">
                              <w:rPr>
                                <w:rFonts w:asciiTheme="majorHAnsi" w:hAnsiTheme="majorHAnsi" w:cstheme="majorHAnsi"/>
                                <w:sz w:val="20"/>
                                <w:szCs w:val="20"/>
                              </w:rPr>
                              <w:t xml:space="preserve">peration and </w:t>
                            </w:r>
                            <w:r>
                              <w:rPr>
                                <w:rFonts w:asciiTheme="majorHAnsi" w:hAnsiTheme="majorHAnsi" w:cstheme="majorHAnsi"/>
                                <w:sz w:val="20"/>
                                <w:szCs w:val="20"/>
                              </w:rPr>
                              <w:t>M</w:t>
                            </w:r>
                            <w:r w:rsidRPr="00DC34B4">
                              <w:rPr>
                                <w:rFonts w:asciiTheme="majorHAnsi" w:hAnsiTheme="majorHAnsi" w:cstheme="majorHAnsi"/>
                                <w:sz w:val="20"/>
                                <w:szCs w:val="20"/>
                              </w:rPr>
                              <w:t xml:space="preserve">aintenance to </w:t>
                            </w:r>
                            <w:r>
                              <w:rPr>
                                <w:rFonts w:asciiTheme="majorHAnsi" w:hAnsiTheme="majorHAnsi" w:cstheme="majorHAnsi"/>
                                <w:sz w:val="20"/>
                                <w:szCs w:val="20"/>
                              </w:rPr>
                              <w:t>P</w:t>
                            </w:r>
                            <w:r w:rsidRPr="00DC34B4">
                              <w:rPr>
                                <w:rFonts w:asciiTheme="majorHAnsi" w:hAnsiTheme="majorHAnsi" w:cstheme="majorHAnsi"/>
                                <w:sz w:val="20"/>
                                <w:szCs w:val="20"/>
                              </w:rPr>
                              <w:t xml:space="preserve">revent Legionnaires' </w:t>
                            </w:r>
                            <w:r>
                              <w:rPr>
                                <w:rFonts w:asciiTheme="majorHAnsi" w:hAnsiTheme="majorHAnsi" w:cstheme="majorHAnsi"/>
                                <w:sz w:val="20"/>
                                <w:szCs w:val="20"/>
                              </w:rPr>
                              <w:t>D</w:t>
                            </w:r>
                            <w:r w:rsidRPr="00DC34B4">
                              <w:rPr>
                                <w:rFonts w:asciiTheme="majorHAnsi" w:hAnsiTheme="majorHAnsi" w:cstheme="majorHAnsi"/>
                                <w:sz w:val="20"/>
                                <w:szCs w:val="20"/>
                              </w:rPr>
                              <w:t>isease</w:t>
                            </w:r>
                            <w:r>
                              <w:rPr>
                                <w:rFonts w:asciiTheme="majorHAnsi" w:hAnsiTheme="majorHAnsi" w:cstheme="majorHAnsi"/>
                                <w:sz w:val="20"/>
                                <w:szCs w:val="20"/>
                              </w:rPr>
                              <w:t xml:space="preserve">. 2017: </w:t>
                            </w:r>
                            <w:hyperlink r:id="rId78" w:history="1">
                              <w:r w:rsidRPr="00FA789D">
                                <w:rPr>
                                  <w:rStyle w:val="Hyperlink"/>
                                  <w:rFonts w:asciiTheme="majorHAnsi" w:hAnsiTheme="majorHAnsi" w:cstheme="majorHAnsi"/>
                                  <w:sz w:val="20"/>
                                  <w:szCs w:val="20"/>
                                </w:rPr>
                                <w:t>https://www.nsf.org/news/nsf-international-announces-new-protocol-for-cooling-tower-water-systems</w:t>
                              </w:r>
                            </w:hyperlink>
                            <w:r>
                              <w:rPr>
                                <w:rFonts w:asciiTheme="majorHAnsi" w:hAnsiTheme="majorHAnsi" w:cstheme="majorHAnsi"/>
                                <w:sz w:val="20"/>
                                <w:szCs w:val="20"/>
                              </w:rPr>
                              <w:t xml:space="preserve"> </w:t>
                            </w:r>
                          </w:p>
                          <w:bookmarkEnd w:id="17"/>
                          <w:p w14:paraId="37E797E7" w14:textId="77777777" w:rsidR="00A318FA" w:rsidRPr="00573A64" w:rsidRDefault="00A318FA" w:rsidP="005A334D">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651D82" id="_x0000_s1041" type="#_x0000_t202" style="position:absolute;margin-left:-2.35pt;margin-top:32pt;width:471.6pt;height:547.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">
                <v:textbox>
                  <w:txbxContent>
                    <w:p w14:paraId="47E76955" w14:textId="77777777" w:rsidR="00A318FA" w:rsidRDefault="00A318FA" w:rsidP="005A334D">
                      <w:pPr>
                        <w:spacing w:after="120"/>
                        <w:jc w:val="center"/>
                        <w:rPr>
                          <w:rFonts w:ascii="Arial" w:hAnsi="Arial" w:cs="Arial"/>
                          <w:b/>
                          <w:bCs/>
                        </w:rPr>
                      </w:pPr>
                    </w:p>
                    <w:p w14:paraId="13C0CF21" w14:textId="77777777" w:rsidR="00A318FA" w:rsidRPr="0058248F" w:rsidRDefault="00A318FA" w:rsidP="005A334D">
                      <w:pPr>
                        <w:spacing w:after="120"/>
                        <w:jc w:val="center"/>
                        <w:rPr>
                          <w:rFonts w:ascii="Arial" w:hAnsi="Arial" w:cs="Arial"/>
                          <w:b/>
                          <w:bCs/>
                        </w:rPr>
                      </w:pPr>
                      <w:r>
                        <w:rPr>
                          <w:rFonts w:ascii="Arial" w:hAnsi="Arial" w:cs="Arial"/>
                          <w:b/>
                          <w:bCs/>
                        </w:rPr>
                        <w:t>Selected Resources</w:t>
                      </w:r>
                    </w:p>
                    <w:p w14:paraId="66D6D205" w14:textId="77777777" w:rsidR="00A318FA" w:rsidRPr="0058248F" w:rsidRDefault="00A318FA" w:rsidP="005A334D">
                      <w:pPr>
                        <w:jc w:val="center"/>
                        <w:rPr>
                          <w:rFonts w:ascii="Arial" w:hAnsi="Arial" w:cs="Arial"/>
                          <w:b/>
                          <w:bCs/>
                        </w:rPr>
                      </w:pPr>
                    </w:p>
                    <w:p w14:paraId="5A43EA06" w14:textId="77777777" w:rsidR="00A318FA" w:rsidRPr="0070495B" w:rsidRDefault="00A318FA" w:rsidP="005A334D">
                      <w:pPr>
                        <w:spacing w:line="360" w:lineRule="auto"/>
                        <w:jc w:val="center"/>
                        <w:rPr>
                          <w:rFonts w:ascii="Arial" w:hAnsi="Arial" w:cs="Arial"/>
                          <w:i/>
                          <w:iCs/>
                          <w:sz w:val="20"/>
                          <w:szCs w:val="20"/>
                        </w:rPr>
                      </w:pPr>
                      <w:r w:rsidRPr="0070495B">
                        <w:rPr>
                          <w:rFonts w:ascii="Arial" w:hAnsi="Arial" w:cs="Arial"/>
                          <w:b/>
                          <w:bCs/>
                          <w:i/>
                          <w:iCs/>
                          <w:sz w:val="20"/>
                          <w:szCs w:val="20"/>
                          <w:highlight w:val="yellow"/>
                        </w:rPr>
                        <w:t>Note to reviewers:</w:t>
                      </w:r>
                      <w:r w:rsidRPr="0070495B">
                        <w:rPr>
                          <w:rFonts w:ascii="Arial" w:hAnsi="Arial" w:cs="Arial"/>
                          <w:i/>
                          <w:iCs/>
                          <w:sz w:val="20"/>
                          <w:szCs w:val="20"/>
                          <w:highlight w:val="yellow"/>
                        </w:rPr>
                        <w:t xml:space="preserve"> Please feel free to identify additional resources</w:t>
                      </w:r>
                    </w:p>
                    <w:p w14:paraId="7A75CAB5" w14:textId="77777777" w:rsidR="00A318FA" w:rsidRDefault="00A318FA" w:rsidP="005A334D">
                      <w:pPr>
                        <w:rPr>
                          <w:rFonts w:ascii="Arial" w:hAnsi="Arial" w:cs="Arial"/>
                          <w:sz w:val="20"/>
                          <w:szCs w:val="20"/>
                        </w:rPr>
                      </w:pPr>
                    </w:p>
                    <w:p w14:paraId="13EE7C7D" w14:textId="77777777" w:rsidR="00A318FA" w:rsidRPr="00373F76" w:rsidRDefault="00A318FA" w:rsidP="005A334D">
                      <w:pPr>
                        <w:rPr>
                          <w:rFonts w:asciiTheme="majorHAnsi" w:hAnsiTheme="majorHAnsi" w:cstheme="majorHAnsi"/>
                          <w:sz w:val="20"/>
                          <w:szCs w:val="20"/>
                        </w:rPr>
                      </w:pPr>
                    </w:p>
                    <w:p w14:paraId="437BC25C" w14:textId="44D6CD61" w:rsidR="00A318FA" w:rsidRPr="00835242" w:rsidRDefault="00A318FA" w:rsidP="00835242">
                      <w:pPr>
                        <w:pStyle w:val="ListParagraph"/>
                        <w:numPr>
                          <w:ilvl w:val="0"/>
                          <w:numId w:val="1"/>
                        </w:numPr>
                        <w:spacing w:after="120"/>
                        <w:contextualSpacing w:val="0"/>
                        <w:rPr>
                          <w:rFonts w:asciiTheme="majorHAnsi" w:hAnsiTheme="majorHAnsi" w:cstheme="majorHAnsi"/>
                          <w:sz w:val="20"/>
                          <w:szCs w:val="20"/>
                        </w:rPr>
                      </w:pPr>
                      <w:r w:rsidRPr="00835242">
                        <w:rPr>
                          <w:rFonts w:asciiTheme="majorHAnsi" w:hAnsiTheme="majorHAnsi" w:cstheme="majorHAnsi"/>
                          <w:sz w:val="20"/>
                          <w:szCs w:val="20"/>
                        </w:rPr>
                        <w:t>American Industrial Hygiene Association</w:t>
                      </w:r>
                      <w:r>
                        <w:rPr>
                          <w:rFonts w:asciiTheme="majorHAnsi" w:hAnsiTheme="majorHAnsi" w:cstheme="majorHAnsi"/>
                          <w:sz w:val="20"/>
                          <w:szCs w:val="20"/>
                        </w:rPr>
                        <w:t xml:space="preserve">. </w:t>
                      </w:r>
                      <w:r w:rsidRPr="00835242">
                        <w:rPr>
                          <w:rFonts w:asciiTheme="majorHAnsi" w:hAnsiTheme="majorHAnsi" w:cstheme="majorHAnsi"/>
                          <w:sz w:val="20"/>
                          <w:szCs w:val="20"/>
                        </w:rPr>
                        <w:t>Recognition, Evaluation, and Control of Legionella in Building Water Systems</w:t>
                      </w:r>
                      <w:r>
                        <w:rPr>
                          <w:rFonts w:asciiTheme="majorHAnsi" w:hAnsiTheme="majorHAnsi" w:cstheme="majorHAnsi"/>
                          <w:sz w:val="20"/>
                          <w:szCs w:val="20"/>
                        </w:rPr>
                        <w:t xml:space="preserve">. 2015: </w:t>
                      </w:r>
                      <w:hyperlink r:id="rId79" w:history="1">
                        <w:r w:rsidRPr="00FA789D">
                          <w:rPr>
                            <w:rStyle w:val="Hyperlink"/>
                            <w:rFonts w:asciiTheme="majorHAnsi" w:hAnsiTheme="majorHAnsi" w:cstheme="majorHAnsi"/>
                            <w:sz w:val="20"/>
                            <w:szCs w:val="20"/>
                          </w:rPr>
                          <w:t>https://online-ams.aiha.org/amsssa/ecssashop.show_product_detail?p_product_serno=1047&amp;p_mode=detail&amp;p_cust_id=&amp;p_session_serno=10324669&amp;p_trans_ty=&amp;p_order_serno=&amp;p_promo_cd=&amp;p_price_cd=</w:t>
                        </w:r>
                      </w:hyperlink>
                      <w:r w:rsidRPr="00835242">
                        <w:rPr>
                          <w:rFonts w:asciiTheme="majorHAnsi" w:hAnsiTheme="majorHAnsi" w:cstheme="majorHAnsi"/>
                          <w:sz w:val="20"/>
                          <w:szCs w:val="20"/>
                        </w:rPr>
                        <w:t xml:space="preserve"> </w:t>
                      </w:r>
                    </w:p>
                    <w:p w14:paraId="7FA770F8" w14:textId="77777777" w:rsidR="00A318FA" w:rsidRPr="00835242" w:rsidRDefault="00A318FA" w:rsidP="00835242">
                      <w:pPr>
                        <w:pStyle w:val="ListParagraph"/>
                        <w:numPr>
                          <w:ilvl w:val="0"/>
                          <w:numId w:val="1"/>
                        </w:numPr>
                        <w:spacing w:after="120"/>
                        <w:contextualSpacing w:val="0"/>
                        <w:rPr>
                          <w:rStyle w:val="Hyperlink"/>
                          <w:rFonts w:asciiTheme="majorHAnsi" w:hAnsiTheme="majorHAnsi" w:cstheme="majorHAnsi"/>
                          <w:color w:val="auto"/>
                          <w:sz w:val="20"/>
                          <w:szCs w:val="20"/>
                          <w:u w:val="none"/>
                        </w:rPr>
                      </w:pPr>
                      <w:r w:rsidRPr="00835242">
                        <w:rPr>
                          <w:rFonts w:asciiTheme="majorHAnsi" w:hAnsiTheme="majorHAnsi" w:cstheme="majorHAnsi"/>
                          <w:sz w:val="20"/>
                          <w:szCs w:val="20"/>
                        </w:rPr>
                        <w:t xml:space="preserve">ASHRAE. Standard 188-2018: Legionellosis: Risk Management for Building Water Systems (ANSI approved): </w:t>
                      </w:r>
                      <w:hyperlink r:id="rId80" w:history="1">
                        <w:r w:rsidRPr="00835242">
                          <w:rPr>
                            <w:rStyle w:val="Hyperlink"/>
                            <w:rFonts w:asciiTheme="majorHAnsi" w:hAnsiTheme="majorHAnsi" w:cstheme="majorHAnsi"/>
                            <w:sz w:val="20"/>
                            <w:szCs w:val="20"/>
                          </w:rPr>
                          <w:t>https://www.ashrae.org/technical-resources/bookstore/ansi-ashrae-standard-188-2018-legionellosis-risk-management-for-building-water-systems</w:t>
                        </w:r>
                      </w:hyperlink>
                    </w:p>
                    <w:p w14:paraId="1416225E" w14:textId="1FCC6766" w:rsidR="00A318FA" w:rsidRPr="00835242" w:rsidRDefault="00A318FA" w:rsidP="00835242">
                      <w:pPr>
                        <w:pStyle w:val="ListParagraph"/>
                        <w:numPr>
                          <w:ilvl w:val="0"/>
                          <w:numId w:val="1"/>
                        </w:numPr>
                        <w:rPr>
                          <w:rStyle w:val="Hyperlink"/>
                          <w:rFonts w:asciiTheme="majorHAnsi" w:hAnsiTheme="majorHAnsi" w:cstheme="majorHAnsi"/>
                          <w:color w:val="auto"/>
                          <w:sz w:val="20"/>
                          <w:szCs w:val="20"/>
                          <w:u w:val="none"/>
                        </w:rPr>
                      </w:pPr>
                      <w:r w:rsidRPr="00835242">
                        <w:rPr>
                          <w:rFonts w:asciiTheme="majorHAnsi" w:hAnsiTheme="majorHAnsi" w:cstheme="majorHAnsi"/>
                          <w:sz w:val="20"/>
                          <w:szCs w:val="20"/>
                        </w:rPr>
                        <w:t xml:space="preserve">ASHRAE. </w:t>
                      </w:r>
                      <w:r w:rsidRPr="00835242">
                        <w:rPr>
                          <w:rStyle w:val="Hyperlink"/>
                          <w:rFonts w:asciiTheme="majorHAnsi" w:hAnsiTheme="majorHAnsi" w:cstheme="majorHAnsi"/>
                          <w:sz w:val="20"/>
                          <w:szCs w:val="20"/>
                        </w:rPr>
                        <w:t xml:space="preserve">Managing the risk of legionellosis associated with building water systems. ASHRAE guideline 12-2020: </w:t>
                      </w:r>
                      <w:hyperlink r:id="rId81" w:history="1">
                        <w:r w:rsidRPr="00835242">
                          <w:rPr>
                            <w:rStyle w:val="Hyperlink"/>
                            <w:rFonts w:asciiTheme="majorHAnsi" w:hAnsiTheme="majorHAnsi" w:cstheme="majorHAnsi"/>
                            <w:sz w:val="20"/>
                            <w:szCs w:val="20"/>
                          </w:rPr>
                          <w:t>https://www.techstreet.com/ashrae/standards/guideline-12-2020-managing-the-risk-of-legionellosis-associated-with-building-water-systems?product_id=2111422</w:t>
                        </w:r>
                      </w:hyperlink>
                    </w:p>
                    <w:p w14:paraId="30313130" w14:textId="77777777" w:rsidR="00A318FA" w:rsidRPr="00373F76" w:rsidRDefault="00A318FA" w:rsidP="005A334D">
                      <w:pPr>
                        <w:ind w:left="360"/>
                        <w:rPr>
                          <w:rFonts w:asciiTheme="majorHAnsi" w:hAnsiTheme="majorHAnsi" w:cstheme="majorHAnsi"/>
                          <w:sz w:val="20"/>
                          <w:szCs w:val="20"/>
                        </w:rPr>
                      </w:pPr>
                    </w:p>
                    <w:p w14:paraId="6A38CB63" w14:textId="7C408D68" w:rsidR="00A318FA" w:rsidRPr="00373F76" w:rsidRDefault="00A318FA" w:rsidP="005A334D">
                      <w:pPr>
                        <w:pStyle w:val="ListParagraph"/>
                        <w:numPr>
                          <w:ilvl w:val="0"/>
                          <w:numId w:val="1"/>
                        </w:numPr>
                        <w:rPr>
                          <w:rFonts w:asciiTheme="majorHAnsi" w:hAnsiTheme="majorHAnsi" w:cstheme="majorHAnsi"/>
                          <w:sz w:val="20"/>
                          <w:szCs w:val="20"/>
                        </w:rPr>
                      </w:pPr>
                      <w:r w:rsidRPr="00373F76">
                        <w:rPr>
                          <w:rFonts w:asciiTheme="majorHAnsi" w:hAnsiTheme="majorHAnsi" w:cstheme="majorHAnsi"/>
                          <w:sz w:val="20"/>
                          <w:szCs w:val="20"/>
                        </w:rPr>
                        <w:t>CDC. Overview of Water Management Programs</w:t>
                      </w:r>
                      <w:r>
                        <w:rPr>
                          <w:rFonts w:asciiTheme="majorHAnsi" w:hAnsiTheme="majorHAnsi" w:cstheme="majorHAnsi"/>
                          <w:sz w:val="20"/>
                          <w:szCs w:val="20"/>
                        </w:rPr>
                        <w:t xml:space="preserve">: </w:t>
                      </w:r>
                      <w:hyperlink r:id="rId82" w:history="1">
                        <w:r w:rsidRPr="00373F76">
                          <w:rPr>
                            <w:rStyle w:val="Hyperlink"/>
                            <w:rFonts w:asciiTheme="majorHAnsi" w:hAnsiTheme="majorHAnsi" w:cstheme="majorHAnsi"/>
                            <w:sz w:val="20"/>
                            <w:szCs w:val="20"/>
                          </w:rPr>
                          <w:t>https://www.cdc.gov/legionella/wmp/overview.html</w:t>
                        </w:r>
                      </w:hyperlink>
                    </w:p>
                    <w:p w14:paraId="1FDF83B6" w14:textId="77777777" w:rsidR="00A318FA" w:rsidRPr="00373F76" w:rsidRDefault="00A318FA" w:rsidP="005A334D">
                      <w:pPr>
                        <w:pStyle w:val="ListParagraph"/>
                        <w:rPr>
                          <w:rFonts w:asciiTheme="majorHAnsi" w:hAnsiTheme="majorHAnsi" w:cstheme="majorHAnsi"/>
                          <w:sz w:val="20"/>
                          <w:szCs w:val="20"/>
                        </w:rPr>
                      </w:pPr>
                    </w:p>
                    <w:p w14:paraId="5CCCA26D" w14:textId="37C61ED7" w:rsidR="00A318FA" w:rsidRPr="00373F76" w:rsidRDefault="00A318FA" w:rsidP="005A334D">
                      <w:pPr>
                        <w:pStyle w:val="ListParagraph"/>
                        <w:numPr>
                          <w:ilvl w:val="0"/>
                          <w:numId w:val="1"/>
                        </w:numPr>
                        <w:rPr>
                          <w:rFonts w:asciiTheme="majorHAnsi" w:hAnsiTheme="majorHAnsi" w:cstheme="majorHAnsi"/>
                          <w:sz w:val="20"/>
                          <w:szCs w:val="20"/>
                        </w:rPr>
                      </w:pPr>
                      <w:r w:rsidRPr="00373F76">
                        <w:rPr>
                          <w:rFonts w:asciiTheme="majorHAnsi" w:hAnsiTheme="majorHAnsi" w:cstheme="majorHAnsi"/>
                          <w:sz w:val="20"/>
                          <w:szCs w:val="20"/>
                        </w:rPr>
                        <w:t>CDC. Developing a Water Management Program to Reduce Legionella Growth and Spread in Buildings: A Practical Guide to Implementing Industry Standards. June 5, 2017. Version 1.1</w:t>
                      </w:r>
                      <w:r>
                        <w:rPr>
                          <w:rFonts w:asciiTheme="majorHAnsi" w:hAnsiTheme="majorHAnsi" w:cstheme="majorHAnsi"/>
                          <w:sz w:val="20"/>
                          <w:szCs w:val="20"/>
                        </w:rPr>
                        <w:t xml:space="preserve">: </w:t>
                      </w:r>
                      <w:hyperlink r:id="rId83" w:history="1">
                        <w:r w:rsidRPr="00C14491">
                          <w:rPr>
                            <w:rStyle w:val="Hyperlink"/>
                            <w:rFonts w:asciiTheme="majorHAnsi" w:hAnsiTheme="majorHAnsi" w:cstheme="majorHAnsi"/>
                            <w:sz w:val="20"/>
                            <w:szCs w:val="20"/>
                          </w:rPr>
                          <w:t>https://www.cdc.gov/legionella/downloads/toolkit.pdf</w:t>
                        </w:r>
                      </w:hyperlink>
                    </w:p>
                    <w:p w14:paraId="31800A1D" w14:textId="77777777" w:rsidR="00A318FA" w:rsidRPr="00373F76" w:rsidRDefault="00A318FA" w:rsidP="005A334D">
                      <w:pPr>
                        <w:ind w:left="360"/>
                        <w:rPr>
                          <w:rFonts w:asciiTheme="majorHAnsi" w:hAnsiTheme="majorHAnsi" w:cstheme="majorHAnsi"/>
                          <w:sz w:val="20"/>
                          <w:szCs w:val="20"/>
                        </w:rPr>
                      </w:pPr>
                    </w:p>
                    <w:p w14:paraId="1810BE33" w14:textId="136A0273" w:rsidR="00A318FA" w:rsidRPr="00373F76" w:rsidRDefault="00A318FA" w:rsidP="005A334D">
                      <w:pPr>
                        <w:pStyle w:val="ListParagraph"/>
                        <w:numPr>
                          <w:ilvl w:val="0"/>
                          <w:numId w:val="1"/>
                        </w:numPr>
                        <w:rPr>
                          <w:rFonts w:asciiTheme="majorHAnsi" w:hAnsiTheme="majorHAnsi" w:cstheme="majorHAnsi"/>
                          <w:sz w:val="20"/>
                          <w:szCs w:val="20"/>
                        </w:rPr>
                      </w:pPr>
                      <w:r w:rsidRPr="00373F76">
                        <w:rPr>
                          <w:rFonts w:asciiTheme="majorHAnsi" w:hAnsiTheme="majorHAnsi" w:cstheme="majorHAnsi"/>
                          <w:sz w:val="20"/>
                          <w:szCs w:val="20"/>
                        </w:rPr>
                        <w:t xml:space="preserve">CDC. Guidance for Reopening Buildings After Prolonged Shutdown or Reduced Operation. Updated May 7, 2020: </w:t>
                      </w:r>
                      <w:hyperlink r:id="rId84" w:history="1">
                        <w:r w:rsidRPr="00373F76">
                          <w:rPr>
                            <w:rStyle w:val="Hyperlink"/>
                            <w:rFonts w:asciiTheme="majorHAnsi" w:hAnsiTheme="majorHAnsi" w:cstheme="majorHAnsi"/>
                            <w:sz w:val="20"/>
                            <w:szCs w:val="20"/>
                          </w:rPr>
                          <w:t>https://www.cdc.gov/coronavirus/2019-ncov/php/building-water-system.html</w:t>
                        </w:r>
                      </w:hyperlink>
                    </w:p>
                    <w:p w14:paraId="2F4FA575" w14:textId="77777777" w:rsidR="00A318FA" w:rsidRPr="00095E93" w:rsidRDefault="00A318FA" w:rsidP="005A334D">
                      <w:pPr>
                        <w:pStyle w:val="ListParagraph"/>
                        <w:rPr>
                          <w:rFonts w:asciiTheme="majorHAnsi" w:hAnsiTheme="majorHAnsi" w:cstheme="majorHAnsi"/>
                          <w:sz w:val="20"/>
                          <w:szCs w:val="20"/>
                        </w:rPr>
                      </w:pPr>
                      <w:bookmarkStart w:id="18" w:name="_Hlk56005790"/>
                    </w:p>
                    <w:p w14:paraId="03E9B594" w14:textId="118A81D6" w:rsidR="00A318FA" w:rsidRDefault="00A318FA" w:rsidP="003D58C2">
                      <w:pPr>
                        <w:pStyle w:val="ListParagraph"/>
                        <w:numPr>
                          <w:ilvl w:val="0"/>
                          <w:numId w:val="1"/>
                        </w:numPr>
                        <w:rPr>
                          <w:rFonts w:asciiTheme="majorHAnsi" w:hAnsiTheme="majorHAnsi" w:cstheme="majorHAnsi"/>
                          <w:sz w:val="20"/>
                          <w:szCs w:val="20"/>
                        </w:rPr>
                      </w:pPr>
                      <w:r w:rsidRPr="00A3268C">
                        <w:rPr>
                          <w:rFonts w:asciiTheme="majorHAnsi" w:hAnsiTheme="majorHAnsi" w:cstheme="majorHAnsi"/>
                          <w:sz w:val="20"/>
                          <w:szCs w:val="20"/>
                        </w:rPr>
                        <w:t>CDC</w:t>
                      </w:r>
                      <w:r>
                        <w:rPr>
                          <w:rFonts w:asciiTheme="majorHAnsi" w:hAnsiTheme="majorHAnsi" w:cstheme="majorHAnsi"/>
                          <w:sz w:val="20"/>
                          <w:szCs w:val="20"/>
                        </w:rPr>
                        <w:t xml:space="preserve"> at al. </w:t>
                      </w:r>
                      <w:proofErr w:type="spellStart"/>
                      <w:r w:rsidRPr="00A3268C">
                        <w:rPr>
                          <w:rFonts w:asciiTheme="majorHAnsi" w:hAnsiTheme="majorHAnsi" w:cstheme="majorHAnsi"/>
                          <w:sz w:val="20"/>
                          <w:szCs w:val="20"/>
                        </w:rPr>
                        <w:t>PreventLD</w:t>
                      </w:r>
                      <w:proofErr w:type="spellEnd"/>
                      <w:r w:rsidRPr="00A3268C">
                        <w:rPr>
                          <w:rFonts w:asciiTheme="majorHAnsi" w:hAnsiTheme="majorHAnsi" w:cstheme="majorHAnsi"/>
                          <w:sz w:val="20"/>
                          <w:szCs w:val="20"/>
                        </w:rPr>
                        <w:t xml:space="preserve"> Training: </w:t>
                      </w:r>
                      <w:hyperlink r:id="rId85" w:history="1">
                        <w:r w:rsidRPr="00A3268C">
                          <w:rPr>
                            <w:rStyle w:val="Hyperlink"/>
                            <w:rFonts w:asciiTheme="majorHAnsi" w:hAnsiTheme="majorHAnsi" w:cstheme="majorHAnsi"/>
                            <w:sz w:val="20"/>
                            <w:szCs w:val="20"/>
                          </w:rPr>
                          <w:t>https://www.cdc.gov/nceh/ehs/elearn/prevent-LD-training.html</w:t>
                        </w:r>
                      </w:hyperlink>
                    </w:p>
                    <w:p w14:paraId="0D1C2D85" w14:textId="21169FA4" w:rsidR="00A318FA" w:rsidRDefault="00A318FA" w:rsidP="005A334D">
                      <w:pPr>
                        <w:rPr>
                          <w:rFonts w:asciiTheme="majorHAnsi" w:hAnsiTheme="majorHAnsi" w:cstheme="majorHAnsi"/>
                          <w:sz w:val="20"/>
                          <w:szCs w:val="20"/>
                        </w:rPr>
                      </w:pPr>
                    </w:p>
                    <w:p w14:paraId="379379A4" w14:textId="7359DA13" w:rsidR="00A318FA" w:rsidRDefault="00A318FA" w:rsidP="00A3268C">
                      <w:pPr>
                        <w:pStyle w:val="ListParagraph"/>
                        <w:numPr>
                          <w:ilvl w:val="0"/>
                          <w:numId w:val="12"/>
                        </w:numPr>
                        <w:spacing w:after="120"/>
                        <w:contextualSpacing w:val="0"/>
                        <w:rPr>
                          <w:rFonts w:asciiTheme="majorHAnsi" w:hAnsiTheme="majorHAnsi" w:cstheme="majorHAnsi"/>
                          <w:sz w:val="20"/>
                          <w:szCs w:val="20"/>
                        </w:rPr>
                      </w:pPr>
                      <w:r w:rsidRPr="00A3268C">
                        <w:rPr>
                          <w:rFonts w:asciiTheme="majorHAnsi" w:hAnsiTheme="majorHAnsi" w:cstheme="majorHAnsi"/>
                          <w:sz w:val="20"/>
                          <w:szCs w:val="20"/>
                        </w:rPr>
                        <w:t xml:space="preserve">CMS. Requirement to Reduce Legionella Risk in Healthcare Facility Water Systems to Prevent Cases and Outbreaks of Legionnaires’ Disease. Revised </w:t>
                      </w:r>
                      <w:r>
                        <w:rPr>
                          <w:rFonts w:asciiTheme="majorHAnsi" w:hAnsiTheme="majorHAnsi" w:cstheme="majorHAnsi"/>
                          <w:sz w:val="20"/>
                          <w:szCs w:val="20"/>
                        </w:rPr>
                        <w:t xml:space="preserve">July 6, </w:t>
                      </w:r>
                      <w:r w:rsidRPr="00A3268C">
                        <w:rPr>
                          <w:rFonts w:asciiTheme="majorHAnsi" w:hAnsiTheme="majorHAnsi" w:cstheme="majorHAnsi"/>
                          <w:sz w:val="20"/>
                          <w:szCs w:val="20"/>
                        </w:rPr>
                        <w:t>2018</w:t>
                      </w:r>
                      <w:r>
                        <w:rPr>
                          <w:rFonts w:asciiTheme="majorHAnsi" w:hAnsiTheme="majorHAnsi" w:cstheme="majorHAnsi"/>
                          <w:sz w:val="20"/>
                          <w:szCs w:val="20"/>
                        </w:rPr>
                        <w:t xml:space="preserve">: </w:t>
                      </w:r>
                      <w:hyperlink r:id="rId86" w:history="1">
                        <w:r w:rsidRPr="00FA789D">
                          <w:rPr>
                            <w:rStyle w:val="Hyperlink"/>
                            <w:rFonts w:asciiTheme="majorHAnsi" w:hAnsiTheme="majorHAnsi" w:cstheme="majorHAnsi"/>
                            <w:sz w:val="20"/>
                            <w:szCs w:val="20"/>
                          </w:rPr>
                          <w:t>https://www.cms.gov/Medicare/Provider-Enrollment-and-Certification/SurveyCertificationGenInfo/Downloads/QSO17-30-HospitalCAH-NH-REVISED-.pdf</w:t>
                        </w:r>
                      </w:hyperlink>
                    </w:p>
                    <w:p w14:paraId="56DE4860" w14:textId="4FCC62A7" w:rsidR="00A318FA" w:rsidRDefault="00A318FA" w:rsidP="00A3268C">
                      <w:pPr>
                        <w:pStyle w:val="ListParagraph"/>
                        <w:numPr>
                          <w:ilvl w:val="0"/>
                          <w:numId w:val="12"/>
                        </w:numPr>
                        <w:rPr>
                          <w:rFonts w:asciiTheme="majorHAnsi" w:hAnsiTheme="majorHAnsi" w:cstheme="majorHAnsi"/>
                          <w:sz w:val="20"/>
                          <w:szCs w:val="20"/>
                        </w:rPr>
                      </w:pPr>
                      <w:r w:rsidRPr="00373F76">
                        <w:rPr>
                          <w:rFonts w:asciiTheme="majorHAnsi" w:hAnsiTheme="majorHAnsi" w:cstheme="majorHAnsi"/>
                          <w:sz w:val="20"/>
                          <w:szCs w:val="20"/>
                        </w:rPr>
                        <w:t>CSTE. Water Management Program Template</w:t>
                      </w:r>
                      <w:r>
                        <w:rPr>
                          <w:rFonts w:asciiTheme="majorHAnsi" w:hAnsiTheme="majorHAnsi" w:cstheme="majorHAnsi"/>
                          <w:sz w:val="20"/>
                          <w:szCs w:val="20"/>
                        </w:rPr>
                        <w:t>. June 2019:</w:t>
                      </w:r>
                      <w:r w:rsidRPr="00373F76">
                        <w:rPr>
                          <w:rFonts w:asciiTheme="majorHAnsi" w:hAnsiTheme="majorHAnsi" w:cstheme="majorHAnsi"/>
                          <w:sz w:val="20"/>
                          <w:szCs w:val="20"/>
                        </w:rPr>
                        <w:t xml:space="preserve"> </w:t>
                      </w:r>
                      <w:hyperlink r:id="rId87" w:history="1">
                        <w:r w:rsidRPr="00FA789D">
                          <w:rPr>
                            <w:rStyle w:val="Hyperlink"/>
                            <w:rFonts w:asciiTheme="majorHAnsi" w:hAnsiTheme="majorHAnsi" w:cstheme="majorHAnsi"/>
                            <w:sz w:val="20"/>
                            <w:szCs w:val="20"/>
                          </w:rPr>
                          <w:t>https://www.cste.org/general/custom.asp?page=Legionnaires</w:t>
                        </w:r>
                      </w:hyperlink>
                      <w:r w:rsidRPr="00373F76">
                        <w:rPr>
                          <w:rFonts w:asciiTheme="majorHAnsi" w:hAnsiTheme="majorHAnsi" w:cstheme="majorHAnsi"/>
                          <w:sz w:val="20"/>
                          <w:szCs w:val="20"/>
                        </w:rPr>
                        <w:t xml:space="preserve"> </w:t>
                      </w:r>
                    </w:p>
                    <w:p w14:paraId="60498C65" w14:textId="77777777" w:rsidR="00A318FA" w:rsidRPr="00A3268C" w:rsidRDefault="00A318FA" w:rsidP="00A3268C">
                      <w:pPr>
                        <w:rPr>
                          <w:rFonts w:asciiTheme="majorHAnsi" w:hAnsiTheme="majorHAnsi" w:cstheme="majorHAnsi"/>
                          <w:sz w:val="20"/>
                          <w:szCs w:val="20"/>
                        </w:rPr>
                      </w:pPr>
                    </w:p>
                    <w:p w14:paraId="7BF72BD8" w14:textId="67E89283" w:rsidR="00A318FA" w:rsidRPr="00DC34B4" w:rsidRDefault="00A318FA" w:rsidP="00DC34B4">
                      <w:pPr>
                        <w:pStyle w:val="ListParagraph"/>
                        <w:numPr>
                          <w:ilvl w:val="0"/>
                          <w:numId w:val="12"/>
                        </w:numPr>
                        <w:rPr>
                          <w:rFonts w:asciiTheme="majorHAnsi" w:hAnsiTheme="majorHAnsi" w:cstheme="majorHAnsi"/>
                          <w:sz w:val="20"/>
                          <w:szCs w:val="20"/>
                        </w:rPr>
                      </w:pPr>
                      <w:r>
                        <w:rPr>
                          <w:rFonts w:asciiTheme="majorHAnsi" w:hAnsiTheme="majorHAnsi" w:cstheme="majorHAnsi"/>
                          <w:sz w:val="20"/>
                          <w:szCs w:val="20"/>
                        </w:rPr>
                        <w:t xml:space="preserve">NSF International. </w:t>
                      </w:r>
                      <w:r w:rsidRPr="00DC34B4">
                        <w:rPr>
                          <w:rFonts w:asciiTheme="majorHAnsi" w:hAnsiTheme="majorHAnsi" w:cstheme="majorHAnsi"/>
                          <w:sz w:val="20"/>
                          <w:szCs w:val="20"/>
                        </w:rPr>
                        <w:t>NSF P453-2017</w:t>
                      </w:r>
                      <w:r>
                        <w:rPr>
                          <w:rFonts w:asciiTheme="majorHAnsi" w:hAnsiTheme="majorHAnsi" w:cstheme="majorHAnsi"/>
                          <w:sz w:val="20"/>
                          <w:szCs w:val="20"/>
                        </w:rPr>
                        <w:t xml:space="preserve">, </w:t>
                      </w:r>
                      <w:r w:rsidRPr="00DC34B4">
                        <w:rPr>
                          <w:rFonts w:asciiTheme="majorHAnsi" w:hAnsiTheme="majorHAnsi" w:cstheme="majorHAnsi"/>
                          <w:sz w:val="20"/>
                          <w:szCs w:val="20"/>
                        </w:rPr>
                        <w:t>Cooling Towers</w:t>
                      </w:r>
                      <w:r>
                        <w:rPr>
                          <w:rFonts w:asciiTheme="majorHAnsi" w:hAnsiTheme="majorHAnsi" w:cstheme="majorHAnsi"/>
                          <w:sz w:val="20"/>
                          <w:szCs w:val="20"/>
                        </w:rPr>
                        <w:t>: T</w:t>
                      </w:r>
                      <w:r w:rsidRPr="00DC34B4">
                        <w:rPr>
                          <w:rFonts w:asciiTheme="majorHAnsi" w:hAnsiTheme="majorHAnsi" w:cstheme="majorHAnsi"/>
                          <w:sz w:val="20"/>
                          <w:szCs w:val="20"/>
                        </w:rPr>
                        <w:t xml:space="preserve">reatment, </w:t>
                      </w:r>
                      <w:r>
                        <w:rPr>
                          <w:rFonts w:asciiTheme="majorHAnsi" w:hAnsiTheme="majorHAnsi" w:cstheme="majorHAnsi"/>
                          <w:sz w:val="20"/>
                          <w:szCs w:val="20"/>
                        </w:rPr>
                        <w:t>O</w:t>
                      </w:r>
                      <w:r w:rsidRPr="00DC34B4">
                        <w:rPr>
                          <w:rFonts w:asciiTheme="majorHAnsi" w:hAnsiTheme="majorHAnsi" w:cstheme="majorHAnsi"/>
                          <w:sz w:val="20"/>
                          <w:szCs w:val="20"/>
                        </w:rPr>
                        <w:t xml:space="preserve">peration and </w:t>
                      </w:r>
                      <w:r>
                        <w:rPr>
                          <w:rFonts w:asciiTheme="majorHAnsi" w:hAnsiTheme="majorHAnsi" w:cstheme="majorHAnsi"/>
                          <w:sz w:val="20"/>
                          <w:szCs w:val="20"/>
                        </w:rPr>
                        <w:t>M</w:t>
                      </w:r>
                      <w:r w:rsidRPr="00DC34B4">
                        <w:rPr>
                          <w:rFonts w:asciiTheme="majorHAnsi" w:hAnsiTheme="majorHAnsi" w:cstheme="majorHAnsi"/>
                          <w:sz w:val="20"/>
                          <w:szCs w:val="20"/>
                        </w:rPr>
                        <w:t xml:space="preserve">aintenance to </w:t>
                      </w:r>
                      <w:r>
                        <w:rPr>
                          <w:rFonts w:asciiTheme="majorHAnsi" w:hAnsiTheme="majorHAnsi" w:cstheme="majorHAnsi"/>
                          <w:sz w:val="20"/>
                          <w:szCs w:val="20"/>
                        </w:rPr>
                        <w:t>P</w:t>
                      </w:r>
                      <w:r w:rsidRPr="00DC34B4">
                        <w:rPr>
                          <w:rFonts w:asciiTheme="majorHAnsi" w:hAnsiTheme="majorHAnsi" w:cstheme="majorHAnsi"/>
                          <w:sz w:val="20"/>
                          <w:szCs w:val="20"/>
                        </w:rPr>
                        <w:t xml:space="preserve">revent Legionnaires' </w:t>
                      </w:r>
                      <w:r>
                        <w:rPr>
                          <w:rFonts w:asciiTheme="majorHAnsi" w:hAnsiTheme="majorHAnsi" w:cstheme="majorHAnsi"/>
                          <w:sz w:val="20"/>
                          <w:szCs w:val="20"/>
                        </w:rPr>
                        <w:t>D</w:t>
                      </w:r>
                      <w:r w:rsidRPr="00DC34B4">
                        <w:rPr>
                          <w:rFonts w:asciiTheme="majorHAnsi" w:hAnsiTheme="majorHAnsi" w:cstheme="majorHAnsi"/>
                          <w:sz w:val="20"/>
                          <w:szCs w:val="20"/>
                        </w:rPr>
                        <w:t>isease</w:t>
                      </w:r>
                      <w:r>
                        <w:rPr>
                          <w:rFonts w:asciiTheme="majorHAnsi" w:hAnsiTheme="majorHAnsi" w:cstheme="majorHAnsi"/>
                          <w:sz w:val="20"/>
                          <w:szCs w:val="20"/>
                        </w:rPr>
                        <w:t xml:space="preserve">. 2017: </w:t>
                      </w:r>
                      <w:hyperlink r:id="rId88" w:history="1">
                        <w:r w:rsidRPr="00FA789D">
                          <w:rPr>
                            <w:rStyle w:val="Hyperlink"/>
                            <w:rFonts w:asciiTheme="majorHAnsi" w:hAnsiTheme="majorHAnsi" w:cstheme="majorHAnsi"/>
                            <w:sz w:val="20"/>
                            <w:szCs w:val="20"/>
                          </w:rPr>
                          <w:t>https://www.nsf.org/news/nsf-international-announces-new-protocol-for-cooling-tower-water-systems</w:t>
                        </w:r>
                      </w:hyperlink>
                      <w:r>
                        <w:rPr>
                          <w:rFonts w:asciiTheme="majorHAnsi" w:hAnsiTheme="majorHAnsi" w:cstheme="majorHAnsi"/>
                          <w:sz w:val="20"/>
                          <w:szCs w:val="20"/>
                        </w:rPr>
                        <w:t xml:space="preserve"> </w:t>
                      </w:r>
                    </w:p>
                    <w:bookmarkEnd w:id="18"/>
                    <w:p w14:paraId="37E797E7" w14:textId="77777777" w:rsidR="00A318FA" w:rsidRPr="00573A64" w:rsidRDefault="00A318FA" w:rsidP="005A334D">
                      <w:pPr>
                        <w:rPr>
                          <w:rFonts w:ascii="Arial" w:hAnsi="Arial" w:cs="Arial"/>
                          <w:sz w:val="20"/>
                          <w:szCs w:val="20"/>
                        </w:rPr>
                      </w:pPr>
                    </w:p>
                  </w:txbxContent>
                </v:textbox>
                <w10:wrap type="square" anchorx="margin"/>
              </v:shape>
            </w:pict>
          </mc:Fallback>
        </mc:AlternateContent>
      </w:r>
    </w:p>
    <w:p w14:paraId="228461A6" w14:textId="27069285" w:rsidR="005A334D" w:rsidRPr="00B752E6" w:rsidRDefault="005A334D" w:rsidP="005A334D">
      <w:pPr>
        <w:spacing w:line="360" w:lineRule="auto"/>
        <w:rPr>
          <w:rFonts w:asciiTheme="majorHAnsi" w:hAnsiTheme="majorHAnsi" w:cstheme="majorHAnsi"/>
        </w:rPr>
      </w:pPr>
    </w:p>
    <w:p w14:paraId="4BA2DAAC" w14:textId="1420CA83" w:rsidR="005A334D" w:rsidRPr="00B752E6" w:rsidRDefault="005A334D" w:rsidP="005A334D">
      <w:pPr>
        <w:spacing w:line="360" w:lineRule="auto"/>
        <w:rPr>
          <w:rFonts w:asciiTheme="majorHAnsi" w:hAnsiTheme="majorHAnsi" w:cstheme="majorHAnsi"/>
        </w:rPr>
      </w:pPr>
    </w:p>
    <w:p w14:paraId="16DDCA3C" w14:textId="77777777" w:rsidR="00F44FC0" w:rsidRDefault="00F44FC0"/>
    <w:sectPr w:rsidR="00F44FC0" w:rsidSect="00527549">
      <w:footnotePr>
        <w:numRestart w:val="eachSect"/>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91EC42" w14:textId="77777777" w:rsidR="00A318FA" w:rsidRDefault="00A318FA" w:rsidP="005A334D">
      <w:r>
        <w:separator/>
      </w:r>
    </w:p>
  </w:endnote>
  <w:endnote w:type="continuationSeparator" w:id="0">
    <w:p w14:paraId="1D52DE0C" w14:textId="77777777" w:rsidR="00A318FA" w:rsidRDefault="00A318FA" w:rsidP="005A3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ova Light">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8752535"/>
      <w:docPartObj>
        <w:docPartGallery w:val="Page Numbers (Bottom of Page)"/>
        <w:docPartUnique/>
      </w:docPartObj>
    </w:sdtPr>
    <w:sdtEndPr>
      <w:rPr>
        <w:noProof/>
      </w:rPr>
    </w:sdtEndPr>
    <w:sdtContent>
      <w:p w14:paraId="699FC96E" w14:textId="308CAB22" w:rsidR="00A318FA" w:rsidRDefault="00A31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4BC90A" w14:textId="77777777" w:rsidR="00A318FA" w:rsidRDefault="00A31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FB6C5" w14:textId="77777777" w:rsidR="00A318FA" w:rsidRDefault="00A318FA" w:rsidP="005A334D">
      <w:r>
        <w:separator/>
      </w:r>
    </w:p>
  </w:footnote>
  <w:footnote w:type="continuationSeparator" w:id="0">
    <w:p w14:paraId="0035B43D" w14:textId="77777777" w:rsidR="00A318FA" w:rsidRDefault="00A318FA" w:rsidP="005A334D">
      <w:r>
        <w:continuationSeparator/>
      </w:r>
    </w:p>
  </w:footnote>
  <w:footnote w:id="1">
    <w:p w14:paraId="4D90C1F8" w14:textId="77777777" w:rsidR="00A318FA" w:rsidRPr="00CE1B38" w:rsidRDefault="00A318FA" w:rsidP="00D757F9">
      <w:pPr>
        <w:pStyle w:val="FootnoteText"/>
        <w:rPr>
          <w:rFonts w:asciiTheme="majorHAnsi" w:hAnsiTheme="majorHAnsi" w:cstheme="majorHAnsi"/>
          <w:b/>
          <w:bCs/>
          <w:i/>
          <w:iCs/>
        </w:rPr>
      </w:pPr>
      <w:r w:rsidRPr="00CE1B38">
        <w:rPr>
          <w:rFonts w:asciiTheme="majorHAnsi" w:hAnsiTheme="majorHAnsi" w:cstheme="majorHAnsi"/>
          <w:b/>
          <w:bCs/>
          <w:i/>
          <w:iCs/>
          <w:highlight w:val="yellow"/>
        </w:rPr>
        <w:t>Note: Footnotes will be streamlined and edited to a style guide once the text is finalized</w:t>
      </w:r>
    </w:p>
    <w:p w14:paraId="456E2641" w14:textId="3138BC09" w:rsidR="00A318FA" w:rsidRPr="00CE1B38" w:rsidRDefault="00A318FA" w:rsidP="00D757F9">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(2019). </w:t>
      </w:r>
      <w:r w:rsidRPr="00CE1B38">
        <w:rPr>
          <w:rFonts w:asciiTheme="majorHAnsi" w:hAnsiTheme="majorHAnsi" w:cstheme="majorHAnsi"/>
          <w:i/>
          <w:iCs/>
        </w:rPr>
        <w:t>Legionella</w:t>
      </w:r>
      <w:r w:rsidRPr="00CE1B38">
        <w:rPr>
          <w:rFonts w:asciiTheme="majorHAnsi" w:hAnsiTheme="majorHAnsi" w:cstheme="majorHAnsi"/>
        </w:rPr>
        <w:t xml:space="preserve">: History, Burden, and Trends. Webpage last reviewed by CDC April 20, 2018. Retrieved from </w:t>
      </w:r>
      <w:hyperlink r:id="rId1" w:history="1">
        <w:r w:rsidRPr="00CE1B38">
          <w:rPr>
            <w:rStyle w:val="Hyperlink"/>
            <w:rFonts w:asciiTheme="majorHAnsi" w:hAnsiTheme="majorHAnsi" w:cstheme="majorHAnsi"/>
          </w:rPr>
          <w:t>https://www.cdc.gov/legionella/abo</w:t>
        </w:r>
        <w:r w:rsidRPr="00CE1B38">
          <w:rPr>
            <w:rStyle w:val="Hyperlink"/>
            <w:rFonts w:asciiTheme="majorHAnsi" w:hAnsiTheme="majorHAnsi" w:cstheme="majorHAnsi"/>
          </w:rPr>
          <w:t>u</w:t>
        </w:r>
        <w:r w:rsidRPr="00CE1B38">
          <w:rPr>
            <w:rStyle w:val="Hyperlink"/>
            <w:rFonts w:asciiTheme="majorHAnsi" w:hAnsiTheme="majorHAnsi" w:cstheme="majorHAnsi"/>
          </w:rPr>
          <w:t>t/history.html</w:t>
        </w:r>
      </w:hyperlink>
      <w:r w:rsidRPr="00CE1B38">
        <w:rPr>
          <w:rFonts w:asciiTheme="majorHAnsi" w:hAnsiTheme="majorHAnsi" w:cstheme="majorHAnsi"/>
        </w:rPr>
        <w:t xml:space="preserve"> (accessed </w:t>
      </w:r>
      <w:r>
        <w:rPr>
          <w:rFonts w:asciiTheme="majorHAnsi" w:hAnsiTheme="majorHAnsi" w:cstheme="majorHAnsi"/>
        </w:rPr>
        <w:t>December</w:t>
      </w:r>
      <w:r w:rsidRPr="00CE1B38">
        <w:rPr>
          <w:rFonts w:asciiTheme="majorHAnsi" w:hAnsiTheme="majorHAnsi" w:cstheme="majorHAnsi"/>
        </w:rPr>
        <w:t xml:space="preserve"> 17, 2020).</w:t>
      </w:r>
    </w:p>
  </w:footnote>
  <w:footnote w:id="2">
    <w:p w14:paraId="2DBE5951" w14:textId="5C2DC8C4" w:rsidR="00A318FA" w:rsidRPr="00CE1B38" w:rsidRDefault="00A318FA" w:rsidP="00D757F9">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(2019). </w:t>
      </w:r>
      <w:r w:rsidRPr="00CE1B38">
        <w:rPr>
          <w:rFonts w:asciiTheme="majorHAnsi" w:hAnsiTheme="majorHAnsi" w:cstheme="majorHAnsi"/>
          <w:i/>
          <w:iCs/>
        </w:rPr>
        <w:t>Legionella</w:t>
      </w:r>
      <w:r w:rsidRPr="00CE1B38">
        <w:rPr>
          <w:rFonts w:asciiTheme="majorHAnsi" w:hAnsiTheme="majorHAnsi" w:cstheme="majorHAnsi"/>
        </w:rPr>
        <w:t xml:space="preserve">: History, Burden, and Trends. Webpage last reviewed by CDC April 20, 2018. Retrieved from </w:t>
      </w:r>
      <w:hyperlink r:id="rId2" w:history="1">
        <w:r w:rsidRPr="00CE1B38">
          <w:rPr>
            <w:rStyle w:val="Hyperlink"/>
            <w:rFonts w:asciiTheme="majorHAnsi" w:hAnsiTheme="majorHAnsi" w:cstheme="majorHAnsi"/>
          </w:rPr>
          <w:t>https://www.cdc.gov/legionella/about/history.html</w:t>
        </w:r>
      </w:hyperlink>
      <w:r w:rsidRPr="00CE1B38">
        <w:rPr>
          <w:rFonts w:asciiTheme="majorHAnsi" w:hAnsiTheme="majorHAnsi" w:cstheme="majorHAnsi"/>
        </w:rPr>
        <w:t xml:space="preserve"> (accessed </w:t>
      </w:r>
      <w:r>
        <w:rPr>
          <w:rFonts w:asciiTheme="majorHAnsi" w:hAnsiTheme="majorHAnsi" w:cstheme="majorHAnsi"/>
        </w:rPr>
        <w:t xml:space="preserve">December </w:t>
      </w:r>
      <w:r w:rsidRPr="00CE1B38">
        <w:rPr>
          <w:rFonts w:asciiTheme="majorHAnsi" w:hAnsiTheme="majorHAnsi" w:cstheme="majorHAnsi"/>
        </w:rPr>
        <w:t>17, 2020).</w:t>
      </w:r>
    </w:p>
  </w:footnote>
  <w:footnote w:id="3">
    <w:p w14:paraId="27CB2301"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Disease Specifics. Webpage last reviewed by CDC April 30, 2018. Retrieved from </w:t>
      </w:r>
      <w:hyperlink r:id="rId3"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4">
    <w:p w14:paraId="370A9B08"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Disease Specifics. Webpage last reviewed by CDC April 30, 2018. Retrieved from </w:t>
      </w:r>
      <w:hyperlink r:id="rId4"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5">
    <w:p w14:paraId="2CEA4831"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about the Disease. History, Burden, and Trends. Webpage last reviewed by CDC April 30, 2018. Retrieved from </w:t>
      </w:r>
      <w:hyperlink r:id="rId5" w:history="1">
        <w:r w:rsidRPr="00CE1B38">
          <w:rPr>
            <w:rStyle w:val="Hyperlink"/>
            <w:rFonts w:asciiTheme="majorHAnsi" w:hAnsiTheme="majorHAnsi" w:cstheme="majorHAnsi"/>
          </w:rPr>
          <w:t>https://www.cdc.gov/legionella/about/history.html</w:t>
        </w:r>
      </w:hyperlink>
      <w:r w:rsidRPr="00CE1B38">
        <w:rPr>
          <w:rFonts w:asciiTheme="majorHAnsi" w:hAnsiTheme="majorHAnsi" w:cstheme="majorHAnsi"/>
        </w:rPr>
        <w:t xml:space="preserve"> (accessed December 14, 2020).</w:t>
      </w:r>
    </w:p>
  </w:footnote>
  <w:footnote w:id="6">
    <w:p w14:paraId="32E041D0"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about the Disease. History, Burden, and Trends. Webpage last reviewed by CDC April 30, 2018. Retrieved from </w:t>
      </w:r>
      <w:hyperlink r:id="rId6" w:history="1">
        <w:r w:rsidRPr="00CE1B38">
          <w:rPr>
            <w:rStyle w:val="Hyperlink"/>
            <w:rFonts w:asciiTheme="majorHAnsi" w:hAnsiTheme="majorHAnsi" w:cstheme="majorHAnsi"/>
          </w:rPr>
          <w:t>https://www.cdc.gov/legionella/about/history.html</w:t>
        </w:r>
      </w:hyperlink>
      <w:r w:rsidRPr="00CE1B38">
        <w:rPr>
          <w:rFonts w:asciiTheme="majorHAnsi" w:hAnsiTheme="majorHAnsi" w:cstheme="majorHAnsi"/>
        </w:rPr>
        <w:t xml:space="preserve"> (accessed December 14, 2020).</w:t>
      </w:r>
    </w:p>
  </w:footnote>
  <w:footnote w:id="7">
    <w:p w14:paraId="6049A360"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Disease Specifics. Webpage last reviewed by CDC April 30, 2018. Retrieved from </w:t>
      </w:r>
      <w:hyperlink r:id="rId7"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8">
    <w:p w14:paraId="040D796A"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Disease Specifics. Webpage last reviewed by CDC April 30, 2018. Retrieved from </w:t>
      </w:r>
      <w:hyperlink r:id="rId8"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9">
    <w:p w14:paraId="13F77B54"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Disease Specifics. Webpage last reviewed by CDC April 30, 2018. Retrieved from </w:t>
      </w:r>
      <w:hyperlink r:id="rId9"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roofErr w:type="gramStart"/>
      <w:r w:rsidRPr="00CE1B38">
        <w:rPr>
          <w:rFonts w:asciiTheme="majorHAnsi" w:hAnsiTheme="majorHAnsi" w:cstheme="majorHAnsi"/>
        </w:rPr>
        <w:t>).</w:t>
      </w:r>
      <w:r w:rsidRPr="00CE1B38">
        <w:rPr>
          <w:rFonts w:asciiTheme="majorHAnsi" w:hAnsiTheme="majorHAnsi" w:cstheme="majorHAnsi"/>
          <w:i/>
          <w:iCs/>
        </w:rPr>
        <w:t>Note</w:t>
      </w:r>
      <w:proofErr w:type="gramEnd"/>
      <w:r w:rsidRPr="00CE1B38">
        <w:rPr>
          <w:rFonts w:asciiTheme="majorHAnsi" w:hAnsiTheme="majorHAnsi" w:cstheme="majorHAnsi"/>
          <w:i/>
          <w:iCs/>
        </w:rPr>
        <w:t xml:space="preserve">: </w:t>
      </w:r>
      <w:r w:rsidRPr="00CE1B38">
        <w:rPr>
          <w:rFonts w:asciiTheme="majorHAnsi" w:hAnsiTheme="majorHAnsi" w:cstheme="majorHAnsi"/>
        </w:rPr>
        <w:t>CDC does state that “a single episode of possible person-to-person transmission of Legionnaires’ disease has been reported.” Correia AM, Ferreira JS, Borges V, et al. Retrieved from </w:t>
      </w:r>
      <w:hyperlink r:id="rId10" w:anchor="t=article" w:history="1">
        <w:r w:rsidRPr="00CE1B38">
          <w:rPr>
            <w:rStyle w:val="Hyperlink"/>
            <w:rFonts w:asciiTheme="majorHAnsi" w:hAnsiTheme="majorHAnsi" w:cstheme="majorHAnsi"/>
          </w:rPr>
          <w:t>http://www.nejm.org/doi/full/10.1056/NEJMc1505356#t=article</w:t>
        </w:r>
      </w:hyperlink>
      <w:r w:rsidRPr="00CE1B38">
        <w:rPr>
          <w:rFonts w:asciiTheme="majorHAnsi" w:hAnsiTheme="majorHAnsi" w:cstheme="majorHAnsi"/>
        </w:rPr>
        <w:t>. </w:t>
      </w:r>
      <w:r w:rsidRPr="00CE1B38">
        <w:rPr>
          <w:rFonts w:asciiTheme="majorHAnsi" w:hAnsiTheme="majorHAnsi" w:cstheme="majorHAnsi"/>
          <w:i/>
          <w:iCs/>
        </w:rPr>
        <w:t xml:space="preserve">N </w:t>
      </w:r>
      <w:proofErr w:type="spellStart"/>
      <w:r w:rsidRPr="00CE1B38">
        <w:rPr>
          <w:rFonts w:asciiTheme="majorHAnsi" w:hAnsiTheme="majorHAnsi" w:cstheme="majorHAnsi"/>
          <w:i/>
          <w:iCs/>
        </w:rPr>
        <w:t>Engl</w:t>
      </w:r>
      <w:proofErr w:type="spellEnd"/>
      <w:r w:rsidRPr="00CE1B38">
        <w:rPr>
          <w:rFonts w:asciiTheme="majorHAnsi" w:hAnsiTheme="majorHAnsi" w:cstheme="majorHAnsi"/>
          <w:i/>
          <w:iCs/>
        </w:rPr>
        <w:t xml:space="preserve"> J Med</w:t>
      </w:r>
      <w:r w:rsidRPr="00CE1B38">
        <w:rPr>
          <w:rFonts w:asciiTheme="majorHAnsi" w:hAnsiTheme="majorHAnsi" w:cstheme="majorHAnsi"/>
        </w:rPr>
        <w:t xml:space="preserve">. </w:t>
      </w:r>
      <w:proofErr w:type="gramStart"/>
      <w:r w:rsidRPr="00CE1B38">
        <w:rPr>
          <w:rFonts w:asciiTheme="majorHAnsi" w:hAnsiTheme="majorHAnsi" w:cstheme="majorHAnsi"/>
        </w:rPr>
        <w:t>2016;374:497</w:t>
      </w:r>
      <w:proofErr w:type="gramEnd"/>
      <w:r w:rsidRPr="00CE1B38">
        <w:rPr>
          <w:rFonts w:asciiTheme="majorHAnsi" w:hAnsiTheme="majorHAnsi" w:cstheme="majorHAnsi"/>
        </w:rPr>
        <w:t>–8.</w:t>
      </w:r>
    </w:p>
  </w:footnote>
  <w:footnote w:id="10">
    <w:p w14:paraId="1842F240"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Disease Specifics. Webpage last reviewed by CDC April 30, 2018. Retrieved from </w:t>
      </w:r>
      <w:hyperlink r:id="rId11"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11">
    <w:p w14:paraId="5B544595"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Disease Specifics. Webpage last reviewed by CDC April 30, 2018. Retrieved from </w:t>
      </w:r>
      <w:hyperlink r:id="rId12"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12">
    <w:p w14:paraId="4AFE5825"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Health Departments. Webpage last reviewed by CDC April 30, 2018. Retrieved from </w:t>
      </w:r>
      <w:hyperlink r:id="rId13" w:history="1">
        <w:r w:rsidRPr="00CE1B38">
          <w:rPr>
            <w:rStyle w:val="Hyperlink"/>
            <w:rFonts w:asciiTheme="majorHAnsi" w:hAnsiTheme="majorHAnsi" w:cstheme="majorHAnsi"/>
          </w:rPr>
          <w:t>https://www.cdc.gov/legionella/health-depts/index.html</w:t>
        </w:r>
      </w:hyperlink>
      <w:r w:rsidRPr="00CE1B38">
        <w:rPr>
          <w:rFonts w:asciiTheme="majorHAnsi" w:hAnsiTheme="majorHAnsi" w:cstheme="majorHAnsi"/>
        </w:rPr>
        <w:t xml:space="preserve"> (accessed December 14, 2020).</w:t>
      </w:r>
    </w:p>
  </w:footnote>
  <w:footnote w:id="13">
    <w:p w14:paraId="1A885651"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Disease Specifics. Webpage last reviewed April 30, 2018. Retrieved from </w:t>
      </w:r>
      <w:hyperlink r:id="rId14"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14">
    <w:p w14:paraId="7B6410DA"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Disease Specifics. Webpage last reviewed April 30, 2018. Retrieved from </w:t>
      </w:r>
      <w:hyperlink r:id="rId15" w:history="1">
        <w:r w:rsidRPr="00CE1B38">
          <w:rPr>
            <w:rStyle w:val="Hyperlink"/>
            <w:rFonts w:asciiTheme="majorHAnsi" w:hAnsiTheme="majorHAnsi" w:cstheme="majorHAnsi"/>
          </w:rPr>
          <w:t>https://www.cdc.gov/legionella/clinicians/disease-specifics.html</w:t>
        </w:r>
      </w:hyperlink>
      <w:r w:rsidRPr="00CE1B38">
        <w:rPr>
          <w:rFonts w:asciiTheme="majorHAnsi" w:hAnsiTheme="majorHAnsi" w:cstheme="majorHAnsi"/>
        </w:rPr>
        <w:t xml:space="preserve"> (accessed December 14, 2020).</w:t>
      </w:r>
    </w:p>
  </w:footnote>
  <w:footnote w:id="15">
    <w:p w14:paraId="48E77A93"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Clinical Features. Webpage last reviewed January 15, 2020. Retrieved from </w:t>
      </w:r>
      <w:hyperlink r:id="rId16" w:history="1">
        <w:r w:rsidRPr="00CE1B38">
          <w:rPr>
            <w:rStyle w:val="Hyperlink"/>
            <w:rFonts w:asciiTheme="majorHAnsi" w:hAnsiTheme="majorHAnsi" w:cstheme="majorHAnsi"/>
          </w:rPr>
          <w:t>https://www.cdc.gov/legionella/clinicians/clinical-features.html</w:t>
        </w:r>
      </w:hyperlink>
      <w:r w:rsidRPr="00CE1B38">
        <w:rPr>
          <w:rFonts w:asciiTheme="majorHAnsi" w:hAnsiTheme="majorHAnsi" w:cstheme="majorHAnsi"/>
        </w:rPr>
        <w:t xml:space="preserve"> (accessed December 14, 2020).</w:t>
      </w:r>
    </w:p>
  </w:footnote>
  <w:footnote w:id="16">
    <w:p w14:paraId="73562B25"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Clinical Features. Webpage last reviewed January 15, 2020. Retrieved from </w:t>
      </w:r>
      <w:hyperlink r:id="rId17" w:history="1">
        <w:r w:rsidRPr="00CE1B38">
          <w:rPr>
            <w:rStyle w:val="Hyperlink"/>
            <w:rFonts w:asciiTheme="majorHAnsi" w:hAnsiTheme="majorHAnsi" w:cstheme="majorHAnsi"/>
          </w:rPr>
          <w:t>https://www.cdc.gov/legionella/clinicians/clinical-features.html</w:t>
        </w:r>
      </w:hyperlink>
      <w:r w:rsidRPr="00CE1B38">
        <w:rPr>
          <w:rFonts w:asciiTheme="majorHAnsi" w:hAnsiTheme="majorHAnsi" w:cstheme="majorHAnsi"/>
        </w:rPr>
        <w:t xml:space="preserve"> (accessed December 14, 2020).</w:t>
      </w:r>
    </w:p>
  </w:footnote>
  <w:footnote w:id="17">
    <w:p w14:paraId="4BC23129"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about the Disease. Signs and Symptoms. Webpage last reviewed April 30, 2018. Retrieved from </w:t>
      </w:r>
      <w:hyperlink r:id="rId18" w:history="1">
        <w:r w:rsidRPr="00CE1B38">
          <w:rPr>
            <w:rStyle w:val="Hyperlink"/>
            <w:rFonts w:asciiTheme="majorHAnsi" w:hAnsiTheme="majorHAnsi" w:cstheme="majorHAnsi"/>
          </w:rPr>
          <w:t>https://www.cdc.gov/legionella/about/signs-symptoms.html</w:t>
        </w:r>
      </w:hyperlink>
      <w:r w:rsidRPr="00CE1B38">
        <w:rPr>
          <w:rFonts w:asciiTheme="majorHAnsi" w:hAnsiTheme="majorHAnsi" w:cstheme="majorHAnsi"/>
        </w:rPr>
        <w:t xml:space="preserve"> (accessed December 14, 2020).</w:t>
      </w:r>
    </w:p>
  </w:footnote>
  <w:footnote w:id="18">
    <w:p w14:paraId="73E4E282"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about the Disease. Signs and Symptoms. Webpage last reviewed April 30, 2018. Retrieved from </w:t>
      </w:r>
      <w:hyperlink r:id="rId19" w:history="1">
        <w:r w:rsidRPr="00CE1B38">
          <w:rPr>
            <w:rStyle w:val="Hyperlink"/>
            <w:rFonts w:asciiTheme="majorHAnsi" w:hAnsiTheme="majorHAnsi" w:cstheme="majorHAnsi"/>
          </w:rPr>
          <w:t>https://www.cdc.gov/legionella/about/signs-symptoms.html</w:t>
        </w:r>
      </w:hyperlink>
      <w:r w:rsidRPr="00CE1B38">
        <w:rPr>
          <w:rFonts w:asciiTheme="majorHAnsi" w:hAnsiTheme="majorHAnsi" w:cstheme="majorHAnsi"/>
        </w:rPr>
        <w:t xml:space="preserve"> (accessed December 14, 2020</w:t>
      </w:r>
      <w:proofErr w:type="gramStart"/>
      <w:r w:rsidRPr="00CE1B38">
        <w:rPr>
          <w:rFonts w:asciiTheme="majorHAnsi" w:hAnsiTheme="majorHAnsi" w:cstheme="majorHAnsi"/>
        </w:rPr>
        <w:t>).</w:t>
      </w:r>
      <w:r w:rsidRPr="00CE1B38">
        <w:rPr>
          <w:rFonts w:asciiTheme="majorHAnsi" w:hAnsiTheme="majorHAnsi" w:cstheme="majorHAnsi"/>
          <w:i/>
          <w:iCs/>
        </w:rPr>
        <w:t>See</w:t>
      </w:r>
      <w:proofErr w:type="gramEnd"/>
      <w:r w:rsidRPr="00CE1B38">
        <w:rPr>
          <w:rFonts w:asciiTheme="majorHAnsi" w:hAnsiTheme="majorHAnsi" w:cstheme="majorHAnsi"/>
          <w:i/>
          <w:iCs/>
        </w:rPr>
        <w:t xml:space="preserve"> also</w:t>
      </w:r>
      <w:r w:rsidRPr="00CE1B38">
        <w:rPr>
          <w:rFonts w:asciiTheme="majorHAnsi" w:hAnsiTheme="majorHAnsi" w:cstheme="majorHAnsi"/>
        </w:rPr>
        <w:t xml:space="preserve"> CSTE. Position Statement 19-ID-04. June 6, 2019. Revision to the Case Definition for National Legionellosis Surveillance. Retrieved from </w:t>
      </w:r>
      <w:hyperlink r:id="rId20"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19">
    <w:p w14:paraId="2ED295A8"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about the Disease. Signs and Symptoms. Webpage last reviewed April 30, 2018. Retrieved from </w:t>
      </w:r>
      <w:hyperlink r:id="rId21" w:history="1">
        <w:r w:rsidRPr="00CE1B38">
          <w:rPr>
            <w:rStyle w:val="Hyperlink"/>
            <w:rFonts w:asciiTheme="majorHAnsi" w:hAnsiTheme="majorHAnsi" w:cstheme="majorHAnsi"/>
          </w:rPr>
          <w:t>https://www.cdc.gov/legionella/about/signs-symptoms.html</w:t>
        </w:r>
      </w:hyperlink>
      <w:r w:rsidRPr="00CE1B38">
        <w:rPr>
          <w:rFonts w:asciiTheme="majorHAnsi" w:hAnsiTheme="majorHAnsi" w:cstheme="majorHAnsi"/>
        </w:rPr>
        <w:t xml:space="preserve"> (accessed December 14, 2020).</w:t>
      </w:r>
    </w:p>
  </w:footnote>
  <w:footnote w:id="20">
    <w:p w14:paraId="5FC40E65"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about the Disease. Signs and Symptoms. Webpage last reviewed April 30, 2018. Retrieved from </w:t>
      </w:r>
      <w:hyperlink r:id="rId22" w:history="1">
        <w:r w:rsidRPr="00CE1B38">
          <w:rPr>
            <w:rStyle w:val="Hyperlink"/>
            <w:rFonts w:asciiTheme="majorHAnsi" w:hAnsiTheme="majorHAnsi" w:cstheme="majorHAnsi"/>
          </w:rPr>
          <w:t>https://www.cdc.gov/legionella/about/signs-symptoms.html</w:t>
        </w:r>
      </w:hyperlink>
      <w:r w:rsidRPr="00CE1B38">
        <w:rPr>
          <w:rFonts w:asciiTheme="majorHAnsi" w:hAnsiTheme="majorHAnsi" w:cstheme="majorHAnsi"/>
        </w:rPr>
        <w:t xml:space="preserve"> (accessed December 14, 2020).</w:t>
      </w:r>
    </w:p>
  </w:footnote>
  <w:footnote w:id="21">
    <w:p w14:paraId="7F6913A7"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w:t>
      </w:r>
      <w:bookmarkStart w:id="1" w:name="_Hlk58789586"/>
      <w:r w:rsidRPr="00CE1B38">
        <w:rPr>
          <w:rFonts w:asciiTheme="majorHAnsi" w:hAnsiTheme="majorHAnsi" w:cstheme="majorHAnsi"/>
        </w:rPr>
        <w:t>Position Statement 19-ID-04</w:t>
      </w:r>
      <w:bookmarkEnd w:id="1"/>
      <w:r w:rsidRPr="00CE1B38">
        <w:rPr>
          <w:rFonts w:asciiTheme="majorHAnsi" w:hAnsiTheme="majorHAnsi" w:cstheme="majorHAnsi"/>
        </w:rPr>
        <w:t xml:space="preserve">. June 6, 2019. Revision to the Case Definition for National Legionellosis Surveillance. Retrieved from </w:t>
      </w:r>
      <w:hyperlink r:id="rId23"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22">
    <w:p w14:paraId="7D23DB23"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p.4. Retrieved from </w:t>
      </w:r>
      <w:hyperlink r:id="rId24"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23">
    <w:p w14:paraId="639AB617"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p.5. Retrieved from </w:t>
      </w:r>
      <w:hyperlink r:id="rId25"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24">
    <w:p w14:paraId="41486B3E"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Retrieved from </w:t>
      </w:r>
      <w:hyperlink r:id="rId26"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25">
    <w:p w14:paraId="12471007"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footnote 1. Retrieved from </w:t>
      </w:r>
      <w:hyperlink r:id="rId27"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26">
    <w:p w14:paraId="4B3EA29A"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2" w:name="_Hlk58831174"/>
      <w:r w:rsidRPr="00CE1B38">
        <w:rPr>
          <w:rFonts w:asciiTheme="majorHAnsi" w:hAnsiTheme="majorHAnsi" w:cstheme="majorHAnsi"/>
        </w:rPr>
        <w:t xml:space="preserve">CSTE. Position Statement 19-ID-04. June 6, 2019. Revision to the Case Definition for National Legionellosis Surveillance. p.6, footnote 1. Retrieved from </w:t>
      </w:r>
      <w:hyperlink r:id="rId28"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bookmarkEnd w:id="2"/>
    </w:p>
  </w:footnote>
  <w:footnote w:id="27">
    <w:p w14:paraId="3CF0C16A"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and footnote 2. Retrieved from </w:t>
      </w:r>
      <w:hyperlink r:id="rId29"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28">
    <w:p w14:paraId="7B38E6AE"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and footnote 2. Retrieved from </w:t>
      </w:r>
      <w:hyperlink r:id="rId30"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29">
    <w:p w14:paraId="50F6A5FC"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Retrieved from </w:t>
      </w:r>
      <w:hyperlink r:id="rId31"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30">
    <w:p w14:paraId="214A894B"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Retrieved from </w:t>
      </w:r>
      <w:hyperlink r:id="rId32"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31">
    <w:p w14:paraId="4381C66E"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Retrieved from </w:t>
      </w:r>
      <w:hyperlink r:id="rId33"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32">
    <w:p w14:paraId="64A64F0A"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p.6. Retrieved from </w:t>
      </w:r>
      <w:hyperlink r:id="rId34"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33">
    <w:p w14:paraId="5B330DBF"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See</w:t>
      </w:r>
      <w:r w:rsidRPr="00CE1B38">
        <w:rPr>
          <w:rFonts w:asciiTheme="majorHAnsi" w:hAnsiTheme="majorHAnsi" w:cstheme="majorHAnsi"/>
        </w:rPr>
        <w:t xml:space="preserve"> CSTE. Position Statement 19-ID-04. June 6, 2019. Revision to the Case Definition for National Legionellosis Surveillance. p.4. Retrieved from </w:t>
      </w:r>
      <w:hyperlink r:id="rId35"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34">
    <w:p w14:paraId="50A32D6E"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3" w:name="_Hlk58833786"/>
      <w:r w:rsidRPr="00CE1B38">
        <w:rPr>
          <w:rFonts w:asciiTheme="majorHAnsi" w:hAnsiTheme="majorHAnsi" w:cstheme="majorHAnsi"/>
          <w:i/>
          <w:iCs/>
        </w:rPr>
        <w:t>Listed verbatim from</w:t>
      </w:r>
      <w:r w:rsidRPr="00CE1B38">
        <w:rPr>
          <w:rFonts w:asciiTheme="majorHAnsi" w:hAnsiTheme="majorHAnsi" w:cstheme="majorHAnsi"/>
        </w:rPr>
        <w:t xml:space="preserve"> CSTE. Position Statement 19-ID-04. June 6, 2019. Revision to the Case Definition for National Legionellosis Surveillance. p.6. Retrieved from </w:t>
      </w:r>
      <w:hyperlink r:id="rId36"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bookmarkEnd w:id="3"/>
    </w:p>
  </w:footnote>
  <w:footnote w:id="35">
    <w:p w14:paraId="1F12B505"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Listed verbatim from</w:t>
      </w:r>
      <w:r w:rsidRPr="00CE1B38">
        <w:rPr>
          <w:rFonts w:asciiTheme="majorHAnsi" w:hAnsiTheme="majorHAnsi" w:cstheme="majorHAnsi"/>
        </w:rPr>
        <w:t xml:space="preserve"> CSTE. Position Statement 19-ID-04. June 6, 2019. Revision to the Case Definition for National Legionellosis Surveillance. p.6. Retrieved from </w:t>
      </w:r>
      <w:hyperlink r:id="rId37"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36">
    <w:p w14:paraId="2BB75569"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Listed verbatim from</w:t>
      </w:r>
      <w:r w:rsidRPr="00CE1B38">
        <w:rPr>
          <w:rFonts w:asciiTheme="majorHAnsi" w:hAnsiTheme="majorHAnsi" w:cstheme="majorHAnsi"/>
        </w:rPr>
        <w:t xml:space="preserve"> CSTE. Position Statement 19-ID-04. June 6, 2019. Revision to the Case Definition for National Legionellosis Surveillance. p.7. Retrieved from </w:t>
      </w:r>
      <w:hyperlink r:id="rId38"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December 14, 2020).</w:t>
      </w:r>
    </w:p>
  </w:footnote>
  <w:footnote w:id="37">
    <w:p w14:paraId="335479C2"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39" w:history="1">
        <w:r w:rsidRPr="00CE1B38">
          <w:rPr>
            <w:rStyle w:val="Hyperlink"/>
            <w:rFonts w:asciiTheme="majorHAnsi" w:hAnsiTheme="majorHAnsi" w:cstheme="majorHAnsi"/>
          </w:rPr>
          <w:t>https://www.cdc.gov/legionella/about/diagnosis.html</w:t>
        </w:r>
      </w:hyperlink>
      <w:r w:rsidRPr="00CE1B38">
        <w:rPr>
          <w:rFonts w:asciiTheme="majorHAnsi" w:hAnsiTheme="majorHAnsi" w:cstheme="majorHAnsi"/>
        </w:rPr>
        <w:t xml:space="preserve"> (accessed December 14, 2020).</w:t>
      </w:r>
    </w:p>
  </w:footnote>
  <w:footnote w:id="38">
    <w:p w14:paraId="4ACFCE6F"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40" w:history="1">
        <w:r w:rsidRPr="00CE1B38">
          <w:rPr>
            <w:rStyle w:val="Hyperlink"/>
            <w:rFonts w:asciiTheme="majorHAnsi" w:hAnsiTheme="majorHAnsi" w:cstheme="majorHAnsi"/>
          </w:rPr>
          <w:t>https://www.cdc.gov/legionella/about/diagnosis.html</w:t>
        </w:r>
      </w:hyperlink>
      <w:r w:rsidRPr="00CE1B38">
        <w:rPr>
          <w:rFonts w:asciiTheme="majorHAnsi" w:hAnsiTheme="majorHAnsi" w:cstheme="majorHAnsi"/>
        </w:rPr>
        <w:t xml:space="preserve"> (accessed December 14, 2020).</w:t>
      </w:r>
    </w:p>
  </w:footnote>
  <w:footnote w:id="39">
    <w:p w14:paraId="212F52B1"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41" w:history="1">
        <w:r w:rsidRPr="00CE1B38">
          <w:rPr>
            <w:rStyle w:val="Hyperlink"/>
            <w:rFonts w:asciiTheme="majorHAnsi" w:hAnsiTheme="majorHAnsi" w:cstheme="majorHAnsi"/>
          </w:rPr>
          <w:t>https://www.cdc.gov/legionella/about/diagnosis.html</w:t>
        </w:r>
      </w:hyperlink>
      <w:r w:rsidRPr="00CE1B38">
        <w:rPr>
          <w:rFonts w:asciiTheme="majorHAnsi" w:hAnsiTheme="majorHAnsi" w:cstheme="majorHAnsi"/>
        </w:rPr>
        <w:t xml:space="preserve"> (accessed December 14, 2020).</w:t>
      </w:r>
    </w:p>
  </w:footnote>
  <w:footnote w:id="40">
    <w:p w14:paraId="2F840607"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for Clinicians. Diagnosis, Treatment, and Complications. Webpage last reviewed April 30, 2018. Retrieved from </w:t>
      </w:r>
      <w:hyperlink r:id="rId42" w:history="1">
        <w:r w:rsidRPr="00CE1B38">
          <w:rPr>
            <w:rStyle w:val="Hyperlink"/>
            <w:rFonts w:asciiTheme="majorHAnsi" w:hAnsiTheme="majorHAnsi" w:cstheme="majorHAnsi"/>
          </w:rPr>
          <w:t>https://www.cdc.gov/legionella/about/diagnosis.html</w:t>
        </w:r>
      </w:hyperlink>
      <w:r w:rsidRPr="00CE1B38">
        <w:rPr>
          <w:rFonts w:asciiTheme="majorHAnsi" w:hAnsiTheme="majorHAnsi" w:cstheme="majorHAnsi"/>
        </w:rPr>
        <w:t xml:space="preserve"> (accessed December 14, 2020).</w:t>
      </w:r>
    </w:p>
  </w:footnote>
  <w:footnote w:id="41">
    <w:p w14:paraId="76E7F715"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4" w:name="_Hlk58787639"/>
      <w:r w:rsidRPr="00CE1B38">
        <w:rPr>
          <w:rFonts w:asciiTheme="majorHAnsi" w:hAnsiTheme="majorHAnsi" w:cstheme="majorHAnsi"/>
        </w:rPr>
        <w:t xml:space="preserve">CSTE. Position Statement 19-ID-04. June 6, 2019. Revision to the Case Definition for National Legionellosis Surveillance. Retrieved from </w:t>
      </w:r>
      <w:hyperlink r:id="rId43"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w:t>
      </w:r>
      <w:bookmarkEnd w:id="4"/>
      <w:r w:rsidRPr="00CE1B38">
        <w:rPr>
          <w:rFonts w:asciiTheme="majorHAnsi" w:hAnsiTheme="majorHAnsi" w:cstheme="majorHAnsi"/>
        </w:rPr>
        <w:t xml:space="preserve">(accessed December 14, 2020). </w:t>
      </w:r>
      <w:r w:rsidRPr="00CE1B38">
        <w:rPr>
          <w:rFonts w:asciiTheme="majorHAnsi" w:hAnsiTheme="majorHAnsi" w:cstheme="majorHAnsi"/>
          <w:i/>
          <w:iCs/>
        </w:rPr>
        <w:t>For prior position statement,</w:t>
      </w:r>
      <w:r w:rsidRPr="00CE1B38">
        <w:rPr>
          <w:rFonts w:asciiTheme="majorHAnsi" w:hAnsiTheme="majorHAnsi" w:cstheme="majorHAnsi"/>
        </w:rPr>
        <w:t xml:space="preserve"> s</w:t>
      </w:r>
      <w:r w:rsidRPr="00CE1B38">
        <w:rPr>
          <w:rFonts w:asciiTheme="majorHAnsi" w:hAnsiTheme="majorHAnsi" w:cstheme="majorHAnsi"/>
          <w:i/>
          <w:iCs/>
        </w:rPr>
        <w:t xml:space="preserve">ee </w:t>
      </w:r>
      <w:r w:rsidRPr="00CE1B38">
        <w:rPr>
          <w:rFonts w:asciiTheme="majorHAnsi" w:hAnsiTheme="majorHAnsi" w:cstheme="majorHAnsi"/>
        </w:rPr>
        <w:t xml:space="preserve">CSTE. Position Statement 09-ID-45. Public Health Reporting and National Notification for Legionellosis. June 22, 2010. Retrieved from </w:t>
      </w:r>
      <w:hyperlink r:id="rId44" w:history="1">
        <w:r w:rsidRPr="00CE1B38">
          <w:rPr>
            <w:rStyle w:val="Hyperlink"/>
            <w:rFonts w:asciiTheme="majorHAnsi" w:hAnsiTheme="majorHAnsi" w:cstheme="majorHAnsi"/>
          </w:rPr>
          <w:t>https://cdn.ymaws.com/www.cste.org/resource/resmgr/PS/09-ID-45.pdf</w:t>
        </w:r>
      </w:hyperlink>
      <w:r w:rsidRPr="00CE1B38">
        <w:rPr>
          <w:rFonts w:asciiTheme="majorHAnsi" w:hAnsiTheme="majorHAnsi" w:cstheme="majorHAnsi"/>
        </w:rPr>
        <w:t xml:space="preserve"> (accessed December 14, 2020).</w:t>
      </w:r>
    </w:p>
  </w:footnote>
  <w:footnote w:id="42">
    <w:p w14:paraId="3BFED7D7"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How to Report Cases. Webpage last updated by CDC April 30, 2018. Retrieved from </w:t>
      </w:r>
      <w:hyperlink r:id="rId45" w:history="1">
        <w:r w:rsidRPr="00CE1B38">
          <w:rPr>
            <w:rStyle w:val="Hyperlink"/>
            <w:rFonts w:asciiTheme="majorHAnsi" w:hAnsiTheme="majorHAnsi" w:cstheme="majorHAnsi"/>
          </w:rPr>
          <w:t>https://www.cdc.gov/legionella/health-depts/surv-reporting/report-cases.html</w:t>
        </w:r>
      </w:hyperlink>
      <w:r w:rsidRPr="00CE1B38">
        <w:rPr>
          <w:rFonts w:asciiTheme="majorHAnsi" w:hAnsiTheme="majorHAnsi" w:cstheme="majorHAnsi"/>
        </w:rPr>
        <w:t xml:space="preserve"> (accessed December 14, 2020).</w:t>
      </w:r>
    </w:p>
  </w:footnote>
  <w:footnote w:id="43">
    <w:p w14:paraId="3AAB2CA5" w14:textId="77777777" w:rsidR="00A318FA" w:rsidRPr="00CE1B38" w:rsidRDefault="00A318FA" w:rsidP="00CD741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How to Report Cases. Webpage last updated by CDC April 30, 2018. Retrieved from </w:t>
      </w:r>
      <w:hyperlink r:id="rId46" w:history="1">
        <w:r w:rsidRPr="00CE1B38">
          <w:rPr>
            <w:rStyle w:val="Hyperlink"/>
            <w:rFonts w:asciiTheme="majorHAnsi" w:hAnsiTheme="majorHAnsi" w:cstheme="majorHAnsi"/>
          </w:rPr>
          <w:t>https://www.cdc.gov/legionella/health-depts/surv-reporting/report-cases.html</w:t>
        </w:r>
      </w:hyperlink>
      <w:r w:rsidRPr="00CE1B38">
        <w:rPr>
          <w:rFonts w:asciiTheme="majorHAnsi" w:hAnsiTheme="majorHAnsi" w:cstheme="majorHAnsi"/>
        </w:rPr>
        <w:t xml:space="preserve"> (accessed December 14, 2020).</w:t>
      </w:r>
    </w:p>
  </w:footnote>
  <w:footnote w:id="44">
    <w:p w14:paraId="561820B6" w14:textId="77777777" w:rsidR="00A318FA" w:rsidRPr="00CE1B38" w:rsidRDefault="00A318FA" w:rsidP="00031DE8">
      <w:pPr>
        <w:tabs>
          <w:tab w:val="left" w:pos="686"/>
        </w:tabs>
        <w:rPr>
          <w:rFonts w:asciiTheme="majorHAnsi" w:hAnsiTheme="majorHAnsi" w:cstheme="majorHAnsi"/>
          <w:b/>
          <w:bCs/>
          <w:sz w:val="20"/>
          <w:szCs w:val="20"/>
        </w:rPr>
      </w:pPr>
      <w:r w:rsidRPr="00CE1B38">
        <w:rPr>
          <w:rFonts w:asciiTheme="majorHAnsi" w:hAnsiTheme="majorHAnsi" w:cstheme="majorHAnsi"/>
          <w:b/>
          <w:bCs/>
          <w:sz w:val="20"/>
          <w:szCs w:val="20"/>
          <w:highlight w:val="yellow"/>
        </w:rPr>
        <w:t>Footnotes will be streamlined and edited to style guide once text is finalized</w:t>
      </w:r>
    </w:p>
    <w:p w14:paraId="76ABCABE" w14:textId="77777777" w:rsidR="00A318FA" w:rsidRPr="00CE1B38" w:rsidRDefault="00A318FA" w:rsidP="00031DE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Holt, JD, et al. (2018) Legal Considerations. In Rasmussen SA and Goodman RA. The CDC Field Epidemiology Manual. New York: Oxford University Press, 2019. CDC. Retrieved from </w:t>
      </w:r>
      <w:hyperlink r:id="rId47" w:history="1">
        <w:r w:rsidRPr="00CE1B38">
          <w:rPr>
            <w:rStyle w:val="Hyperlink"/>
            <w:rFonts w:asciiTheme="majorHAnsi" w:hAnsiTheme="majorHAnsi" w:cstheme="majorHAnsi"/>
          </w:rPr>
          <w:t>https://www.cdc.gov/eis/field-epi-manual/chapters/Legal.html</w:t>
        </w:r>
      </w:hyperlink>
      <w:r w:rsidRPr="00CE1B38">
        <w:rPr>
          <w:rFonts w:asciiTheme="majorHAnsi" w:hAnsiTheme="majorHAnsi" w:cstheme="majorHAnsi"/>
        </w:rPr>
        <w:t>. Accessed December 12, 2020.</w:t>
      </w:r>
    </w:p>
  </w:footnote>
  <w:footnote w:id="45">
    <w:p w14:paraId="378DD90E" w14:textId="77777777" w:rsidR="00A318FA" w:rsidRPr="00CE1B38" w:rsidRDefault="00A318FA" w:rsidP="00031DE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Tribal Public Health. Tribal Public Health Law Resources webpage. Webpage last reviewed by CDC March 2, 2017. Retrieved from </w:t>
      </w:r>
      <w:hyperlink r:id="rId48" w:history="1">
        <w:r w:rsidRPr="00CE1B38">
          <w:rPr>
            <w:rStyle w:val="Hyperlink"/>
            <w:rFonts w:asciiTheme="majorHAnsi" w:hAnsiTheme="majorHAnsi" w:cstheme="majorHAnsi"/>
          </w:rPr>
          <w:t>https://www.cdc.gov/phlp/publications/topic/tribal.html</w:t>
        </w:r>
      </w:hyperlink>
      <w:r w:rsidRPr="00CE1B38">
        <w:rPr>
          <w:rFonts w:asciiTheme="majorHAnsi" w:hAnsiTheme="majorHAnsi" w:cstheme="majorHAnsi"/>
        </w:rPr>
        <w:t xml:space="preserve">. Accessed December 12, 2020. </w:t>
      </w:r>
    </w:p>
  </w:footnote>
  <w:footnote w:id="46">
    <w:p w14:paraId="57CCB5A4" w14:textId="77777777" w:rsidR="00A318FA" w:rsidRPr="00CE1B38" w:rsidRDefault="00A318FA" w:rsidP="00031DE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U.S. Const. art. IV, § 3, cl. 2.</w:t>
      </w:r>
    </w:p>
  </w:footnote>
  <w:footnote w:id="47">
    <w:p w14:paraId="63614053" w14:textId="5DDF95CD" w:rsidR="00A318FA" w:rsidRPr="00CE1B38" w:rsidRDefault="00A318FA" w:rsidP="00031DE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Jacobson v. Massachusetts, 197 US 11; 25 S. Ct. 358 (1905).</w:t>
      </w:r>
      <w:r>
        <w:rPr>
          <w:rFonts w:asciiTheme="majorHAnsi" w:hAnsiTheme="majorHAnsi" w:cstheme="majorHAnsi"/>
        </w:rPr>
        <w:t xml:space="preserve"> </w:t>
      </w:r>
      <w:r w:rsidR="0032796E" w:rsidRPr="0032796E">
        <w:rPr>
          <w:rFonts w:asciiTheme="majorHAnsi" w:hAnsiTheme="majorHAnsi" w:cstheme="majorHAnsi"/>
          <w:i/>
          <w:iCs/>
          <w:highlight w:val="yellow"/>
        </w:rPr>
        <w:t>Need to add note re: recent &amp; upcoming Supreme Court decisions</w:t>
      </w:r>
      <w:r w:rsidR="0032796E">
        <w:rPr>
          <w:rFonts w:asciiTheme="majorHAnsi" w:hAnsiTheme="majorHAnsi" w:cstheme="majorHAnsi"/>
          <w:i/>
          <w:iCs/>
          <w:highlight w:val="yellow"/>
        </w:rPr>
        <w:t xml:space="preserve"> re: COVID-19 authorities</w:t>
      </w:r>
      <w:r w:rsidR="0032796E" w:rsidRPr="0032796E">
        <w:rPr>
          <w:rFonts w:asciiTheme="majorHAnsi" w:hAnsiTheme="majorHAnsi" w:cstheme="majorHAnsi"/>
          <w:i/>
          <w:iCs/>
          <w:highlight w:val="yellow"/>
        </w:rPr>
        <w:t xml:space="preserve"> implicating Jacobson</w:t>
      </w:r>
      <w:r w:rsidR="0032796E" w:rsidRPr="0032796E">
        <w:rPr>
          <w:rFonts w:asciiTheme="majorHAnsi" w:hAnsiTheme="majorHAnsi" w:cstheme="majorHAnsi"/>
          <w:i/>
          <w:iCs/>
        </w:rPr>
        <w:t xml:space="preserve"> </w:t>
      </w:r>
    </w:p>
  </w:footnote>
  <w:footnote w:id="48">
    <w:p w14:paraId="24ED91A3" w14:textId="77777777" w:rsidR="00A318FA" w:rsidRPr="00CE1B38" w:rsidRDefault="00A318FA" w:rsidP="00031DE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ASTHO. Profile of State and Territorial Public Health Dashboard: Governance. (2019) Retrieved from </w:t>
      </w:r>
      <w:hyperlink r:id="rId49" w:history="1">
        <w:r w:rsidRPr="00CE1B38">
          <w:rPr>
            <w:rStyle w:val="Hyperlink"/>
            <w:rFonts w:asciiTheme="majorHAnsi" w:hAnsiTheme="majorHAnsi" w:cstheme="majorHAnsi"/>
          </w:rPr>
          <w:t>https://www.astho.org/profile/</w:t>
        </w:r>
      </w:hyperlink>
      <w:r w:rsidRPr="00CE1B38">
        <w:rPr>
          <w:rFonts w:asciiTheme="majorHAnsi" w:hAnsiTheme="majorHAnsi" w:cstheme="majorHAnsi"/>
        </w:rPr>
        <w:t>. Accessed December 16, 2020.</w:t>
      </w:r>
    </w:p>
  </w:footnote>
  <w:footnote w:id="49">
    <w:p w14:paraId="48F8D9C1" w14:textId="77777777" w:rsidR="00A318FA" w:rsidRPr="00CE1B38" w:rsidRDefault="00A318FA" w:rsidP="00031DE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CSTE. Position Statement 19-ID-04. June 6, 2019. Revision to the Case Definition for National Legionellosis Surveillance. Retrieved from </w:t>
      </w:r>
      <w:hyperlink r:id="rId50" w:history="1">
        <w:r w:rsidRPr="00CE1B38">
          <w:rPr>
            <w:rStyle w:val="Hyperlink"/>
            <w:rFonts w:asciiTheme="majorHAnsi" w:hAnsiTheme="majorHAnsi" w:cstheme="majorHAnsi"/>
          </w:rPr>
          <w:t>https://cdn.ymaws.com/www.cste.org/resource/resmgr/2019ps/final/19-ID-04_Legionellosis_final.pdf</w:t>
        </w:r>
      </w:hyperlink>
      <w:r w:rsidRPr="00CE1B38">
        <w:rPr>
          <w:rFonts w:asciiTheme="majorHAnsi" w:hAnsiTheme="majorHAnsi" w:cstheme="majorHAnsi"/>
        </w:rPr>
        <w:t xml:space="preserve">. Accessed August 27, 2020. </w:t>
      </w:r>
      <w:r w:rsidRPr="00CE1B38">
        <w:rPr>
          <w:rFonts w:asciiTheme="majorHAnsi" w:hAnsiTheme="majorHAnsi" w:cstheme="majorHAnsi"/>
          <w:i/>
          <w:iCs/>
        </w:rPr>
        <w:t>For prior position statement,</w:t>
      </w:r>
      <w:r w:rsidRPr="00CE1B38">
        <w:rPr>
          <w:rFonts w:asciiTheme="majorHAnsi" w:hAnsiTheme="majorHAnsi" w:cstheme="majorHAnsi"/>
        </w:rPr>
        <w:t xml:space="preserve"> s</w:t>
      </w:r>
      <w:r w:rsidRPr="00CE1B38">
        <w:rPr>
          <w:rFonts w:asciiTheme="majorHAnsi" w:hAnsiTheme="majorHAnsi" w:cstheme="majorHAnsi"/>
          <w:i/>
          <w:iCs/>
        </w:rPr>
        <w:t xml:space="preserve">ee </w:t>
      </w:r>
      <w:r w:rsidRPr="00CE1B38">
        <w:rPr>
          <w:rFonts w:asciiTheme="majorHAnsi" w:hAnsiTheme="majorHAnsi" w:cstheme="majorHAnsi"/>
        </w:rPr>
        <w:t xml:space="preserve">CSTE. Position Statement 09-ID-45. Public Health Reporting and National Notification for Legionellosis. June 22, 2010. Retrieved from </w:t>
      </w:r>
      <w:hyperlink r:id="rId51" w:history="1">
        <w:r w:rsidRPr="00CE1B38">
          <w:rPr>
            <w:rStyle w:val="Hyperlink"/>
            <w:rFonts w:asciiTheme="majorHAnsi" w:hAnsiTheme="majorHAnsi" w:cstheme="majorHAnsi"/>
          </w:rPr>
          <w:t>https://cdn.ymaws.com/www.cste.org/resource/resmgr/PS/09-ID-45.pdf</w:t>
        </w:r>
      </w:hyperlink>
      <w:r w:rsidRPr="00CE1B38">
        <w:rPr>
          <w:rFonts w:asciiTheme="majorHAnsi" w:hAnsiTheme="majorHAnsi" w:cstheme="majorHAnsi"/>
        </w:rPr>
        <w:t>. Accessed August 27, 2020.</w:t>
      </w:r>
    </w:p>
  </w:footnote>
  <w:footnote w:id="50">
    <w:p w14:paraId="0DC69C28" w14:textId="77777777" w:rsidR="00A318FA" w:rsidRPr="00CE1B38" w:rsidRDefault="00A318FA" w:rsidP="00031DE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Legionella (Legionnaires' Disease and Pontiac Fever) How to Report Cases. Webpage last updated by CDC April 30, 2018. Retrieved from </w:t>
      </w:r>
      <w:hyperlink r:id="rId52" w:history="1">
        <w:r w:rsidRPr="00CE1B38">
          <w:rPr>
            <w:rStyle w:val="Hyperlink"/>
            <w:rFonts w:asciiTheme="majorHAnsi" w:hAnsiTheme="majorHAnsi" w:cstheme="majorHAnsi"/>
          </w:rPr>
          <w:t>https://www.cdc.gov/legionella/health-depts/surv-reporting/report-cases.html</w:t>
        </w:r>
      </w:hyperlink>
      <w:r w:rsidRPr="00CE1B38">
        <w:rPr>
          <w:rFonts w:asciiTheme="majorHAnsi" w:hAnsiTheme="majorHAnsi" w:cstheme="majorHAnsi"/>
        </w:rPr>
        <w:t>. Accessed August 27, 2020.</w:t>
      </w:r>
    </w:p>
  </w:footnote>
  <w:footnote w:id="51">
    <w:p w14:paraId="13054B54" w14:textId="77777777" w:rsidR="00A318FA" w:rsidRPr="00CE1B38" w:rsidRDefault="00A318FA" w:rsidP="00CE1B38">
      <w:pPr>
        <w:tabs>
          <w:tab w:val="left" w:pos="686"/>
        </w:tabs>
        <w:rPr>
          <w:rFonts w:asciiTheme="majorHAnsi" w:hAnsiTheme="majorHAnsi" w:cstheme="majorHAnsi"/>
          <w:b/>
          <w:bCs/>
          <w:sz w:val="20"/>
          <w:szCs w:val="20"/>
        </w:rPr>
      </w:pPr>
      <w:r w:rsidRPr="00CE1B38">
        <w:rPr>
          <w:rFonts w:asciiTheme="majorHAnsi" w:hAnsiTheme="majorHAnsi" w:cstheme="majorHAnsi"/>
          <w:b/>
          <w:bCs/>
          <w:sz w:val="20"/>
          <w:szCs w:val="20"/>
          <w:highlight w:val="yellow"/>
        </w:rPr>
        <w:t>Footnotes will be streamlined and edited to style guide once text is finalized</w:t>
      </w:r>
    </w:p>
    <w:p w14:paraId="4D2791FB"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FOI laws may be known by a number of names, including open records, public records, open meetings, and/or sunshine laws. These statutes—or the regulations implementing them—will also include specifics about processes for requesting, allowable costs and charges for fulfilling the request, timeframes for responding to a request, and processing for appealing denied requests.</w:t>
      </w:r>
    </w:p>
  </w:footnote>
  <w:footnote w:id="52">
    <w:p w14:paraId="02183A6E"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Public Law No. 89-487; Codified at 5 U.S.C. § 552.</w:t>
      </w:r>
    </w:p>
  </w:footnote>
  <w:footnote w:id="53">
    <w:p w14:paraId="7686452E"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For an overview of the federal FOIA, </w:t>
      </w:r>
      <w:r w:rsidRPr="00CE1B38">
        <w:rPr>
          <w:rFonts w:asciiTheme="majorHAnsi" w:hAnsiTheme="majorHAnsi" w:cstheme="majorHAnsi"/>
          <w:i/>
          <w:iCs/>
        </w:rPr>
        <w:t>see</w:t>
      </w:r>
      <w:r w:rsidRPr="00CE1B38">
        <w:rPr>
          <w:rFonts w:asciiTheme="majorHAnsi" w:hAnsiTheme="majorHAnsi" w:cstheme="majorHAnsi"/>
        </w:rPr>
        <w:t xml:space="preserve"> Berger M. The Freedom of Information Act: implications for public health policy and practice. Public Health Rep. 2011;126(3):428-432. Retrieved from </w:t>
      </w:r>
      <w:hyperlink r:id="rId53" w:history="1">
        <w:r w:rsidRPr="00CE1B38">
          <w:rPr>
            <w:rStyle w:val="Hyperlink"/>
            <w:rFonts w:asciiTheme="majorHAnsi" w:hAnsiTheme="majorHAnsi" w:cstheme="majorHAnsi"/>
          </w:rPr>
          <w:t>https://dx.doi.org/10.1177%2F003335491112600317</w:t>
        </w:r>
      </w:hyperlink>
      <w:r w:rsidRPr="00CE1B38">
        <w:rPr>
          <w:rFonts w:asciiTheme="majorHAnsi" w:hAnsiTheme="majorHAnsi" w:cstheme="majorHAnsi"/>
        </w:rPr>
        <w:t xml:space="preserve">. Accessed December 15, 2020.  </w:t>
      </w:r>
    </w:p>
  </w:footnote>
  <w:footnote w:id="54">
    <w:p w14:paraId="1818F0E6"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Berger M. The Freedom of Information Act: Implications for Public Health Policy and Practice. Public Health Rep. 2011;126(3):428-432. Retrieved from </w:t>
      </w:r>
      <w:hyperlink r:id="rId54" w:history="1">
        <w:r w:rsidRPr="00CE1B38">
          <w:rPr>
            <w:rStyle w:val="Hyperlink"/>
            <w:rFonts w:asciiTheme="majorHAnsi" w:hAnsiTheme="majorHAnsi" w:cstheme="majorHAnsi"/>
          </w:rPr>
          <w:t>https://dx.doi.org/10.1177%2F003335491112600317</w:t>
        </w:r>
      </w:hyperlink>
      <w:r w:rsidRPr="00CE1B38">
        <w:rPr>
          <w:rFonts w:asciiTheme="majorHAnsi" w:hAnsiTheme="majorHAnsi" w:cstheme="majorHAnsi"/>
        </w:rPr>
        <w:t xml:space="preserve">. Accessed December 15, 2020.  </w:t>
      </w:r>
      <w:r w:rsidRPr="00CE1B38">
        <w:rPr>
          <w:rFonts w:asciiTheme="majorHAnsi" w:hAnsiTheme="majorHAnsi" w:cstheme="majorHAnsi"/>
          <w:i/>
          <w:iCs/>
        </w:rPr>
        <w:t>Also see</w:t>
      </w:r>
      <w:r w:rsidRPr="00CE1B38">
        <w:rPr>
          <w:rFonts w:asciiTheme="majorHAnsi" w:hAnsiTheme="majorHAnsi" w:cstheme="majorHAnsi"/>
        </w:rPr>
        <w:t xml:space="preserve"> </w:t>
      </w:r>
      <w:bookmarkStart w:id="5" w:name="_Hlk48659799"/>
      <w:r w:rsidRPr="00CE1B38">
        <w:rPr>
          <w:rFonts w:asciiTheme="majorHAnsi" w:hAnsiTheme="majorHAnsi" w:cstheme="majorHAnsi"/>
        </w:rPr>
        <w:t xml:space="preserve">The Reporters Committee for Freedom of the Press. Open Government Guide. 2019. Retrieved from </w:t>
      </w:r>
      <w:hyperlink r:id="rId55" w:history="1">
        <w:r w:rsidRPr="00CE1B38">
          <w:rPr>
            <w:rStyle w:val="Hyperlink"/>
            <w:rFonts w:asciiTheme="majorHAnsi" w:hAnsiTheme="majorHAnsi" w:cstheme="majorHAnsi"/>
          </w:rPr>
          <w:t>https://www.rcfp.org/open-government-guide/</w:t>
        </w:r>
      </w:hyperlink>
      <w:r w:rsidRPr="00CE1B38">
        <w:rPr>
          <w:rFonts w:asciiTheme="majorHAnsi" w:hAnsiTheme="majorHAnsi" w:cstheme="majorHAnsi"/>
        </w:rPr>
        <w:t xml:space="preserve">. </w:t>
      </w:r>
      <w:bookmarkEnd w:id="5"/>
      <w:r w:rsidRPr="00CE1B38">
        <w:rPr>
          <w:rFonts w:asciiTheme="majorHAnsi" w:hAnsiTheme="majorHAnsi" w:cstheme="majorHAnsi"/>
        </w:rPr>
        <w:t>Accessed December 15, 2020.</w:t>
      </w:r>
    </w:p>
  </w:footnote>
  <w:footnote w:id="55">
    <w:p w14:paraId="0FDE636D"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w:t>
      </w:r>
      <w:proofErr w:type="gramStart"/>
      <w:r w:rsidRPr="00CE1B38">
        <w:rPr>
          <w:rFonts w:asciiTheme="majorHAnsi" w:hAnsiTheme="majorHAnsi" w:cstheme="majorHAnsi"/>
        </w:rPr>
        <w:t>Personally</w:t>
      </w:r>
      <w:proofErr w:type="gramEnd"/>
      <w:r w:rsidRPr="00CE1B38">
        <w:rPr>
          <w:rFonts w:asciiTheme="majorHAnsi" w:hAnsiTheme="majorHAnsi" w:cstheme="majorHAnsi"/>
        </w:rPr>
        <w:t xml:space="preserve"> identifying information. 2019. Retrieved from </w:t>
      </w:r>
      <w:hyperlink r:id="rId56" w:history="1">
        <w:r w:rsidRPr="00CE1B38">
          <w:rPr>
            <w:rStyle w:val="Hyperlink"/>
            <w:rFonts w:asciiTheme="majorHAnsi" w:hAnsiTheme="majorHAnsi" w:cstheme="majorHAnsi"/>
          </w:rPr>
          <w:t>https://www.rcfp.org/open-government-sections/4-personally-identifying-information/</w:t>
        </w:r>
      </w:hyperlink>
      <w:r w:rsidRPr="00CE1B38">
        <w:rPr>
          <w:rFonts w:asciiTheme="majorHAnsi" w:hAnsiTheme="majorHAnsi" w:cstheme="majorHAnsi"/>
        </w:rPr>
        <w:t xml:space="preserve">. Accessed December 15, 2020. </w:t>
      </w:r>
      <w:r w:rsidRPr="00CE1B38">
        <w:rPr>
          <w:rFonts w:asciiTheme="majorHAnsi" w:hAnsiTheme="majorHAnsi" w:cstheme="majorHAnsi"/>
          <w:i/>
          <w:iCs/>
        </w:rPr>
        <w:t>See also</w:t>
      </w:r>
      <w:r w:rsidRPr="00CE1B38">
        <w:rPr>
          <w:rFonts w:asciiTheme="majorHAnsi" w:hAnsiTheme="majorHAnsi" w:cstheme="majorHAnsi"/>
        </w:rPr>
        <w:t xml:space="preserve"> O'Connor, J., &amp; Matthews, G. (2011). Informational privacy, public health, and state laws. American journal of public health, 101(10), 1845–1850. </w:t>
      </w:r>
      <w:hyperlink r:id="rId57" w:history="1">
        <w:r w:rsidRPr="00CE1B38">
          <w:rPr>
            <w:rStyle w:val="Hyperlink"/>
            <w:rFonts w:asciiTheme="majorHAnsi" w:hAnsiTheme="majorHAnsi" w:cstheme="majorHAnsi"/>
          </w:rPr>
          <w:t>https://doi.org/10.2105/AJPH.2011.300206</w:t>
        </w:r>
      </w:hyperlink>
      <w:r w:rsidRPr="00CE1B38">
        <w:rPr>
          <w:rFonts w:asciiTheme="majorHAnsi" w:hAnsiTheme="majorHAnsi" w:cstheme="majorHAnsi"/>
        </w:rPr>
        <w:t>. Accessed December 15, 2020.</w:t>
      </w:r>
    </w:p>
  </w:footnote>
  <w:footnote w:id="56">
    <w:p w14:paraId="61990518"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i/>
          <w:iCs/>
        </w:rPr>
        <w:t xml:space="preserve"> For example, see</w:t>
      </w:r>
      <w:r w:rsidRPr="00CE1B38">
        <w:rPr>
          <w:rFonts w:asciiTheme="majorHAnsi" w:hAnsiTheme="majorHAnsi" w:cstheme="majorHAnsi"/>
        </w:rPr>
        <w:t xml:space="preserve"> FCC v. AT&amp;T, 562 U.S.397 (2011). In interpreting the federal Freedom of Information Act, the U.S. Supreme Court held that corporations do not have "personal privacy" for the purposes of exempting personal information contained in law enforcement records.</w:t>
      </w:r>
    </w:p>
  </w:footnote>
  <w:footnote w:id="57">
    <w:p w14:paraId="466541E9"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Business records, financial data, trade secrets. 2019. Retrieved from  </w:t>
      </w:r>
      <w:hyperlink r:id="rId58" w:history="1">
        <w:r w:rsidRPr="00CE1B38">
          <w:rPr>
            <w:rStyle w:val="Hyperlink"/>
            <w:rFonts w:asciiTheme="majorHAnsi" w:hAnsiTheme="majorHAnsi" w:cstheme="majorHAnsi"/>
          </w:rPr>
          <w:t>https://www.rcfp.org/open-government-sections/b-other-statutory-exclusions/</w:t>
        </w:r>
      </w:hyperlink>
      <w:r w:rsidRPr="00CE1B38">
        <w:rPr>
          <w:rFonts w:asciiTheme="majorHAnsi" w:hAnsiTheme="majorHAnsi" w:cstheme="majorHAnsi"/>
        </w:rPr>
        <w:t xml:space="preserve">. Accessed December 15, 2020. </w:t>
      </w:r>
      <w:r w:rsidRPr="00CE1B38">
        <w:rPr>
          <w:rFonts w:asciiTheme="majorHAnsi" w:hAnsiTheme="majorHAnsi" w:cstheme="majorHAnsi"/>
          <w:i/>
          <w:iCs/>
        </w:rPr>
        <w:t>See also</w:t>
      </w:r>
      <w:r w:rsidRPr="00CE1B38">
        <w:rPr>
          <w:rFonts w:asciiTheme="majorHAnsi" w:hAnsiTheme="majorHAnsi" w:cstheme="majorHAnsi"/>
        </w:rPr>
        <w:t xml:space="preserve"> The Reporters Committee for Freedom of the Press. Hospital reports. Open Government Guide.  </w:t>
      </w:r>
      <w:hyperlink r:id="rId59" w:history="1">
        <w:r w:rsidRPr="00CE1B38">
          <w:rPr>
            <w:rStyle w:val="Hyperlink"/>
            <w:rFonts w:asciiTheme="majorHAnsi" w:hAnsiTheme="majorHAnsi" w:cstheme="majorHAnsi"/>
          </w:rPr>
          <w:t>https://www.rcfp.org/open-government-sections/m-hospital-reports/</w:t>
        </w:r>
      </w:hyperlink>
      <w:r w:rsidRPr="00CE1B38">
        <w:rPr>
          <w:rFonts w:asciiTheme="majorHAnsi" w:hAnsiTheme="majorHAnsi" w:cstheme="majorHAnsi"/>
        </w:rPr>
        <w:t>. Accessed December 15, 2020.</w:t>
      </w:r>
    </w:p>
  </w:footnote>
  <w:footnote w:id="58">
    <w:p w14:paraId="359E5978"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Business records, financial data, trade secrets. 2019. Retrieved from  </w:t>
      </w:r>
      <w:hyperlink r:id="rId60" w:history="1">
        <w:r w:rsidRPr="00CE1B38">
          <w:rPr>
            <w:rStyle w:val="Hyperlink"/>
            <w:rFonts w:asciiTheme="majorHAnsi" w:hAnsiTheme="majorHAnsi" w:cstheme="majorHAnsi"/>
          </w:rPr>
          <w:t>https://www.rcfp.org/open-government-sections/b-other-statutory-exclusions/</w:t>
        </w:r>
      </w:hyperlink>
      <w:r w:rsidRPr="00CE1B38">
        <w:rPr>
          <w:rFonts w:asciiTheme="majorHAnsi" w:hAnsiTheme="majorHAnsi" w:cstheme="majorHAnsi"/>
        </w:rPr>
        <w:t>. Accessed December 15, 2020.</w:t>
      </w:r>
    </w:p>
  </w:footnote>
  <w:footnote w:id="59">
    <w:p w14:paraId="16DB118F"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O'Connor, J.  Informational Privacy Protections: Do State Laws Offer Public Health Leaders the Flexibility They Need? 2009. Retrieved from </w:t>
      </w:r>
      <w:hyperlink r:id="rId61" w:history="1">
        <w:r w:rsidRPr="00CE1B38">
          <w:rPr>
            <w:rStyle w:val="Hyperlink"/>
            <w:rFonts w:asciiTheme="majorHAnsi" w:hAnsiTheme="majorHAnsi" w:cstheme="majorHAnsi"/>
          </w:rPr>
          <w:t>https://cdr.lib.unc.edu/concern/parent/zk51vj062/file_sets/8049g647g</w:t>
        </w:r>
      </w:hyperlink>
      <w:r w:rsidRPr="00CE1B38">
        <w:rPr>
          <w:rFonts w:asciiTheme="majorHAnsi" w:hAnsiTheme="majorHAnsi" w:cstheme="majorHAnsi"/>
        </w:rPr>
        <w:t>. Accessed December 15, 2020.</w:t>
      </w:r>
    </w:p>
  </w:footnote>
  <w:footnote w:id="60">
    <w:p w14:paraId="6D3D60EE"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Other statutory exclusions. 2019. Retrieved from </w:t>
      </w:r>
      <w:hyperlink r:id="rId62" w:history="1">
        <w:r w:rsidRPr="00CE1B38">
          <w:rPr>
            <w:rStyle w:val="Hyperlink"/>
            <w:rFonts w:asciiTheme="majorHAnsi" w:hAnsiTheme="majorHAnsi" w:cstheme="majorHAnsi"/>
          </w:rPr>
          <w:t>https://www.rcfp.org/open-government-sections/e-business-records-financial-data-trade-secrets/</w:t>
        </w:r>
      </w:hyperlink>
      <w:r w:rsidRPr="00CE1B38">
        <w:rPr>
          <w:rFonts w:asciiTheme="majorHAnsi" w:hAnsiTheme="majorHAnsi" w:cstheme="majorHAnsi"/>
        </w:rPr>
        <w:t>. Accessed December 15, 2020.</w:t>
      </w:r>
    </w:p>
  </w:footnote>
  <w:footnote w:id="61">
    <w:p w14:paraId="66BC7D53"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Administrative enforcement records. 2019. Retrieved from </w:t>
      </w:r>
      <w:hyperlink r:id="rId63" w:history="1">
        <w:r w:rsidRPr="00CE1B38">
          <w:rPr>
            <w:rStyle w:val="Hyperlink"/>
            <w:rFonts w:asciiTheme="majorHAnsi" w:hAnsiTheme="majorHAnsi" w:cstheme="majorHAnsi"/>
          </w:rPr>
          <w:t>https://www.rcfp.org/open-government-sections/b-administrative-enforcement-records-e-g-worker-safety-and-health-inspections-or-accident-investigations/</w:t>
        </w:r>
      </w:hyperlink>
      <w:r w:rsidRPr="00CE1B38">
        <w:rPr>
          <w:rFonts w:asciiTheme="majorHAnsi" w:hAnsiTheme="majorHAnsi" w:cstheme="majorHAnsi"/>
        </w:rPr>
        <w:t>. Accessed December 15, 2020.</w:t>
      </w:r>
    </w:p>
  </w:footnote>
  <w:footnote w:id="62">
    <w:p w14:paraId="6820C486"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Administrative enforcement records. 2019. Retrieved from </w:t>
      </w:r>
      <w:hyperlink r:id="rId64" w:history="1">
        <w:r w:rsidRPr="00CE1B38">
          <w:rPr>
            <w:rStyle w:val="Hyperlink"/>
            <w:rFonts w:asciiTheme="majorHAnsi" w:hAnsiTheme="majorHAnsi" w:cstheme="majorHAnsi"/>
          </w:rPr>
          <w:t>https://www.rcfp.org/open-government-sections/b-administrative-enforcement-records-e-g-worker-safety-and-health-inspections-or-accident-investigations/</w:t>
        </w:r>
      </w:hyperlink>
      <w:r w:rsidRPr="00CE1B38">
        <w:rPr>
          <w:rFonts w:asciiTheme="majorHAnsi" w:hAnsiTheme="majorHAnsi" w:cstheme="majorHAnsi"/>
        </w:rPr>
        <w:t>. December 15, 2020.</w:t>
      </w:r>
    </w:p>
  </w:footnote>
  <w:footnote w:id="63">
    <w:p w14:paraId="4C202DAF"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Professional licensing records. 2019. Retrieved from </w:t>
      </w:r>
      <w:hyperlink r:id="rId65" w:history="1">
        <w:r w:rsidRPr="00CE1B38">
          <w:rPr>
            <w:rStyle w:val="Hyperlink"/>
            <w:rFonts w:asciiTheme="majorHAnsi" w:hAnsiTheme="majorHAnsi" w:cstheme="majorHAnsi"/>
          </w:rPr>
          <w:t>https://www.rcfp.org/open-government-sections/q-professional-licensing-records/</w:t>
        </w:r>
      </w:hyperlink>
      <w:r w:rsidRPr="00CE1B38">
        <w:rPr>
          <w:rFonts w:asciiTheme="majorHAnsi" w:hAnsiTheme="majorHAnsi" w:cstheme="majorHAnsi"/>
        </w:rPr>
        <w:t>.</w:t>
      </w:r>
    </w:p>
  </w:footnote>
  <w:footnote w:id="64">
    <w:p w14:paraId="098566B9"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Reporters Committee for Freedom of the Press. Open Government Guide. Homeland security and anti-terrorism measures. 2019. Retrieved from </w:t>
      </w:r>
      <w:hyperlink r:id="rId66" w:history="1">
        <w:r w:rsidRPr="00CE1B38">
          <w:rPr>
            <w:rStyle w:val="Hyperlink"/>
            <w:rFonts w:asciiTheme="majorHAnsi" w:hAnsiTheme="majorHAnsi" w:cstheme="majorHAnsi"/>
          </w:rPr>
          <w:t>https://www.rcfp.org/open-government-sections/l-homeland-security-and-anti-terrorism-measures/</w:t>
        </w:r>
      </w:hyperlink>
      <w:r w:rsidRPr="00CE1B38">
        <w:rPr>
          <w:rFonts w:asciiTheme="majorHAnsi" w:hAnsiTheme="majorHAnsi" w:cstheme="majorHAnsi"/>
        </w:rPr>
        <w:t>Accessed December 15, 2020.</w:t>
      </w:r>
    </w:p>
  </w:footnote>
  <w:footnote w:id="65">
    <w:p w14:paraId="5DC27A02"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Association of Health Care Journalists, Association of State and Territorial Health Officials, and National Association of County and City Health Officials have developed guidance to assist public health officials and journalists in addressing the release of information concerning deaths, epidemics, and emerging diseases. Guidance on the Release of Information Concerning Deaths, Epidemics or Emerging Diseases. October 2010.  Retrieved from </w:t>
      </w:r>
      <w:hyperlink r:id="rId67" w:history="1">
        <w:r w:rsidRPr="00CE1B38">
          <w:rPr>
            <w:rStyle w:val="Hyperlink"/>
            <w:rFonts w:asciiTheme="majorHAnsi" w:hAnsiTheme="majorHAnsi" w:cstheme="majorHAnsi"/>
          </w:rPr>
          <w:t>http://healthjournalism.org/secondarypage-details.php?id=965</w:t>
        </w:r>
      </w:hyperlink>
      <w:r w:rsidRPr="00CE1B38">
        <w:rPr>
          <w:rFonts w:asciiTheme="majorHAnsi" w:hAnsiTheme="majorHAnsi" w:cstheme="majorHAnsi"/>
        </w:rPr>
        <w:t>. Accessed December 15, 2020.</w:t>
      </w:r>
    </w:p>
  </w:footnote>
  <w:footnote w:id="66">
    <w:p w14:paraId="08CF7E6A"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There are multiple federal laws across a range of topics related to privacy in addition to the two addressed here.  </w:t>
      </w:r>
      <w:r w:rsidRPr="00CE1B38">
        <w:rPr>
          <w:rFonts w:asciiTheme="majorHAnsi" w:hAnsiTheme="majorHAnsi" w:cstheme="majorHAnsi"/>
          <w:i/>
          <w:iCs/>
        </w:rPr>
        <w:t>See generally</w:t>
      </w:r>
      <w:r w:rsidRPr="00CE1B38">
        <w:rPr>
          <w:rFonts w:asciiTheme="majorHAnsi" w:hAnsiTheme="majorHAnsi" w:cstheme="majorHAnsi"/>
        </w:rPr>
        <w:t xml:space="preserve"> Center of Democracy and Technology. Existing Federal Privacy Laws. November 30, 2008. Webpage. Retrieved from </w:t>
      </w:r>
      <w:hyperlink r:id="rId68" w:history="1">
        <w:r w:rsidRPr="00CE1B38">
          <w:rPr>
            <w:rStyle w:val="Hyperlink"/>
            <w:rFonts w:asciiTheme="majorHAnsi" w:hAnsiTheme="majorHAnsi" w:cstheme="majorHAnsi"/>
          </w:rPr>
          <w:t>https://cdt.org/insights/existing-federal-privacy-laws/</w:t>
        </w:r>
      </w:hyperlink>
      <w:r w:rsidRPr="00CE1B38">
        <w:rPr>
          <w:rFonts w:asciiTheme="majorHAnsi" w:hAnsiTheme="majorHAnsi" w:cstheme="majorHAnsi"/>
        </w:rPr>
        <w:t>. Access December 15, 2020.</w:t>
      </w:r>
    </w:p>
  </w:footnote>
  <w:footnote w:id="67">
    <w:p w14:paraId="1B315A43"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Pub. L. 104-191, 42 U.S.C. § 300gg et seq.</w:t>
      </w:r>
    </w:p>
  </w:footnote>
  <w:footnote w:id="68">
    <w:p w14:paraId="4F608731"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eastAsia="Times New Roman" w:hAnsiTheme="majorHAnsi" w:cstheme="majorHAnsi"/>
        </w:rPr>
        <w:t xml:space="preserve">45 C.F.R. Parts 160 and 164. The rule defines “individually identifiable health information” to include data that can or could be reasonably used to identify an individual such as common identifiers (e.g., name, address, date of birth, or SSN), demographic data, information about the healthcare services provided, or the type of payment used. </w:t>
      </w:r>
      <w:r w:rsidRPr="00CE1B38">
        <w:rPr>
          <w:rFonts w:asciiTheme="majorHAnsi" w:hAnsiTheme="majorHAnsi" w:cstheme="majorHAnsi"/>
        </w:rPr>
        <w:t xml:space="preserve">HHS. Summary of HIPAA Privacy Rule. Webpage content last reviewed by HHS on July 26, 2013. Retrieved from </w:t>
      </w:r>
      <w:hyperlink r:id="rId69" w:history="1">
        <w:r w:rsidRPr="00CE1B38">
          <w:rPr>
            <w:rStyle w:val="Hyperlink"/>
            <w:rFonts w:asciiTheme="majorHAnsi" w:hAnsiTheme="majorHAnsi" w:cstheme="majorHAnsi"/>
          </w:rPr>
          <w:t>https://www.hhs.gov/hipaa/for-professionals/privacy/laws-regulations/index.html</w:t>
        </w:r>
      </w:hyperlink>
      <w:r w:rsidRPr="00CE1B38">
        <w:rPr>
          <w:rFonts w:asciiTheme="majorHAnsi" w:hAnsiTheme="majorHAnsi" w:cstheme="majorHAnsi"/>
        </w:rPr>
        <w:t>. Accessed December 15, 2020.</w:t>
      </w:r>
    </w:p>
  </w:footnote>
  <w:footnote w:id="69">
    <w:p w14:paraId="452F4E3F"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HHS. Standards for Privacy of Individually Identifiable Health Information. 45 C.F.R. Parts 160, 164.</w:t>
      </w:r>
    </w:p>
  </w:footnote>
  <w:footnote w:id="70">
    <w:p w14:paraId="42D9B2DC"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 “covered entity” is defined as a health plan, healthcare clearinghouse, and any healthcare provider that transmits health information in electronic form in connection with transactions for which the Secretary of HHS has adopted standards under HIPAA. 45 CFR §160.103.</w:t>
      </w:r>
    </w:p>
  </w:footnote>
  <w:footnote w:id="71">
    <w:p w14:paraId="34AF71F2"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 “hybrid entity” is a single legal entity that conducts both covered and noncovered activities under the Privacy Rule. 45 CFR §164.103. </w:t>
      </w:r>
      <w:r w:rsidRPr="00CE1B38">
        <w:rPr>
          <w:rFonts w:asciiTheme="majorHAnsi" w:eastAsia="Times New Roman" w:hAnsiTheme="majorHAnsi" w:cstheme="majorHAnsi"/>
          <w:color w:val="000000" w:themeColor="text1"/>
        </w:rPr>
        <w:t>A hybrid entity must designate in writing its activities that are covered under the Privacy Rule, otherwise all of the hybrid’s activities would be deemed covered under the rule.</w:t>
      </w:r>
    </w:p>
  </w:footnote>
  <w:footnote w:id="72">
    <w:p w14:paraId="49B32A74"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 “business associate” is a person or organization not employed by a covered entity that performs certain activities for a covered entity involving the use or disclosure of individually identifiable health information. 45 CFR §160.103.</w:t>
      </w:r>
    </w:p>
  </w:footnote>
  <w:footnote w:id="73">
    <w:p w14:paraId="7970804D"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45 CFR §160.103.</w:t>
      </w:r>
    </w:p>
  </w:footnote>
  <w:footnote w:id="74">
    <w:p w14:paraId="6BF6F3D8"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eastAsia="Times New Roman" w:hAnsiTheme="majorHAnsi" w:cstheme="majorHAnsi"/>
        </w:rPr>
        <w:t xml:space="preserve">Depending on a public health agency's organization and the services it provides, the Privacy Rule may also apply to a public health agency—or portions of the services it provides—when it discloses PHI. </w:t>
      </w:r>
      <w:r w:rsidRPr="00CE1B38">
        <w:rPr>
          <w:rFonts w:asciiTheme="majorHAnsi" w:hAnsiTheme="majorHAnsi" w:cstheme="majorHAnsi"/>
        </w:rPr>
        <w:t>A state or local health department could be a hybrid entity under the Privacy Rule if, in addition to conducting their public health functions, also provide healthcare services to patients and for which the agency transmits health information electronically subject to the rule.</w:t>
      </w:r>
    </w:p>
  </w:footnote>
  <w:footnote w:id="75">
    <w:p w14:paraId="7BF598A1"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HHS. Standards for Privacy of Individually Identifiable Health Information. 45 C.F.R. Parts 160, 164. </w:t>
      </w:r>
      <w:r w:rsidRPr="00CE1B38">
        <w:rPr>
          <w:rFonts w:asciiTheme="majorHAnsi" w:hAnsiTheme="majorHAnsi" w:cstheme="majorHAnsi"/>
          <w:i/>
          <w:iCs/>
        </w:rPr>
        <w:t xml:space="preserve">See also </w:t>
      </w:r>
      <w:r w:rsidRPr="00CE1B38">
        <w:rPr>
          <w:rFonts w:asciiTheme="majorHAnsi" w:hAnsiTheme="majorHAnsi" w:cstheme="majorHAnsi"/>
        </w:rPr>
        <w:t xml:space="preserve">HHS. Summary of HIPAA Privacy Rule. Webpage content last reviewed by HHS on July 26, 2013. Retrieved from </w:t>
      </w:r>
      <w:hyperlink r:id="rId70" w:history="1">
        <w:r w:rsidRPr="00CE1B38">
          <w:rPr>
            <w:rStyle w:val="Hyperlink"/>
            <w:rFonts w:asciiTheme="majorHAnsi" w:hAnsiTheme="majorHAnsi" w:cstheme="majorHAnsi"/>
          </w:rPr>
          <w:t>https://www.hhs.gov/hipaa/for-professionals/privacy/laws-regulations/index.html</w:t>
        </w:r>
      </w:hyperlink>
      <w:r w:rsidRPr="00CE1B38">
        <w:rPr>
          <w:rFonts w:asciiTheme="majorHAnsi" w:hAnsiTheme="majorHAnsi" w:cstheme="majorHAnsi"/>
        </w:rPr>
        <w:t>. Accessed August 17, 2020.</w:t>
      </w:r>
    </w:p>
  </w:footnote>
  <w:footnote w:id="76">
    <w:p w14:paraId="17ED5FBD"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i/>
          <w:iCs/>
        </w:rPr>
        <w:t xml:space="preserve"> See</w:t>
      </w:r>
      <w:r w:rsidRPr="00CE1B38">
        <w:rPr>
          <w:rFonts w:asciiTheme="majorHAnsi" w:hAnsiTheme="majorHAnsi" w:cstheme="majorHAnsi"/>
        </w:rPr>
        <w:t xml:space="preserve"> 45 CFR §164.512. The other public purposed identified in the privacy rule are:  Required by law. Victims of abuse, neglect, or domestic violence. Health oversight activities. Judicial and administrative proceedings. Law enforcement purposes. Decedents. Cadaveric organ, eye, or tissue donation. Research. Serious threat to health or safety. Essential government functions. Workers’ compensation.</w:t>
      </w:r>
    </w:p>
  </w:footnote>
  <w:footnote w:id="77">
    <w:p w14:paraId="087E83E5"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45 CFR §164.512(a).</w:t>
      </w:r>
    </w:p>
  </w:footnote>
  <w:footnote w:id="78">
    <w:p w14:paraId="78969E70"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45 C.F.R. §164.512(b).</w:t>
      </w:r>
    </w:p>
  </w:footnote>
  <w:footnote w:id="79">
    <w:p w14:paraId="45491C02"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45 C.F.R. §160.203, §160.204. </w:t>
      </w:r>
      <w:r w:rsidRPr="00CE1B38">
        <w:rPr>
          <w:rFonts w:asciiTheme="majorHAnsi" w:hAnsiTheme="majorHAnsi" w:cstheme="majorHAnsi"/>
          <w:i/>
          <w:iCs/>
        </w:rPr>
        <w:t>See also</w:t>
      </w:r>
      <w:r w:rsidRPr="00CE1B38">
        <w:rPr>
          <w:rFonts w:asciiTheme="majorHAnsi" w:hAnsiTheme="majorHAnsi" w:cstheme="majorHAnsi"/>
        </w:rPr>
        <w:t xml:space="preserve"> HHS. Summary of HIPAA Privacy Rule. Webpage content last reviewed by HHS on July 26, 2013. Retrieved from </w:t>
      </w:r>
      <w:hyperlink r:id="rId71" w:history="1">
        <w:r w:rsidRPr="00CE1B38">
          <w:rPr>
            <w:rStyle w:val="Hyperlink"/>
            <w:rFonts w:asciiTheme="majorHAnsi" w:hAnsiTheme="majorHAnsi" w:cstheme="majorHAnsi"/>
          </w:rPr>
          <w:t>https://www.hhs.gov/hipaa/for-professionals/privacy/laws-regulations/index.html</w:t>
        </w:r>
      </w:hyperlink>
      <w:r w:rsidRPr="00CE1B38">
        <w:rPr>
          <w:rFonts w:asciiTheme="majorHAnsi" w:hAnsiTheme="majorHAnsi" w:cstheme="majorHAnsi"/>
        </w:rPr>
        <w:t>. Accessed December 15, 2020.</w:t>
      </w:r>
    </w:p>
  </w:footnote>
  <w:footnote w:id="80">
    <w:p w14:paraId="20C4532B"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45 C.F.R. §160.203, §160.204. </w:t>
      </w:r>
      <w:r w:rsidRPr="00CE1B38">
        <w:rPr>
          <w:rFonts w:asciiTheme="majorHAnsi" w:hAnsiTheme="majorHAnsi" w:cstheme="majorHAnsi"/>
          <w:i/>
          <w:iCs/>
        </w:rPr>
        <w:t>See also</w:t>
      </w:r>
      <w:r w:rsidRPr="00CE1B38">
        <w:rPr>
          <w:rFonts w:asciiTheme="majorHAnsi" w:hAnsiTheme="majorHAnsi" w:cstheme="majorHAnsi"/>
        </w:rPr>
        <w:t xml:space="preserve"> HHS. Summary of HIPAA Privacy Rule. Webpage content last reviewed by HHS on July 26, 2013. Retrieved from </w:t>
      </w:r>
      <w:hyperlink r:id="rId72" w:history="1">
        <w:r w:rsidRPr="00CE1B38">
          <w:rPr>
            <w:rStyle w:val="Hyperlink"/>
            <w:rFonts w:asciiTheme="majorHAnsi" w:hAnsiTheme="majorHAnsi" w:cstheme="majorHAnsi"/>
          </w:rPr>
          <w:t>https://www.hhs.gov/hipaa/for-professionals/privacy/laws-regulations/index.html</w:t>
        </w:r>
      </w:hyperlink>
      <w:r w:rsidRPr="00CE1B38">
        <w:rPr>
          <w:rFonts w:asciiTheme="majorHAnsi" w:hAnsiTheme="majorHAnsi" w:cstheme="majorHAnsi"/>
        </w:rPr>
        <w:t>. Accessed December 15, 2020.</w:t>
      </w:r>
    </w:p>
  </w:footnote>
  <w:footnote w:id="81">
    <w:p w14:paraId="26B75551"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Pub. L. 93-380, 20 U.S.C. § 1232g, implemented by 34 C.F.R. Part 99. </w:t>
      </w:r>
      <w:r w:rsidRPr="00CE1B38">
        <w:rPr>
          <w:rFonts w:asciiTheme="majorHAnsi" w:eastAsia="Times New Roman" w:hAnsiTheme="majorHAnsi" w:cstheme="majorHAnsi"/>
        </w:rPr>
        <w:t xml:space="preserve">The law applies to all educational institutions and agencies that receive any funds from the U.S. Department of Education. Therefore, all public schools and school districts and most public and private post-secondary institutions (e.g., universities and colleges) are covered by FERPA. Private and religious elementary and secondary schools are not subject to FERPA because they generally do not receive funding from ED. </w:t>
      </w:r>
      <w:bookmarkStart w:id="6" w:name="_Hlk34673133"/>
      <w:r w:rsidRPr="00CE1B38">
        <w:rPr>
          <w:rFonts w:asciiTheme="majorHAnsi" w:hAnsiTheme="majorHAnsi" w:cstheme="maj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73" w:history="1">
        <w:r w:rsidRPr="00CE1B38">
          <w:rPr>
            <w:rStyle w:val="Hyperlink"/>
            <w:rFonts w:asciiTheme="majorHAnsi" w:hAnsiTheme="majorHAnsi" w:cstheme="majorHAnsi"/>
          </w:rPr>
          <w:t>https://studentprivacy.ed.gov/sites/default/files/resource_document/file/2019%20HIPAA%20FERPA%20Joint%20Guidance%20508.pdf</w:t>
        </w:r>
      </w:hyperlink>
      <w:r w:rsidRPr="00CE1B38">
        <w:rPr>
          <w:rFonts w:asciiTheme="majorHAnsi" w:hAnsiTheme="majorHAnsi" w:cstheme="majorHAnsi"/>
        </w:rPr>
        <w:t>.</w:t>
      </w:r>
      <w:bookmarkEnd w:id="6"/>
      <w:r w:rsidRPr="00CE1B38">
        <w:rPr>
          <w:rFonts w:asciiTheme="majorHAnsi" w:hAnsiTheme="majorHAnsi" w:cstheme="majorHAnsi"/>
        </w:rPr>
        <w:t xml:space="preserve"> Accessed December 15, 2020.</w:t>
      </w:r>
    </w:p>
  </w:footnote>
  <w:footnote w:id="82">
    <w:p w14:paraId="6250BCD8"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“Eligible students” are students who have turned 18 or attend school beyond the high school level at any age.</w:t>
      </w:r>
    </w:p>
  </w:footnote>
  <w:footnote w:id="83">
    <w:p w14:paraId="4E69A20E"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Family Educational Rights and Privacy Act (FERPA) codified at 20 U.S.C. §1232g.</w:t>
      </w:r>
    </w:p>
  </w:footnote>
  <w:footnote w:id="84">
    <w:p w14:paraId="457AC907"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An “education record” is defined as records which are: (1) </w:t>
      </w:r>
      <w:proofErr w:type="gramStart"/>
      <w:r w:rsidRPr="00CE1B38">
        <w:rPr>
          <w:rFonts w:asciiTheme="majorHAnsi" w:hAnsiTheme="majorHAnsi" w:cstheme="majorHAnsi"/>
        </w:rPr>
        <w:t>directly related</w:t>
      </w:r>
      <w:proofErr w:type="gramEnd"/>
      <w:r w:rsidRPr="00CE1B38">
        <w:rPr>
          <w:rFonts w:asciiTheme="majorHAnsi" w:hAnsiTheme="majorHAnsi" w:cstheme="majorHAnsi"/>
        </w:rPr>
        <w:t xml:space="preserve"> to a student and (2) maintained by an educational agency or institution or by a person acting on behalf of the agency or institution. 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74" w:history="1">
        <w:r w:rsidRPr="00CE1B38">
          <w:rPr>
            <w:rStyle w:val="Hyperlink"/>
            <w:rFonts w:asciiTheme="majorHAnsi" w:hAnsiTheme="majorHAnsi" w:cstheme="majorHAnsi"/>
          </w:rPr>
          <w:t>https://studentprivacy.ed.gov/sites/default/files/resource_document/file/2019%20HIPAA%20FERPA%20Joint%20Guidance%20508.pdf</w:t>
        </w:r>
      </w:hyperlink>
      <w:r w:rsidRPr="00CE1B38">
        <w:rPr>
          <w:rFonts w:asciiTheme="majorHAnsi" w:hAnsiTheme="majorHAnsi" w:cstheme="majorHAnsi"/>
        </w:rPr>
        <w:t>. Accessed December 15, 2020.</w:t>
      </w:r>
    </w:p>
  </w:footnote>
  <w:footnote w:id="85">
    <w:p w14:paraId="127EF87F"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34 CFR Part 99.</w:t>
      </w:r>
    </w:p>
  </w:footnote>
  <w:footnote w:id="86">
    <w:p w14:paraId="2C0FE9A5"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7" w:name="_Hlk34673324"/>
      <w:r w:rsidRPr="00CE1B38">
        <w:rPr>
          <w:rFonts w:asciiTheme="majorHAnsi" w:hAnsiTheme="majorHAnsi" w:cstheme="maj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75" w:history="1">
        <w:r w:rsidRPr="00CE1B38">
          <w:rPr>
            <w:rStyle w:val="Hyperlink"/>
            <w:rFonts w:asciiTheme="majorHAnsi" w:hAnsiTheme="majorHAnsi" w:cstheme="majorHAnsi"/>
          </w:rPr>
          <w:t>https://studentprivacy.ed.gov/sites/default/files/resource_document/file/2019%20HIPAA%20FERPA%20Joint%20Guidance%20508.pdf</w:t>
        </w:r>
      </w:hyperlink>
      <w:r w:rsidRPr="00CE1B38">
        <w:rPr>
          <w:rFonts w:asciiTheme="majorHAnsi" w:hAnsiTheme="majorHAnsi" w:cstheme="majorHAnsi"/>
        </w:rPr>
        <w:t>.</w:t>
      </w:r>
      <w:bookmarkEnd w:id="7"/>
      <w:r w:rsidRPr="00CE1B38">
        <w:rPr>
          <w:rFonts w:asciiTheme="majorHAnsi" w:hAnsiTheme="majorHAnsi" w:cstheme="majorHAnsi"/>
        </w:rPr>
        <w:t xml:space="preserve"> Accessed December 15, 2020.</w:t>
      </w:r>
    </w:p>
  </w:footnote>
  <w:footnote w:id="87">
    <w:p w14:paraId="798319AF"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34 CFR 99.31.</w:t>
      </w:r>
    </w:p>
  </w:footnote>
  <w:footnote w:id="88">
    <w:p w14:paraId="357D3800"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34 CFR 99.31 and 99.35. </w:t>
      </w:r>
      <w:r w:rsidRPr="00CE1B38">
        <w:rPr>
          <w:rFonts w:asciiTheme="majorHAnsi" w:hAnsiTheme="majorHAnsi" w:cstheme="majorHAnsi"/>
          <w:i/>
          <w:iCs/>
        </w:rPr>
        <w:t xml:space="preserve">See also </w:t>
      </w:r>
      <w:r w:rsidRPr="00CE1B38">
        <w:rPr>
          <w:rFonts w:asciiTheme="majorHAnsi" w:hAnsiTheme="majorHAnsi" w:cstheme="majorHAnsi"/>
        </w:rPr>
        <w:t xml:space="preserve">U.S. Dept. of Education. Family Educational Rights and Privacy Act (FERPA). Webpage last modified by ED December 15, 2020. Retrieved from </w:t>
      </w:r>
      <w:hyperlink r:id="rId76" w:history="1">
        <w:r w:rsidRPr="00CE1B38">
          <w:rPr>
            <w:rStyle w:val="Hyperlink"/>
            <w:rFonts w:asciiTheme="majorHAnsi" w:hAnsiTheme="majorHAnsi" w:cstheme="majorHAnsi"/>
          </w:rPr>
          <w:t>https://www2.ed.gov/policy/gen/guid/fpco/ferpa/index.html</w:t>
        </w:r>
      </w:hyperlink>
      <w:r w:rsidRPr="00CE1B38">
        <w:rPr>
          <w:rFonts w:asciiTheme="majorHAnsi" w:hAnsiTheme="majorHAnsi" w:cstheme="majorHAnsi"/>
        </w:rPr>
        <w:t>. Accessed December 15, 2020.</w:t>
      </w:r>
    </w:p>
  </w:footnote>
  <w:footnote w:id="89">
    <w:p w14:paraId="1FDA215B"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The other exceptions include release </w:t>
      </w:r>
      <w:proofErr w:type="gramStart"/>
      <w:r w:rsidRPr="00CE1B38">
        <w:rPr>
          <w:rFonts w:asciiTheme="majorHAnsi" w:hAnsiTheme="majorHAnsi" w:cstheme="majorHAnsi"/>
        </w:rPr>
        <w:t>to:</w:t>
      </w:r>
      <w:proofErr w:type="gramEnd"/>
      <w:r w:rsidRPr="00CE1B38">
        <w:rPr>
          <w:rFonts w:asciiTheme="majorHAnsi" w:hAnsiTheme="majorHAnsi" w:cstheme="majorHAnsi"/>
        </w:rPr>
        <w:t xml:space="preserve"> school officials (34 C.F.R §99.31, §99.33.); specified officials and their authorized representatives for educational purposes (34 C.F.R §99.31, §99.35.); and, studies on behalf of the school for educational purposes (34 C.F.R §99.31).</w:t>
      </w:r>
    </w:p>
  </w:footnote>
  <w:footnote w:id="90">
    <w:p w14:paraId="0E3E733B"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34 C.F.R §99.31 and </w:t>
      </w:r>
      <w:r w:rsidRPr="00CE1B38">
        <w:rPr>
          <w:rFonts w:asciiTheme="majorHAnsi" w:eastAsia="Times New Roman" w:hAnsiTheme="majorHAnsi" w:cstheme="majorHAnsi"/>
        </w:rPr>
        <w:t xml:space="preserve">34 C.F.R. §99.36. </w:t>
      </w:r>
    </w:p>
  </w:footnote>
  <w:footnote w:id="91">
    <w:p w14:paraId="0CD769BD"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eastAsia="Times New Roman" w:hAnsiTheme="majorHAnsi" w:cstheme="majorHAnsi"/>
        </w:rPr>
        <w:t xml:space="preserve">34 C.F.R. §99.36. </w:t>
      </w:r>
    </w:p>
  </w:footnote>
  <w:footnote w:id="92">
    <w:p w14:paraId="3F004031"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eastAsia="Times New Roman" w:hAnsiTheme="majorHAnsi" w:cstheme="majorHAnsi"/>
        </w:rPr>
        <w:t>34 C.F.R. §99.36.</w:t>
      </w:r>
    </w:p>
  </w:footnote>
  <w:footnote w:id="93">
    <w:p w14:paraId="07AB6B0D"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eastAsia="Times New Roman" w:hAnsiTheme="majorHAnsi" w:cstheme="majorHAnsi"/>
        </w:rPr>
        <w:t>34 C.F.R. §99.36.</w:t>
      </w:r>
    </w:p>
  </w:footnote>
  <w:footnote w:id="94">
    <w:p w14:paraId="56367DA1" w14:textId="77777777" w:rsidR="00A318FA" w:rsidRPr="00CE1B38" w:rsidRDefault="00A318FA" w:rsidP="00CE1B38">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For example, </w:t>
      </w:r>
      <w:r w:rsidRPr="00CE1B38">
        <w:rPr>
          <w:rFonts w:asciiTheme="majorHAnsi" w:eastAsia="Times New Roman" w:hAnsiTheme="majorHAnsi" w:cstheme="majorHAnsi"/>
        </w:rPr>
        <w:t xml:space="preserve">in response to a university regarding potential conflicts between state notifiable diseases and conditions reporting requirements and FERPA, ED determined, among other things, that for those conditions the state health regulations require immediate reporting on an emergency basis would fall under the FERPA health and safety emergency exception. </w:t>
      </w:r>
      <w:r w:rsidRPr="00CE1B38">
        <w:rPr>
          <w:rFonts w:asciiTheme="majorHAnsi" w:hAnsiTheme="majorHAnsi" w:cstheme="majorHAnsi"/>
        </w:rPr>
        <w:t xml:space="preserve">U.S. Dept. of Education. Family Policy Compliance Office. “Letter to University of New Mexico re: Applicability of FERPA to Health and Other State Reporting Requirements.” November 29, 2004. Retrieved from </w:t>
      </w:r>
      <w:hyperlink r:id="rId77" w:history="1">
        <w:r w:rsidRPr="00CE1B38">
          <w:rPr>
            <w:rStyle w:val="Hyperlink"/>
            <w:rFonts w:asciiTheme="majorHAnsi" w:hAnsiTheme="majorHAnsi" w:cstheme="majorHAnsi"/>
          </w:rPr>
          <w:t>http://www2.ed.gov/policy/gen/guid/fpco/ferpa/library/baiseunmslc.html</w:t>
        </w:r>
      </w:hyperlink>
      <w:r w:rsidRPr="00CE1B38">
        <w:rPr>
          <w:rFonts w:asciiTheme="majorHAnsi" w:hAnsiTheme="majorHAnsi" w:cstheme="majorHAnsi"/>
        </w:rPr>
        <w:t>. Accessed December 15, 2020.</w:t>
      </w:r>
    </w:p>
  </w:footnote>
  <w:footnote w:id="95">
    <w:p w14:paraId="696C6234" w14:textId="77777777" w:rsidR="00A318FA" w:rsidRPr="00A8037F" w:rsidRDefault="00A318FA" w:rsidP="00A318FA">
      <w:pPr>
        <w:pStyle w:val="FootnoteText"/>
        <w:rPr>
          <w:rFonts w:asciiTheme="majorHAnsi" w:hAnsiTheme="majorHAnsi" w:cstheme="majorHAnsi"/>
        </w:rPr>
      </w:pPr>
      <w:r w:rsidRPr="00A8037F">
        <w:rPr>
          <w:rStyle w:val="FootnoteReference"/>
          <w:rFonts w:asciiTheme="majorHAnsi" w:hAnsiTheme="majorHAnsi" w:cstheme="majorHAnsi"/>
        </w:rPr>
        <w:footnoteRef/>
      </w:r>
      <w:r w:rsidRPr="00A8037F">
        <w:rPr>
          <w:rFonts w:asciiTheme="majorHAnsi" w:hAnsiTheme="majorHAnsi" w:cstheme="majorHAnsi"/>
        </w:rPr>
        <w:t xml:space="preserve"> Individuals and corporate/organizational entities can be held </w:t>
      </w:r>
      <w:proofErr w:type="gramStart"/>
      <w:r w:rsidRPr="00A8037F">
        <w:rPr>
          <w:rFonts w:asciiTheme="majorHAnsi" w:hAnsiTheme="majorHAnsi" w:cstheme="majorHAnsi"/>
        </w:rPr>
        <w:t>directly liable</w:t>
      </w:r>
      <w:proofErr w:type="gramEnd"/>
      <w:r w:rsidRPr="00A8037F">
        <w:rPr>
          <w:rFonts w:asciiTheme="majorHAnsi" w:hAnsiTheme="majorHAnsi" w:cstheme="majorHAnsi"/>
        </w:rPr>
        <w:t xml:space="preserve"> (i.e., legally responsible) for their own actions or failures to act (omissions) when they fail in their duty to act according to a standard that governs their actions.</w:t>
      </w:r>
    </w:p>
  </w:footnote>
  <w:footnote w:id="96">
    <w:p w14:paraId="7E004D1D" w14:textId="77777777" w:rsidR="00A318FA" w:rsidRPr="00A8037F" w:rsidRDefault="00A318FA" w:rsidP="00A318FA">
      <w:pPr>
        <w:pStyle w:val="FootnoteText"/>
        <w:rPr>
          <w:rFonts w:asciiTheme="majorHAnsi" w:hAnsiTheme="majorHAnsi" w:cstheme="majorHAnsi"/>
        </w:rPr>
      </w:pPr>
      <w:r w:rsidRPr="00A8037F">
        <w:rPr>
          <w:rStyle w:val="FootnoteReference"/>
          <w:rFonts w:asciiTheme="majorHAnsi" w:hAnsiTheme="majorHAnsi" w:cstheme="majorHAnsi"/>
        </w:rPr>
        <w:footnoteRef/>
      </w:r>
      <w:r w:rsidRPr="00A8037F">
        <w:rPr>
          <w:rFonts w:asciiTheme="majorHAnsi" w:hAnsiTheme="majorHAnsi" w:cstheme="majorHAnsi"/>
        </w:rPr>
        <w:t xml:space="preserve"> Persons and entities may also be held legally responsible for the acts or omissions of another person/entity with whom they have a particular legal relationship (i.e., vicarious liability). Vicarious liability typically arises when an employer is held legally responsible for the actions of its employee. Entities like corporations, non-profit organizations, or educational institutions may also be subject to vicarious liability for the acts or omissions of its agents, like officers, directors, or volunteers. For example, in lawsuits against hotel facilities that have experienced LD outbreaks, the management and corporate owners of the hotel are frequently added to lawsuit for the failure of employees to properly maintain the water systems which gave rise to Legionella contamination. </w:t>
      </w:r>
      <w:r w:rsidRPr="00A8037F">
        <w:rPr>
          <w:rFonts w:asciiTheme="majorHAnsi" w:hAnsiTheme="majorHAnsi" w:cstheme="majorHAnsi"/>
          <w:i/>
          <w:iCs/>
        </w:rPr>
        <w:t>See for example</w:t>
      </w:r>
      <w:r w:rsidRPr="00A8037F">
        <w:rPr>
          <w:rFonts w:asciiTheme="majorHAnsi" w:hAnsiTheme="majorHAnsi" w:cstheme="majorHAnsi"/>
        </w:rPr>
        <w:t xml:space="preserve"> Licari v. Best W. Int'l Inc., Case No. 2:11-cv-603 (D. Utah Jul. 12, 2013).</w:t>
      </w:r>
    </w:p>
  </w:footnote>
  <w:footnote w:id="97">
    <w:p w14:paraId="6C9B44C6" w14:textId="77777777" w:rsidR="00A318FA" w:rsidRPr="00A8037F" w:rsidRDefault="00A318FA" w:rsidP="00A318FA">
      <w:pPr>
        <w:pStyle w:val="FootnoteText"/>
        <w:rPr>
          <w:rFonts w:asciiTheme="majorHAnsi" w:hAnsiTheme="majorHAnsi" w:cstheme="majorHAnsi"/>
        </w:rPr>
      </w:pPr>
      <w:r w:rsidRPr="00A8037F">
        <w:rPr>
          <w:rStyle w:val="FootnoteReference"/>
          <w:rFonts w:asciiTheme="majorHAnsi" w:hAnsiTheme="majorHAnsi" w:cstheme="majorHAnsi"/>
        </w:rPr>
        <w:footnoteRef/>
      </w:r>
      <w:r w:rsidRPr="00A8037F">
        <w:rPr>
          <w:rFonts w:asciiTheme="majorHAnsi" w:hAnsiTheme="majorHAnsi" w:cstheme="majorHAnsi"/>
        </w:rPr>
        <w:t xml:space="preserve"> Premises liability is a form of negligence in which an individual or entity who owns, controls, and/or operates a facility may be held responsible for injuries that occurred to people present at the facility. As with negligence, these </w:t>
      </w:r>
      <w:r w:rsidRPr="00A8037F">
        <w:rPr>
          <w:rFonts w:asciiTheme="majorHAnsi" w:eastAsia="Times New Roman" w:hAnsiTheme="majorHAnsi" w:cstheme="majorHAnsi"/>
          <w:color w:val="000000" w:themeColor="text1"/>
        </w:rPr>
        <w:t xml:space="preserve">cases use a reasonable person standard of care: the premises possessor owes a duty of reasonable care to anyone entering the premises, regardless of their relationship to the premise’s possessor. This is an important distinction in that </w:t>
      </w:r>
      <w:r w:rsidRPr="00A8037F">
        <w:rPr>
          <w:rFonts w:asciiTheme="majorHAnsi" w:hAnsiTheme="majorHAnsi" w:cstheme="majorHAnsi"/>
        </w:rPr>
        <w:t>the traditional analysis of these cases depends on whether the defendant was in possession of the premises (e.g., ownership, lease) and the status of the plaintiff (e.g., invitee, licensee, or trespasser). While possessors owe a duty of care to invitees and licenses, they generally do not for trespassers. In some states, a general reasonable person standard has replaced this traditional analysis based on the status of the person entering the premises; however, some states still have different rules for trespassers (even innocent ones).</w:t>
      </w:r>
    </w:p>
  </w:footnote>
  <w:footnote w:id="98">
    <w:p w14:paraId="1BAA47DC" w14:textId="77777777" w:rsidR="00A318FA" w:rsidRPr="00A8037F" w:rsidRDefault="00A318FA" w:rsidP="00A318FA">
      <w:pPr>
        <w:pStyle w:val="FootnoteText"/>
        <w:rPr>
          <w:rFonts w:asciiTheme="majorHAnsi" w:hAnsiTheme="majorHAnsi" w:cstheme="majorHAnsi"/>
        </w:rPr>
      </w:pPr>
      <w:r w:rsidRPr="00A8037F">
        <w:rPr>
          <w:rStyle w:val="FootnoteReference"/>
          <w:rFonts w:asciiTheme="majorHAnsi" w:hAnsiTheme="majorHAnsi" w:cstheme="majorHAnsi"/>
        </w:rPr>
        <w:footnoteRef/>
      </w:r>
      <w:r w:rsidRPr="00A8037F">
        <w:rPr>
          <w:rFonts w:asciiTheme="majorHAnsi" w:hAnsiTheme="majorHAnsi" w:cstheme="majorHAnsi"/>
        </w:rPr>
        <w:t xml:space="preserve"> </w:t>
      </w:r>
      <w:r w:rsidRPr="00A8037F">
        <w:rPr>
          <w:rFonts w:asciiTheme="majorHAnsi" w:eastAsia="Times New Roman" w:hAnsiTheme="majorHAnsi" w:cstheme="majorHAnsi"/>
          <w:color w:val="000000" w:themeColor="text1"/>
        </w:rPr>
        <w:t xml:space="preserve">Another form of negligence, negligence per se, can be used to find a facility liable. To find negligence per se the plaintiff must be in the category of persons the statute was intended to protect and the injury must be one that the statute was intended to prevent. If the plaintiff meets these requirements, then the defendant is found to be negligent based on the violation of a controlling statute or regulation. Some states only allow violations of statutes to be used to establish liability; violations of regulations can only be used as evidence of negligence. </w:t>
      </w:r>
      <w:r w:rsidRPr="00A8037F">
        <w:rPr>
          <w:rFonts w:asciiTheme="majorHAnsi" w:eastAsia="Times New Roman" w:hAnsiTheme="majorHAnsi" w:cstheme="majorHAnsi"/>
          <w:i/>
          <w:iCs/>
          <w:color w:val="000000" w:themeColor="text1"/>
        </w:rPr>
        <w:t>See for example</w:t>
      </w:r>
      <w:r w:rsidRPr="00A8037F">
        <w:rPr>
          <w:rFonts w:asciiTheme="majorHAnsi" w:eastAsia="Times New Roman" w:hAnsiTheme="majorHAnsi" w:cstheme="majorHAnsi"/>
          <w:color w:val="000000" w:themeColor="text1"/>
        </w:rPr>
        <w:t xml:space="preserve"> </w:t>
      </w:r>
      <w:r w:rsidRPr="00A8037F">
        <w:rPr>
          <w:rFonts w:asciiTheme="majorHAnsi" w:hAnsiTheme="majorHAnsi" w:cstheme="majorHAnsi"/>
        </w:rPr>
        <w:t>Hopkins v. Booth, 16-CV-1020V(F) (W.D.N.Y. Nov. 20, 2017) (Plaintiff acquired LD from a hot tub at a vacation property; the court did not allow the plaintiff to rely on the state’s pool sanitation regulations to establish negligence per se because New York law only allows for negligence per se when a statute is violated.)</w:t>
      </w:r>
    </w:p>
  </w:footnote>
  <w:footnote w:id="99">
    <w:p w14:paraId="6E9373FF" w14:textId="77777777" w:rsidR="00A318FA" w:rsidRPr="00A8037F" w:rsidRDefault="00A318FA" w:rsidP="00A318FA">
      <w:pPr>
        <w:pStyle w:val="FootnoteText"/>
        <w:rPr>
          <w:rFonts w:asciiTheme="majorHAnsi" w:hAnsiTheme="majorHAnsi" w:cstheme="majorHAnsi"/>
        </w:rPr>
      </w:pPr>
      <w:r w:rsidRPr="00A8037F">
        <w:rPr>
          <w:rStyle w:val="FootnoteReference"/>
          <w:rFonts w:asciiTheme="majorHAnsi" w:hAnsiTheme="majorHAnsi" w:cstheme="majorHAnsi"/>
        </w:rPr>
        <w:footnoteRef/>
      </w:r>
      <w:r w:rsidRPr="00A8037F">
        <w:rPr>
          <w:rFonts w:asciiTheme="majorHAnsi" w:hAnsiTheme="majorHAnsi" w:cstheme="majorHAnsi"/>
        </w:rPr>
        <w:t xml:space="preserve"> </w:t>
      </w:r>
      <w:r w:rsidRPr="00A8037F">
        <w:rPr>
          <w:rFonts w:asciiTheme="majorHAnsi" w:hAnsiTheme="majorHAnsi" w:cstheme="majorHAnsi"/>
          <w:i/>
          <w:iCs/>
        </w:rPr>
        <w:t xml:space="preserve">See </w:t>
      </w:r>
      <w:r w:rsidRPr="00A8037F">
        <w:rPr>
          <w:rFonts w:asciiTheme="majorHAnsi" w:hAnsiTheme="majorHAnsi" w:cstheme="majorHAnsi"/>
        </w:rPr>
        <w:t xml:space="preserve">ASHRAE. ASHRAE Publishes Updated Legionellosis Standard. August 13, 2018. Retrieved from </w:t>
      </w:r>
      <w:hyperlink r:id="rId78" w:history="1">
        <w:r w:rsidRPr="00A8037F">
          <w:rPr>
            <w:rStyle w:val="Hyperlink"/>
            <w:rFonts w:asciiTheme="majorHAnsi" w:hAnsiTheme="majorHAnsi" w:cstheme="majorHAnsi"/>
          </w:rPr>
          <w:t>https://www.ashrae.org/about/news/2018/ashrae-publishes-updated-legionellosis-standard</w:t>
        </w:r>
      </w:hyperlink>
      <w:r w:rsidRPr="00A8037F">
        <w:rPr>
          <w:rFonts w:asciiTheme="majorHAnsi" w:hAnsiTheme="majorHAnsi" w:cstheme="majorHAnsi"/>
        </w:rPr>
        <w:t xml:space="preserve">. Accessed </w:t>
      </w:r>
      <w:r>
        <w:rPr>
          <w:rFonts w:asciiTheme="majorHAnsi" w:hAnsiTheme="majorHAnsi" w:cstheme="majorHAnsi"/>
        </w:rPr>
        <w:t>December 16</w:t>
      </w:r>
      <w:r w:rsidRPr="00A8037F">
        <w:rPr>
          <w:rFonts w:asciiTheme="majorHAnsi" w:hAnsiTheme="majorHAnsi" w:cstheme="majorHAnsi"/>
        </w:rPr>
        <w:t xml:space="preserve">, 2020. </w:t>
      </w:r>
      <w:r w:rsidRPr="00A8037F">
        <w:rPr>
          <w:rFonts w:asciiTheme="majorHAnsi" w:hAnsiTheme="majorHAnsi" w:cstheme="majorHAnsi"/>
          <w:i/>
          <w:iCs/>
        </w:rPr>
        <w:t>See also</w:t>
      </w:r>
      <w:r w:rsidRPr="00A8037F">
        <w:rPr>
          <w:rFonts w:asciiTheme="majorHAnsi" w:hAnsiTheme="majorHAnsi" w:cstheme="majorHAnsi"/>
        </w:rPr>
        <w:t xml:space="preserve"> Stout, J.E. and Boehlert, G.R. Legal Significance of ANSI/ASHRAE Standard 188-2015. Retrieved from </w:t>
      </w:r>
      <w:hyperlink r:id="rId79" w:history="1">
        <w:r w:rsidRPr="00A8037F">
          <w:rPr>
            <w:rStyle w:val="Hyperlink"/>
            <w:rFonts w:asciiTheme="majorHAnsi" w:hAnsiTheme="majorHAnsi" w:cstheme="majorHAnsi"/>
          </w:rPr>
          <w:t>https://www.facilitiesnet.com/facilitiesmanagement/article/Legal-Significance-of-ANSIASHRAE-Standard-188-2015--16353</w:t>
        </w:r>
      </w:hyperlink>
      <w:r w:rsidRPr="00A8037F">
        <w:rPr>
          <w:rFonts w:asciiTheme="majorHAnsi" w:hAnsiTheme="majorHAnsi" w:cstheme="majorHAnsi"/>
        </w:rPr>
        <w:t xml:space="preserve">. Accessed </w:t>
      </w:r>
      <w:r>
        <w:rPr>
          <w:rFonts w:asciiTheme="majorHAnsi" w:hAnsiTheme="majorHAnsi" w:cstheme="majorHAnsi"/>
        </w:rPr>
        <w:t>December 16</w:t>
      </w:r>
      <w:r w:rsidRPr="00A8037F">
        <w:rPr>
          <w:rFonts w:asciiTheme="majorHAnsi" w:hAnsiTheme="majorHAnsi" w:cstheme="majorHAnsi"/>
        </w:rPr>
        <w:t>, 2020.</w:t>
      </w:r>
    </w:p>
  </w:footnote>
  <w:footnote w:id="100">
    <w:p w14:paraId="29D5FCDE" w14:textId="77777777" w:rsidR="00A318FA" w:rsidRPr="00A8037F" w:rsidRDefault="00A318FA" w:rsidP="00A318FA">
      <w:pPr>
        <w:pStyle w:val="FootnoteText"/>
        <w:rPr>
          <w:rFonts w:asciiTheme="majorHAnsi" w:hAnsiTheme="majorHAnsi" w:cstheme="majorHAnsi"/>
        </w:rPr>
      </w:pPr>
      <w:r w:rsidRPr="00A8037F">
        <w:rPr>
          <w:rStyle w:val="FootnoteReference"/>
          <w:rFonts w:asciiTheme="majorHAnsi" w:hAnsiTheme="majorHAnsi" w:cstheme="majorHAnsi"/>
        </w:rPr>
        <w:footnoteRef/>
      </w:r>
      <w:r w:rsidRPr="00A8037F">
        <w:rPr>
          <w:rFonts w:asciiTheme="majorHAnsi" w:hAnsiTheme="majorHAnsi" w:cstheme="majorHAnsi"/>
        </w:rPr>
        <w:t xml:space="preserve"> Stout, J.E. and Boehlert, G.R. Legal Significance of ANSI/ASHRAE Standard 188-2015. Retrieved from </w:t>
      </w:r>
      <w:hyperlink r:id="rId80" w:history="1">
        <w:r w:rsidRPr="00A8037F">
          <w:rPr>
            <w:rStyle w:val="Hyperlink"/>
            <w:rFonts w:asciiTheme="majorHAnsi" w:hAnsiTheme="majorHAnsi" w:cstheme="majorHAnsi"/>
          </w:rPr>
          <w:t>https://www.facilitiesnet.com/facilitiesmanagement/article/Legal-Significance-of-ANSIASHRAE-Standard-188-2015--16353</w:t>
        </w:r>
      </w:hyperlink>
      <w:r w:rsidRPr="00A8037F">
        <w:rPr>
          <w:rFonts w:asciiTheme="majorHAnsi" w:hAnsiTheme="majorHAnsi" w:cstheme="majorHAnsi"/>
        </w:rPr>
        <w:t xml:space="preserve">. Accessed </w:t>
      </w:r>
      <w:r>
        <w:rPr>
          <w:rFonts w:asciiTheme="majorHAnsi" w:hAnsiTheme="majorHAnsi" w:cstheme="majorHAnsi"/>
        </w:rPr>
        <w:t>December 16</w:t>
      </w:r>
      <w:r w:rsidRPr="00A8037F">
        <w:rPr>
          <w:rFonts w:asciiTheme="majorHAnsi" w:hAnsiTheme="majorHAnsi" w:cstheme="majorHAnsi"/>
        </w:rPr>
        <w:t>, 2020.</w:t>
      </w:r>
    </w:p>
  </w:footnote>
  <w:footnote w:id="101">
    <w:p w14:paraId="1152949D" w14:textId="77777777" w:rsidR="00A318FA" w:rsidRPr="00A8037F" w:rsidRDefault="00A318FA" w:rsidP="00A318FA">
      <w:pPr>
        <w:pStyle w:val="FootnoteText"/>
        <w:rPr>
          <w:rFonts w:asciiTheme="majorHAnsi" w:hAnsiTheme="majorHAnsi"/>
        </w:rPr>
      </w:pPr>
      <w:r w:rsidRPr="00A8037F">
        <w:rPr>
          <w:rStyle w:val="FootnoteReference"/>
          <w:rFonts w:asciiTheme="majorHAnsi" w:hAnsiTheme="majorHAnsi"/>
        </w:rPr>
        <w:footnoteRef/>
      </w:r>
      <w:r w:rsidRPr="00A8037F">
        <w:rPr>
          <w:rFonts w:asciiTheme="majorHAnsi" w:hAnsiTheme="majorHAnsi"/>
        </w:rPr>
        <w:t xml:space="preserve"> </w:t>
      </w:r>
      <w:r w:rsidRPr="00A8037F">
        <w:rPr>
          <w:rFonts w:asciiTheme="majorHAnsi" w:hAnsiTheme="majorHAnsi"/>
          <w:i/>
          <w:iCs/>
        </w:rPr>
        <w:t>See generally</w:t>
      </w:r>
      <w:r w:rsidRPr="00A8037F">
        <w:rPr>
          <w:rFonts w:asciiTheme="majorHAnsi" w:hAnsiTheme="majorHAnsi"/>
        </w:rPr>
        <w:t xml:space="preserve"> </w:t>
      </w:r>
      <w:r w:rsidRPr="00A8037F">
        <w:rPr>
          <w:rFonts w:asciiTheme="majorHAnsi" w:hAnsiTheme="majorHAnsi" w:cs="Arial"/>
          <w:color w:val="303030"/>
          <w:shd w:val="clear" w:color="auto" w:fill="FFFFFF"/>
        </w:rPr>
        <w:t xml:space="preserve">Gable, L., &amp; Buehler, J. W. (2017). Criticized, Fired, Sued, or Prosecuted: Hindsight and Public Health Accountability. </w:t>
      </w:r>
      <w:r w:rsidRPr="00A8037F">
        <w:rPr>
          <w:rFonts w:asciiTheme="majorHAnsi" w:hAnsiTheme="majorHAnsi" w:cs="Arial"/>
          <w:i/>
          <w:iCs/>
          <w:color w:val="303030"/>
          <w:shd w:val="clear" w:color="auto" w:fill="FFFFFF"/>
        </w:rPr>
        <w:t>Public health reports (Washington, D.C.: 1974)</w:t>
      </w:r>
      <w:r w:rsidRPr="00A8037F">
        <w:rPr>
          <w:rFonts w:asciiTheme="majorHAnsi" w:hAnsiTheme="majorHAnsi" w:cs="Arial"/>
          <w:color w:val="303030"/>
          <w:shd w:val="clear" w:color="auto" w:fill="FFFFFF"/>
        </w:rPr>
        <w:t xml:space="preserve">, </w:t>
      </w:r>
      <w:r w:rsidRPr="00A8037F">
        <w:rPr>
          <w:rFonts w:asciiTheme="majorHAnsi" w:hAnsiTheme="majorHAnsi" w:cs="Arial"/>
          <w:i/>
          <w:iCs/>
          <w:color w:val="303030"/>
          <w:shd w:val="clear" w:color="auto" w:fill="FFFFFF"/>
        </w:rPr>
        <w:t>132</w:t>
      </w:r>
      <w:r w:rsidRPr="00A8037F">
        <w:rPr>
          <w:rFonts w:asciiTheme="majorHAnsi" w:hAnsiTheme="majorHAnsi" w:cs="Arial"/>
          <w:color w:val="303030"/>
          <w:shd w:val="clear" w:color="auto" w:fill="FFFFFF"/>
        </w:rPr>
        <w:t xml:space="preserve">(6), 676–678. </w:t>
      </w:r>
      <w:hyperlink r:id="rId81" w:history="1">
        <w:r w:rsidRPr="00A8037F">
          <w:rPr>
            <w:rStyle w:val="Hyperlink"/>
            <w:rFonts w:asciiTheme="majorHAnsi" w:hAnsiTheme="majorHAnsi" w:cs="Arial"/>
            <w:shd w:val="clear" w:color="auto" w:fill="FFFFFF"/>
          </w:rPr>
          <w:t>https://doi.org/10.1177/0033354917730820</w:t>
        </w:r>
      </w:hyperlink>
      <w:r w:rsidRPr="00A8037F">
        <w:rPr>
          <w:rFonts w:asciiTheme="majorHAnsi" w:hAnsiTheme="majorHAnsi" w:cs="Arial"/>
          <w:color w:val="303030"/>
          <w:shd w:val="clear" w:color="auto" w:fill="FFFFFF"/>
        </w:rPr>
        <w:t xml:space="preserve">. </w:t>
      </w:r>
      <w:r w:rsidRPr="00A8037F">
        <w:rPr>
          <w:rFonts w:asciiTheme="majorHAnsi" w:hAnsiTheme="majorHAnsi" w:cs="Arial"/>
          <w:i/>
          <w:iCs/>
          <w:color w:val="303030"/>
          <w:shd w:val="clear" w:color="auto" w:fill="FFFFFF"/>
        </w:rPr>
        <w:t>See also</w:t>
      </w:r>
      <w:r w:rsidRPr="00A8037F">
        <w:rPr>
          <w:rFonts w:asciiTheme="majorHAnsi" w:hAnsiTheme="majorHAnsi" w:cs="Arial"/>
          <w:color w:val="303030"/>
          <w:shd w:val="clear" w:color="auto" w:fill="FFFFFF"/>
        </w:rPr>
        <w:t xml:space="preserve"> The Network for Public Health Law. Flint Water Crisis Project webpage. Retrieved from </w:t>
      </w:r>
      <w:hyperlink r:id="rId82" w:history="1">
        <w:r w:rsidRPr="00A8037F">
          <w:rPr>
            <w:rStyle w:val="Hyperlink"/>
            <w:rFonts w:asciiTheme="majorHAnsi" w:hAnsiTheme="majorHAnsi" w:cs="Arial"/>
            <w:shd w:val="clear" w:color="auto" w:fill="FFFFFF"/>
          </w:rPr>
          <w:t>https://www.networkforphl.org/resources/topics/projects/flint-water-crisis-project/</w:t>
        </w:r>
      </w:hyperlink>
      <w:r w:rsidRPr="00A8037F">
        <w:rPr>
          <w:rFonts w:asciiTheme="majorHAnsi" w:hAnsiTheme="majorHAnsi" w:cs="Arial"/>
          <w:color w:val="303030"/>
          <w:shd w:val="clear" w:color="auto" w:fill="FFFFFF"/>
        </w:rPr>
        <w:t xml:space="preserve">. (Accessed December 16, 2020.) </w:t>
      </w:r>
      <w:r w:rsidRPr="00A8037F">
        <w:rPr>
          <w:rFonts w:asciiTheme="majorHAnsi" w:hAnsiTheme="majorHAnsi" w:cs="Arial"/>
          <w:i/>
          <w:iCs/>
          <w:color w:val="303030"/>
          <w:shd w:val="clear" w:color="auto" w:fill="FFFFFF"/>
        </w:rPr>
        <w:t>See also</w:t>
      </w:r>
      <w:r w:rsidRPr="00A8037F">
        <w:rPr>
          <w:rFonts w:asciiTheme="majorHAnsi" w:hAnsiTheme="majorHAnsi" w:cs="Arial"/>
          <w:color w:val="303030"/>
          <w:shd w:val="clear" w:color="auto" w:fill="FFFFFF"/>
        </w:rPr>
        <w:t xml:space="preserve"> </w:t>
      </w:r>
      <w:proofErr w:type="spellStart"/>
      <w:r w:rsidRPr="00A8037F">
        <w:rPr>
          <w:rFonts w:asciiTheme="majorHAnsi" w:hAnsiTheme="majorHAnsi" w:cs="Arial"/>
          <w:color w:val="303030"/>
          <w:shd w:val="clear" w:color="auto" w:fill="FFFFFF"/>
        </w:rPr>
        <w:t>Beggin</w:t>
      </w:r>
      <w:proofErr w:type="spellEnd"/>
      <w:r w:rsidRPr="00A8037F">
        <w:rPr>
          <w:rFonts w:asciiTheme="majorHAnsi" w:hAnsiTheme="majorHAnsi" w:cs="Arial"/>
          <w:color w:val="303030"/>
          <w:shd w:val="clear" w:color="auto" w:fill="FFFFFF"/>
        </w:rPr>
        <w:t xml:space="preserve">, R. Landmark Flint water crisis settlement grows to $641.2M as it moves to court. Detroit Free Press. Published December 16, 2020. Retrieved from </w:t>
      </w:r>
      <w:hyperlink r:id="rId83" w:history="1">
        <w:r w:rsidRPr="00A8037F">
          <w:rPr>
            <w:rStyle w:val="Hyperlink"/>
            <w:rFonts w:asciiTheme="majorHAnsi" w:hAnsiTheme="majorHAnsi" w:cs="Arial"/>
            <w:shd w:val="clear" w:color="auto" w:fill="FFFFFF"/>
          </w:rPr>
          <w:t>https://www.detroitnews.com/story/news/michigan/flint-water-crisis/2020/11/17/flint-water-crisis-settlement-grows-641-2-million/6335673002/</w:t>
        </w:r>
      </w:hyperlink>
      <w:r w:rsidRPr="00A8037F">
        <w:rPr>
          <w:rFonts w:asciiTheme="majorHAnsi" w:hAnsiTheme="majorHAnsi" w:cs="Arial"/>
          <w:color w:val="303030"/>
          <w:shd w:val="clear" w:color="auto" w:fill="FFFFFF"/>
        </w:rPr>
        <w:t>. Accessed December 16, 2020.</w:t>
      </w:r>
    </w:p>
  </w:footnote>
  <w:footnote w:id="102">
    <w:p w14:paraId="281BF4D9" w14:textId="77777777" w:rsidR="00A318FA" w:rsidRPr="00A8037F" w:rsidRDefault="00A318FA" w:rsidP="00A318FA">
      <w:pPr>
        <w:pStyle w:val="FootnoteText"/>
        <w:rPr>
          <w:rFonts w:asciiTheme="majorHAnsi" w:hAnsiTheme="majorHAnsi"/>
        </w:rPr>
      </w:pPr>
      <w:r w:rsidRPr="00A8037F">
        <w:rPr>
          <w:rStyle w:val="FootnoteReference"/>
          <w:rFonts w:asciiTheme="majorHAnsi" w:hAnsiTheme="majorHAnsi"/>
        </w:rPr>
        <w:footnoteRef/>
      </w:r>
      <w:r w:rsidRPr="00A8037F">
        <w:rPr>
          <w:rFonts w:asciiTheme="majorHAnsi" w:hAnsiTheme="majorHAnsi"/>
        </w:rPr>
        <w:t xml:space="preserve"> The doctrine of sovereign immunity has its roots in the English common law that became the foundation of the U.S. legal system. It holds that the “sovereign” (the government) cannot commit an illegal act and therefore cannot be sued. State governments are immune from lawsuits under sovereign immunity conferred by the 11th Amendment of the U.S. Constitution. This doctrine has been modified through court decisions and laws like the Federal Tort Claims Act and state claims acts.</w:t>
      </w:r>
    </w:p>
  </w:footnote>
  <w:footnote w:id="103">
    <w:p w14:paraId="538CE9F2" w14:textId="77777777" w:rsidR="00A318FA" w:rsidRPr="00A8037F" w:rsidRDefault="00A318FA" w:rsidP="00A318FA">
      <w:pPr>
        <w:pStyle w:val="FootnoteText"/>
        <w:rPr>
          <w:rFonts w:asciiTheme="majorHAnsi" w:hAnsiTheme="majorHAnsi"/>
        </w:rPr>
      </w:pPr>
      <w:r w:rsidRPr="00A8037F">
        <w:rPr>
          <w:rStyle w:val="FootnoteReference"/>
          <w:rFonts w:asciiTheme="majorHAnsi" w:hAnsiTheme="majorHAnsi"/>
        </w:rPr>
        <w:footnoteRef/>
      </w:r>
      <w:r w:rsidRPr="00A8037F">
        <w:rPr>
          <w:rFonts w:asciiTheme="majorHAnsi" w:hAnsiTheme="majorHAnsi"/>
        </w:rPr>
        <w:t xml:space="preserve"> Federal Tort Claims Act, as amended. Codified at 28 U.S.C. §§1346(b), 2671-2680.</w:t>
      </w:r>
    </w:p>
  </w:footnote>
  <w:footnote w:id="104">
    <w:p w14:paraId="5A349263" w14:textId="77777777" w:rsidR="00A318FA" w:rsidRPr="00CE1B38" w:rsidRDefault="00A318FA" w:rsidP="008B13C9">
      <w:pPr>
        <w:rPr>
          <w:rFonts w:asciiTheme="majorHAnsi" w:hAnsiTheme="majorHAnsi" w:cstheme="majorHAnsi"/>
          <w:b/>
          <w:bCs/>
          <w:i/>
          <w:iCs/>
          <w:sz w:val="20"/>
          <w:szCs w:val="20"/>
        </w:rPr>
      </w:pPr>
      <w:r w:rsidRPr="00CE1B38">
        <w:rPr>
          <w:rFonts w:asciiTheme="majorHAnsi" w:hAnsiTheme="majorHAnsi" w:cstheme="majorHAnsi"/>
          <w:b/>
          <w:bCs/>
          <w:i/>
          <w:iCs/>
          <w:sz w:val="20"/>
          <w:szCs w:val="20"/>
          <w:highlight w:val="yellow"/>
        </w:rPr>
        <w:t>Note: Footnotes will be streamlined and edited to a style guide once the text is finalized</w:t>
      </w:r>
    </w:p>
    <w:p w14:paraId="2DE0D4B4" w14:textId="77777777" w:rsidR="00A318FA" w:rsidRPr="00CE1B38" w:rsidRDefault="00A318FA" w:rsidP="008B13C9">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Barbara Reynolds, PhD, CDC Senior Crisis and Risk Communication Advisor as quoted in CDC. Crisis and</w:t>
      </w:r>
    </w:p>
    <w:p w14:paraId="254CD715" w14:textId="77777777" w:rsidR="00A318FA" w:rsidRPr="00CE1B38" w:rsidRDefault="00A318FA" w:rsidP="008B13C9">
      <w:pPr>
        <w:pStyle w:val="FootnoteText"/>
        <w:rPr>
          <w:rFonts w:asciiTheme="majorHAnsi" w:hAnsiTheme="majorHAnsi" w:cstheme="majorHAnsi"/>
        </w:rPr>
      </w:pPr>
      <w:r w:rsidRPr="00CE1B38">
        <w:rPr>
          <w:rFonts w:asciiTheme="majorHAnsi" w:hAnsiTheme="majorHAnsi" w:cstheme="majorHAnsi"/>
        </w:rPr>
        <w:t xml:space="preserve">Emergency Risk Communication (CERC) Manual, p. 2. 2018. Retrieved from </w:t>
      </w:r>
      <w:hyperlink r:id="rId84" w:history="1">
        <w:r w:rsidRPr="00CE1B38">
          <w:rPr>
            <w:rStyle w:val="Hyperlink"/>
            <w:rFonts w:asciiTheme="majorHAnsi" w:hAnsiTheme="majorHAnsi" w:cstheme="majorHAnsi"/>
          </w:rPr>
          <w:t>https://emergency.cdc.gov/cerc/ppt/CERC_Introd</w:t>
        </w:r>
        <w:r w:rsidRPr="00CE1B38">
          <w:rPr>
            <w:rStyle w:val="Hyperlink"/>
            <w:rFonts w:asciiTheme="majorHAnsi" w:hAnsiTheme="majorHAnsi" w:cstheme="majorHAnsi"/>
          </w:rPr>
          <w:t>u</w:t>
        </w:r>
        <w:r w:rsidRPr="00CE1B38">
          <w:rPr>
            <w:rStyle w:val="Hyperlink"/>
            <w:rFonts w:asciiTheme="majorHAnsi" w:hAnsiTheme="majorHAnsi" w:cstheme="majorHAnsi"/>
          </w:rPr>
          <w:t>ction.pdf</w:t>
        </w:r>
      </w:hyperlink>
      <w:r w:rsidRPr="00CE1B38">
        <w:rPr>
          <w:rFonts w:asciiTheme="majorHAnsi" w:hAnsiTheme="majorHAnsi" w:cstheme="majorHAnsi"/>
        </w:rPr>
        <w:t>. Accessed December 13, 2020.</w:t>
      </w:r>
    </w:p>
  </w:footnote>
  <w:footnote w:id="105">
    <w:p w14:paraId="0FE4045E" w14:textId="77777777" w:rsidR="00A318FA" w:rsidRPr="00CE1B38" w:rsidRDefault="00A318FA" w:rsidP="008B13C9">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ASTHO. Profile of State and Territorial Public Health Dashboard: Governance. (2019) Retrieved from </w:t>
      </w:r>
      <w:hyperlink r:id="rId85" w:history="1">
        <w:r w:rsidRPr="00CE1B38">
          <w:rPr>
            <w:rStyle w:val="Hyperlink"/>
            <w:rFonts w:asciiTheme="majorHAnsi" w:hAnsiTheme="majorHAnsi" w:cstheme="majorHAnsi"/>
          </w:rPr>
          <w:t>https://www.astho.org/profile/</w:t>
        </w:r>
      </w:hyperlink>
      <w:r w:rsidRPr="00CE1B38">
        <w:rPr>
          <w:rFonts w:asciiTheme="majorHAnsi" w:hAnsiTheme="majorHAnsi" w:cstheme="majorHAnsi"/>
        </w:rPr>
        <w:t>. Accessed December 16, 2020.</w:t>
      </w:r>
    </w:p>
  </w:footnote>
  <w:footnote w:id="106">
    <w:p w14:paraId="2491DD6C" w14:textId="77777777" w:rsidR="00A318FA" w:rsidRPr="00CE1B38" w:rsidRDefault="00A318FA" w:rsidP="005A334D">
      <w:pPr>
        <w:tabs>
          <w:tab w:val="left" w:pos="686"/>
        </w:tabs>
        <w:rPr>
          <w:rFonts w:asciiTheme="majorHAnsi" w:hAnsiTheme="majorHAnsi" w:cstheme="majorHAnsi"/>
          <w:b/>
          <w:bCs/>
          <w:i/>
          <w:iCs/>
          <w:sz w:val="20"/>
          <w:szCs w:val="20"/>
        </w:rPr>
      </w:pPr>
      <w:r w:rsidRPr="00CE1B38">
        <w:rPr>
          <w:rFonts w:asciiTheme="majorHAnsi" w:hAnsiTheme="majorHAnsi" w:cstheme="majorHAnsi"/>
          <w:b/>
          <w:bCs/>
          <w:i/>
          <w:iCs/>
          <w:sz w:val="20"/>
          <w:szCs w:val="20"/>
          <w:highlight w:val="yellow"/>
        </w:rPr>
        <w:t>Footnotes will be streamlined and edited to style guide once text is finalized</w:t>
      </w:r>
    </w:p>
    <w:p w14:paraId="0AE835D4" w14:textId="56FCEAB9"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Retrieved from </w:t>
      </w:r>
      <w:hyperlink r:id="rId86" w:history="1">
        <w:r w:rsidRPr="00CE1B38">
          <w:rPr>
            <w:rStyle w:val="Hyperlink"/>
            <w:rFonts w:asciiTheme="majorHAnsi" w:hAnsiTheme="majorHAnsi" w:cstheme="majorHAnsi"/>
          </w:rPr>
          <w:t>https://www.cdc.gov/legionella/downloads/toolkit.pdf</w:t>
        </w:r>
      </w:hyperlink>
      <w:r w:rsidRPr="00CE1B38">
        <w:rPr>
          <w:rFonts w:asciiTheme="majorHAnsi" w:hAnsiTheme="majorHAnsi" w:cstheme="majorHAnsi"/>
        </w:rPr>
        <w:t xml:space="preserve"> (accessed December 13, 2020).</w:t>
      </w:r>
    </w:p>
  </w:footnote>
  <w:footnote w:id="107">
    <w:p w14:paraId="0965C555" w14:textId="7143DFB3"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Note</w:t>
      </w:r>
      <w:r w:rsidRPr="00CE1B38">
        <w:rPr>
          <w:rFonts w:asciiTheme="majorHAnsi" w:hAnsiTheme="majorHAnsi" w:cstheme="majorHAnsi"/>
        </w:rPr>
        <w:t xml:space="preserve"> all items in this section from: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 2. Retrieved from </w:t>
      </w:r>
      <w:hyperlink r:id="rId87" w:history="1">
        <w:r w:rsidRPr="00CE1B38">
          <w:rPr>
            <w:rStyle w:val="Hyperlink"/>
            <w:rFonts w:asciiTheme="majorHAnsi" w:hAnsiTheme="majorHAnsi" w:cstheme="majorHAnsi"/>
          </w:rPr>
          <w:t>https://www.cdc.gov/legionella/downloads/toolkit.pdf</w:t>
        </w:r>
      </w:hyperlink>
      <w:r w:rsidRPr="00CE1B38">
        <w:rPr>
          <w:rFonts w:asciiTheme="majorHAnsi" w:hAnsiTheme="majorHAnsi" w:cstheme="majorHAnsi"/>
        </w:rPr>
        <w:t xml:space="preserve"> (accessed December 13, 2020).</w:t>
      </w:r>
    </w:p>
  </w:footnote>
  <w:footnote w:id="108">
    <w:p w14:paraId="20501404" w14:textId="565AEEFE"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9" w:name="_Hlk55938905"/>
      <w:r w:rsidRPr="00CE1B38">
        <w:rPr>
          <w:rFonts w:asciiTheme="majorHAnsi" w:hAnsiTheme="majorHAnsi" w:cstheme="majorHAnsi"/>
        </w:rPr>
        <w:t xml:space="preserve">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 2. Retrieved from </w:t>
      </w:r>
      <w:hyperlink r:id="rId88" w:history="1">
        <w:r w:rsidRPr="00CE1B38">
          <w:rPr>
            <w:rStyle w:val="Hyperlink"/>
            <w:rFonts w:asciiTheme="majorHAnsi" w:hAnsiTheme="majorHAnsi" w:cstheme="majorHAnsi"/>
          </w:rPr>
          <w:t>https://www.cdc.gov/legionella/downloads/toolkit.pdf</w:t>
        </w:r>
      </w:hyperlink>
      <w:bookmarkEnd w:id="9"/>
      <w:r w:rsidRPr="00CE1B38">
        <w:rPr>
          <w:rFonts w:asciiTheme="majorHAnsi" w:hAnsiTheme="majorHAnsi" w:cstheme="majorHAnsi"/>
        </w:rPr>
        <w:t xml:space="preserve"> (accessed December 13, 2020).</w:t>
      </w:r>
    </w:p>
  </w:footnote>
  <w:footnote w:id="109">
    <w:p w14:paraId="3B1C9187" w14:textId="26514C1F"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Note</w:t>
      </w:r>
      <w:r w:rsidRPr="00CE1B38">
        <w:rPr>
          <w:rFonts w:asciiTheme="majorHAnsi" w:hAnsiTheme="majorHAnsi" w:cstheme="majorHAnsi"/>
        </w:rPr>
        <w:t xml:space="preserve"> all items in this section from: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 2. Retrieved from </w:t>
      </w:r>
      <w:hyperlink r:id="rId89" w:history="1">
        <w:r w:rsidRPr="00CE1B38">
          <w:rPr>
            <w:rStyle w:val="Hyperlink"/>
            <w:rFonts w:asciiTheme="majorHAnsi" w:hAnsiTheme="majorHAnsi" w:cstheme="majorHAnsi"/>
          </w:rPr>
          <w:t>https://www.cdc.gov/legionella/downloads/toolkit.pdf</w:t>
        </w:r>
      </w:hyperlink>
      <w:r w:rsidRPr="00CE1B38">
        <w:rPr>
          <w:rStyle w:val="Hyperlink"/>
          <w:rFonts w:asciiTheme="majorHAnsi" w:hAnsiTheme="majorHAnsi" w:cstheme="majorHAnsi"/>
        </w:rPr>
        <w:t xml:space="preserve"> </w:t>
      </w:r>
      <w:r w:rsidRPr="00CE1B38">
        <w:rPr>
          <w:rFonts w:asciiTheme="majorHAnsi" w:hAnsiTheme="majorHAnsi" w:cstheme="majorHAnsi"/>
        </w:rPr>
        <w:t>(accessed December 13, 2020).</w:t>
      </w:r>
    </w:p>
  </w:footnote>
  <w:footnote w:id="110">
    <w:p w14:paraId="5207CB19" w14:textId="709C5457" w:rsidR="00A318FA" w:rsidRPr="00CE1B38" w:rsidRDefault="00A318FA" w:rsidP="005A334D">
      <w:pPr>
        <w:rPr>
          <w:rFonts w:asciiTheme="majorHAnsi" w:hAnsiTheme="majorHAnsi" w:cstheme="majorHAnsi"/>
          <w:sz w:val="20"/>
          <w:szCs w:val="20"/>
        </w:rPr>
      </w:pPr>
      <w:r w:rsidRPr="00CE1B38">
        <w:rPr>
          <w:rStyle w:val="FootnoteReference"/>
          <w:rFonts w:asciiTheme="majorHAnsi" w:hAnsiTheme="majorHAnsi" w:cstheme="majorHAnsi"/>
          <w:sz w:val="20"/>
          <w:szCs w:val="20"/>
        </w:rPr>
        <w:footnoteRef/>
      </w:r>
      <w:r w:rsidRPr="00CE1B38">
        <w:rPr>
          <w:rFonts w:asciiTheme="majorHAnsi" w:hAnsiTheme="majorHAnsi" w:cstheme="majorHAnsi"/>
          <w:sz w:val="20"/>
          <w:szCs w:val="20"/>
        </w:rPr>
        <w:t xml:space="preserve">  CDC notes that cooling towers are used for heating, ventilation, air conditioning (HVAC), and industrial purposes. It describes the operation of a cooling tower as: “A cooling tower is designed to remove heat from a building or facility by spraying water down through the tower to exchange heat into the inside of the building. Air comes in from the sides of the tower and passes through the falling water. As the air passes through the water, heat is exchanged and some of the water evaporates. This heat and evaporated water flow out the top of the tower in the form of a fine cloud-like mist. The cooled water is collected at the bottom of the tower and pumped back into the plant or building for reuse.” CDC. Cooling Towers. Webpage last reviewed by CDC July 12, 2017. Retrieved from </w:t>
      </w:r>
      <w:hyperlink r:id="rId90" w:history="1">
        <w:r w:rsidRPr="00CE1B38">
          <w:rPr>
            <w:rStyle w:val="Hyperlink"/>
            <w:rFonts w:asciiTheme="majorHAnsi" w:hAnsiTheme="majorHAnsi" w:cstheme="majorHAnsi"/>
            <w:sz w:val="20"/>
            <w:szCs w:val="20"/>
          </w:rPr>
          <w:t>https://www.cdc.gov/healthywater/other/industrial/cooling_towers.html</w:t>
        </w:r>
      </w:hyperlink>
      <w:r w:rsidRPr="00CE1B38">
        <w:rPr>
          <w:rFonts w:asciiTheme="majorHAnsi" w:hAnsiTheme="majorHAnsi" w:cstheme="majorHAnsi"/>
          <w:sz w:val="20"/>
          <w:szCs w:val="20"/>
        </w:rPr>
        <w:t xml:space="preserve"> (accessed December 13, 2020).</w:t>
      </w:r>
    </w:p>
  </w:footnote>
  <w:footnote w:id="111">
    <w:p w14:paraId="10075CDF" w14:textId="7519FD6C" w:rsidR="00A318FA" w:rsidRPr="00CE1B38" w:rsidRDefault="00A318FA" w:rsidP="00C95653">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 2. Retrieved from </w:t>
      </w:r>
      <w:hyperlink r:id="rId91" w:history="1">
        <w:r w:rsidRPr="00CE1B38">
          <w:rPr>
            <w:rStyle w:val="Hyperlink"/>
            <w:rFonts w:asciiTheme="majorHAnsi" w:hAnsiTheme="majorHAnsi" w:cstheme="majorHAnsi"/>
          </w:rPr>
          <w:t>https://www.cdc.gov/legionella/downloads/toolkit.pdf</w:t>
        </w:r>
      </w:hyperlink>
      <w:r w:rsidRPr="00CE1B38">
        <w:rPr>
          <w:rFonts w:asciiTheme="majorHAnsi" w:hAnsiTheme="majorHAnsi" w:cstheme="majorHAnsi"/>
        </w:rPr>
        <w:t xml:space="preserve"> (accessed December 13, 2020).</w:t>
      </w:r>
    </w:p>
  </w:footnote>
  <w:footnote w:id="112">
    <w:p w14:paraId="6973E9B6" w14:textId="05C9F097" w:rsidR="00A318FA" w:rsidRPr="00CE1B38" w:rsidRDefault="00A318FA" w:rsidP="001B5A0E">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Biofilm comprises germs and the slime secreted by germs that grow on surfaces in continually moist environments. The biofilm layer becomes a source of food and provides protection to</w:t>
      </w:r>
      <w:r w:rsidRPr="00CE1B38">
        <w:rPr>
          <w:rFonts w:asciiTheme="majorHAnsi" w:hAnsiTheme="majorHAnsi" w:cstheme="majorHAnsi"/>
          <w:i/>
          <w:iCs/>
        </w:rPr>
        <w:t xml:space="preserve"> Legionella</w:t>
      </w:r>
      <w:r w:rsidRPr="00CE1B38">
        <w:rPr>
          <w:rFonts w:asciiTheme="majorHAnsi" w:hAnsiTheme="majorHAnsi" w:cstheme="majorHAnsi"/>
        </w:rPr>
        <w:t xml:space="preserve"> and many other types of germs.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p.5. Retrieved from </w:t>
      </w:r>
      <w:hyperlink r:id="rId92" w:history="1">
        <w:r w:rsidRPr="00CE1B38">
          <w:rPr>
            <w:rStyle w:val="Hyperlink"/>
            <w:rFonts w:asciiTheme="majorHAnsi" w:hAnsiTheme="majorHAnsi" w:cstheme="majorHAnsi"/>
          </w:rPr>
          <w:t>https://www.cdc.gov/legionella/downloads/toolkit.pdf</w:t>
        </w:r>
      </w:hyperlink>
      <w:r w:rsidRPr="00CE1B38">
        <w:rPr>
          <w:rStyle w:val="Hyperlink"/>
          <w:rFonts w:asciiTheme="majorHAnsi" w:hAnsiTheme="majorHAnsi" w:cstheme="majorHAnsi"/>
        </w:rPr>
        <w:t xml:space="preserve"> </w:t>
      </w:r>
      <w:r w:rsidRPr="00CE1B38">
        <w:rPr>
          <w:rStyle w:val="Hyperlink"/>
          <w:rFonts w:asciiTheme="majorHAnsi" w:hAnsiTheme="majorHAnsi" w:cstheme="majorHAnsi"/>
          <w:color w:val="auto"/>
          <w:u w:val="none"/>
        </w:rPr>
        <w:t>(accessed December 13, 2020)</w:t>
      </w:r>
      <w:r w:rsidRPr="00CE1B38">
        <w:rPr>
          <w:rFonts w:asciiTheme="majorHAnsi" w:hAnsiTheme="majorHAnsi" w:cstheme="majorHAnsi"/>
        </w:rPr>
        <w:t xml:space="preserve">. </w:t>
      </w:r>
      <w:r w:rsidRPr="00CE1B38">
        <w:rPr>
          <w:rFonts w:asciiTheme="majorHAnsi" w:hAnsiTheme="majorHAnsi" w:cstheme="majorHAnsi"/>
          <w:i/>
          <w:iCs/>
        </w:rPr>
        <w:t>See also</w:t>
      </w:r>
      <w:r w:rsidRPr="00CE1B38">
        <w:rPr>
          <w:rFonts w:asciiTheme="majorHAnsi" w:hAnsiTheme="majorHAnsi" w:cstheme="majorHAnsi"/>
        </w:rPr>
        <w:t xml:space="preserve"> ASHRAE. ASHRAE Guideline 12-2020, Managing the Risk of Legionellosis Associated with Building Water Systems. 2020. p.8. </w:t>
      </w:r>
    </w:p>
  </w:footnote>
  <w:footnote w:id="113">
    <w:p w14:paraId="058281E0" w14:textId="3AED41DB"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10" w:name="_Hlk55834702"/>
      <w:r w:rsidRPr="00CE1B38">
        <w:rPr>
          <w:rFonts w:asciiTheme="majorHAnsi" w:hAnsiTheme="majorHAnsi" w:cstheme="majorHAnsi"/>
        </w:rPr>
        <w:t xml:space="preserve">CDC. What Owners and Managers of Buildings and Healthcare Facilities Need to Know about the Growth and Spread of </w:t>
      </w:r>
      <w:proofErr w:type="gramStart"/>
      <w:r w:rsidRPr="00CE1B38">
        <w:rPr>
          <w:rFonts w:asciiTheme="majorHAnsi" w:hAnsiTheme="majorHAnsi" w:cstheme="majorHAnsi"/>
          <w:i/>
          <w:iCs/>
        </w:rPr>
        <w:t>Legionella</w:t>
      </w:r>
      <w:r w:rsidRPr="00CE1B38">
        <w:rPr>
          <w:rFonts w:asciiTheme="majorHAnsi" w:hAnsiTheme="majorHAnsi" w:cstheme="majorHAnsi"/>
        </w:rPr>
        <w:t>.</w:t>
      </w:r>
      <w:proofErr w:type="gramEnd"/>
      <w:r w:rsidRPr="00CE1B38">
        <w:rPr>
          <w:rFonts w:asciiTheme="majorHAnsi" w:hAnsiTheme="majorHAnsi" w:cstheme="majorHAnsi"/>
        </w:rPr>
        <w:t xml:space="preserve"> Webpage reviewed by CDC April 30, 2018. Retrieved from </w:t>
      </w:r>
      <w:hyperlink r:id="rId93" w:history="1">
        <w:r w:rsidRPr="00CE1B38">
          <w:rPr>
            <w:rStyle w:val="Hyperlink"/>
            <w:rFonts w:asciiTheme="majorHAnsi" w:hAnsiTheme="majorHAnsi" w:cstheme="majorHAnsi"/>
          </w:rPr>
          <w:t>https://www.cdc.gov/legionella/wmp/overview/growth-and-spread.html</w:t>
        </w:r>
      </w:hyperlink>
      <w:r w:rsidRPr="00CE1B38">
        <w:rPr>
          <w:rFonts w:asciiTheme="majorHAnsi" w:hAnsiTheme="majorHAnsi" w:cstheme="majorHAnsi"/>
        </w:rPr>
        <w:t xml:space="preserve"> (accessed December 13, 2020). </w:t>
      </w:r>
      <w:bookmarkStart w:id="11" w:name="_Hlk58764450"/>
      <w:bookmarkEnd w:id="10"/>
      <w:r w:rsidRPr="00CE1B38">
        <w:rPr>
          <w:rFonts w:asciiTheme="majorHAnsi" w:hAnsiTheme="majorHAnsi" w:cstheme="majorHAnsi"/>
          <w:i/>
          <w:iCs/>
        </w:rPr>
        <w:t>See also</w:t>
      </w:r>
      <w:r w:rsidRPr="00CE1B38">
        <w:rPr>
          <w:rFonts w:asciiTheme="majorHAnsi" w:hAnsiTheme="majorHAnsi" w:cstheme="majorHAnsi"/>
        </w:rPr>
        <w:t xml:space="preserve"> ASHRAE. ASHRAE Guideline 12-2020, Managing the Risk of Legionellosis Associated with Building Water Systems. 2020. </w:t>
      </w:r>
      <w:bookmarkEnd w:id="11"/>
    </w:p>
  </w:footnote>
  <w:footnote w:id="114">
    <w:p w14:paraId="3B160E41" w14:textId="51B27D6A"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ASHRAE Guideline 12-2020, Managing the Risk of Legionellosis Associated with Building Water Systems. 2020. p.8.</w:t>
      </w:r>
    </w:p>
  </w:footnote>
  <w:footnote w:id="115">
    <w:p w14:paraId="0723A456" w14:textId="6AF73344" w:rsidR="00A318FA" w:rsidRPr="00CE1B38" w:rsidRDefault="00A318FA" w:rsidP="001B5A0E">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 3. Retrieved from </w:t>
      </w:r>
      <w:hyperlink r:id="rId94" w:history="1">
        <w:r w:rsidRPr="00CE1B38">
          <w:rPr>
            <w:rStyle w:val="Hyperlink"/>
            <w:rFonts w:asciiTheme="majorHAnsi" w:hAnsiTheme="majorHAnsi" w:cstheme="majorHAnsi"/>
          </w:rPr>
          <w:t>https://www.cdc.gov/legionella/downloads/toolkit.pdf</w:t>
        </w:r>
      </w:hyperlink>
      <w:r w:rsidRPr="00CE1B38">
        <w:rPr>
          <w:rStyle w:val="Hyperlink"/>
          <w:rFonts w:asciiTheme="majorHAnsi" w:hAnsiTheme="majorHAnsi" w:cstheme="majorHAnsi"/>
        </w:rPr>
        <w:t xml:space="preserve"> </w:t>
      </w:r>
      <w:r w:rsidRPr="00CE1B38">
        <w:rPr>
          <w:rStyle w:val="Hyperlink"/>
          <w:rFonts w:asciiTheme="majorHAnsi" w:hAnsiTheme="majorHAnsi" w:cstheme="majorHAnsi"/>
          <w:color w:val="auto"/>
          <w:u w:val="none"/>
        </w:rPr>
        <w:t>(accessed December 13, 2020)</w:t>
      </w:r>
      <w:r w:rsidRPr="00CE1B38">
        <w:rPr>
          <w:rFonts w:asciiTheme="majorHAnsi" w:hAnsiTheme="majorHAnsi" w:cstheme="majorHAnsi"/>
        </w:rPr>
        <w:t>.</w:t>
      </w:r>
    </w:p>
  </w:footnote>
  <w:footnote w:id="116">
    <w:p w14:paraId="448CE026" w14:textId="385DB7ED"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ASHRAE Guideline 12-2020, Managing the Risk of Legionellosis Associated with Building Water Systems. 2020. p.8.</w:t>
      </w:r>
    </w:p>
  </w:footnote>
  <w:footnote w:id="117">
    <w:p w14:paraId="50E3CB7B" w14:textId="67AD02F8"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ASHRAE Guideline 12-2020, Managing the Risk of Legionellosis Associated with Building Water Systems. 2020. p.8.</w:t>
      </w:r>
    </w:p>
  </w:footnote>
  <w:footnote w:id="118">
    <w:p w14:paraId="477E173C" w14:textId="24A9391E"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ASHRAE Guideline 12-2020, Managing the Risk of Legionellosis Associated with Building Water Systems. 2020. p.8-9.</w:t>
      </w:r>
    </w:p>
  </w:footnote>
  <w:footnote w:id="119">
    <w:p w14:paraId="5BA3C14A" w14:textId="11254FA5"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ASHRAE Guideline 12-2020, Managing the Risk of Legionellosis Associated with Building Water Systems. 2020. p.8-9.</w:t>
      </w:r>
    </w:p>
  </w:footnote>
  <w:footnote w:id="120">
    <w:p w14:paraId="4763B8AB" w14:textId="48B921D7" w:rsidR="00A318FA" w:rsidRPr="00CE1B38" w:rsidRDefault="00A318FA" w:rsidP="001543F1">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What Owners and Managers of Buildings and Healthcare Facilities Need to Know about the Growth and Spread of </w:t>
      </w:r>
      <w:proofErr w:type="gramStart"/>
      <w:r w:rsidRPr="00CE1B38">
        <w:rPr>
          <w:rFonts w:asciiTheme="majorHAnsi" w:hAnsiTheme="majorHAnsi" w:cstheme="majorHAnsi"/>
          <w:i/>
          <w:iCs/>
        </w:rPr>
        <w:t>Legionella</w:t>
      </w:r>
      <w:r w:rsidRPr="00CE1B38">
        <w:rPr>
          <w:rFonts w:asciiTheme="majorHAnsi" w:hAnsiTheme="majorHAnsi" w:cstheme="majorHAnsi"/>
        </w:rPr>
        <w:t>.</w:t>
      </w:r>
      <w:proofErr w:type="gramEnd"/>
      <w:r w:rsidRPr="00CE1B38">
        <w:rPr>
          <w:rFonts w:asciiTheme="majorHAnsi" w:hAnsiTheme="majorHAnsi" w:cstheme="majorHAnsi"/>
        </w:rPr>
        <w:t xml:space="preserve"> Webpage reviewed by CDC April 30, 2018. Retrieved from </w:t>
      </w:r>
      <w:hyperlink r:id="rId95" w:history="1">
        <w:r w:rsidRPr="00CE1B38">
          <w:rPr>
            <w:rStyle w:val="Hyperlink"/>
            <w:rFonts w:asciiTheme="majorHAnsi" w:hAnsiTheme="majorHAnsi" w:cstheme="majorHAnsi"/>
          </w:rPr>
          <w:t>https://www.cdc.gov/legionella/wmp/overview/growth-and-spread.html</w:t>
        </w:r>
      </w:hyperlink>
      <w:r w:rsidRPr="00CE1B38">
        <w:rPr>
          <w:rStyle w:val="Hyperlink"/>
          <w:rFonts w:asciiTheme="majorHAnsi" w:hAnsiTheme="majorHAnsi" w:cstheme="majorHAnsi"/>
        </w:rPr>
        <w:t xml:space="preserve"> </w:t>
      </w:r>
      <w:r w:rsidRPr="00CE1B38">
        <w:rPr>
          <w:rStyle w:val="Hyperlink"/>
          <w:rFonts w:asciiTheme="majorHAnsi" w:hAnsiTheme="majorHAnsi" w:cstheme="majorHAnsi"/>
          <w:color w:val="auto"/>
          <w:u w:val="none"/>
        </w:rPr>
        <w:t>(accessed December 13, 2020)</w:t>
      </w:r>
      <w:r w:rsidRPr="00CE1B38">
        <w:rPr>
          <w:rFonts w:asciiTheme="majorHAnsi" w:hAnsiTheme="majorHAnsi" w:cstheme="majorHAnsi"/>
        </w:rPr>
        <w:t>.</w:t>
      </w:r>
    </w:p>
  </w:footnote>
  <w:footnote w:id="121">
    <w:p w14:paraId="3FE21700" w14:textId="62B16BD7"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Note:</w:t>
      </w:r>
      <w:r w:rsidRPr="00CE1B38">
        <w:rPr>
          <w:rFonts w:asciiTheme="majorHAnsi" w:hAnsiTheme="majorHAnsi" w:cstheme="majorHAnsi"/>
        </w:rPr>
        <w:t xml:space="preserve"> The design of a building’s water system and the water flow within the building’s pipes can lead to water aging through stagnation. A system may have “dead legs” in their pipe structures (i.e., outlets to nowhere that are not easily flushed out and in which biofilm can collect) or areas in which water can “backflow” or be recirculated throughout the system. </w:t>
      </w:r>
    </w:p>
  </w:footnote>
  <w:footnote w:id="122">
    <w:p w14:paraId="6662AA65" w14:textId="1C5A39B6"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What Owners and Managers of Buildings and Healthcare Facilities Need to Know about the Growth and Spread of </w:t>
      </w:r>
      <w:proofErr w:type="gramStart"/>
      <w:r w:rsidRPr="00CE1B38">
        <w:rPr>
          <w:rFonts w:asciiTheme="majorHAnsi" w:hAnsiTheme="majorHAnsi" w:cstheme="majorHAnsi"/>
          <w:i/>
          <w:iCs/>
        </w:rPr>
        <w:t>Legionella</w:t>
      </w:r>
      <w:r w:rsidRPr="00CE1B38">
        <w:rPr>
          <w:rFonts w:asciiTheme="majorHAnsi" w:hAnsiTheme="majorHAnsi" w:cstheme="majorHAnsi"/>
        </w:rPr>
        <w:t>.</w:t>
      </w:r>
      <w:proofErr w:type="gramEnd"/>
      <w:r w:rsidRPr="00CE1B38">
        <w:rPr>
          <w:rFonts w:asciiTheme="majorHAnsi" w:hAnsiTheme="majorHAnsi" w:cstheme="majorHAnsi"/>
        </w:rPr>
        <w:t xml:space="preserve"> Webpage reviewed by CDC April 30, 2018. Retrieved from </w:t>
      </w:r>
      <w:hyperlink r:id="rId96" w:history="1">
        <w:r w:rsidRPr="00CE1B38">
          <w:rPr>
            <w:rStyle w:val="Hyperlink"/>
            <w:rFonts w:asciiTheme="majorHAnsi" w:hAnsiTheme="majorHAnsi" w:cstheme="majorHAnsi"/>
          </w:rPr>
          <w:t>https://www.cdc.gov/legionella/wmp/overview/growth-and-spread.html</w:t>
        </w:r>
      </w:hyperlink>
      <w:r w:rsidRPr="00CE1B38">
        <w:rPr>
          <w:rFonts w:asciiTheme="majorHAnsi" w:hAnsiTheme="majorHAnsi" w:cstheme="majorHAnsi"/>
        </w:rPr>
        <w:t xml:space="preserve"> (accessed December 13, 2020).</w:t>
      </w:r>
    </w:p>
  </w:footnote>
  <w:footnote w:id="123">
    <w:p w14:paraId="3341168A" w14:textId="28354FC3" w:rsidR="00A318FA" w:rsidRPr="00CE1B38" w:rsidRDefault="00A318FA" w:rsidP="003A61D9">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Because disinfectants are their most effective within a particular range (approximately 6.5 to 8.5), fluctuations in pH levels can reduce the effectiveness of disinfectants and allow for germs like </w:t>
      </w:r>
      <w:r w:rsidRPr="00CE1B38">
        <w:rPr>
          <w:rFonts w:asciiTheme="majorHAnsi" w:hAnsiTheme="majorHAnsi" w:cstheme="majorHAnsi"/>
          <w:i/>
          <w:iCs/>
        </w:rPr>
        <w:t>Legionella</w:t>
      </w:r>
      <w:r w:rsidRPr="00CE1B38">
        <w:rPr>
          <w:rFonts w:asciiTheme="majorHAnsi" w:hAnsiTheme="majorHAnsi" w:cstheme="majorHAnsi"/>
        </w:rPr>
        <w:t xml:space="preserve"> to proliferate in a water system.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 5. Retrieved from </w:t>
      </w:r>
      <w:hyperlink r:id="rId97" w:history="1">
        <w:r w:rsidRPr="00CE1B38">
          <w:rPr>
            <w:rStyle w:val="Hyperlink"/>
            <w:rFonts w:asciiTheme="majorHAnsi" w:hAnsiTheme="majorHAnsi" w:cstheme="majorHAnsi"/>
          </w:rPr>
          <w:t>https://www.cdc.gov/legionella/downloads/toolkit.pdf</w:t>
        </w:r>
      </w:hyperlink>
      <w:r w:rsidRPr="00CE1B38">
        <w:rPr>
          <w:rFonts w:asciiTheme="majorHAnsi" w:hAnsiTheme="majorHAnsi" w:cstheme="majorHAnsi"/>
        </w:rPr>
        <w:t xml:space="preserve"> (accessed December 13, 2020).</w:t>
      </w:r>
    </w:p>
  </w:footnote>
  <w:footnote w:id="124">
    <w:p w14:paraId="2C8298E0" w14:textId="1CDE75D5"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ASHRAE Guideline 12-2020, Managing the Risk of Legionellosis Associated with Building Water Systems. 2020. p.14-15.</w:t>
      </w:r>
    </w:p>
  </w:footnote>
  <w:footnote w:id="125">
    <w:p w14:paraId="630A85F8" w14:textId="7E528879" w:rsidR="00A318FA" w:rsidRPr="00CE1B38" w:rsidRDefault="00A318FA" w:rsidP="003A61D9">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What Owners and Managers of Buildings and Healthcare Facilities Need to Know about the Growth and Spread of </w:t>
      </w:r>
      <w:proofErr w:type="gramStart"/>
      <w:r w:rsidRPr="00CE1B38">
        <w:rPr>
          <w:rFonts w:asciiTheme="majorHAnsi" w:hAnsiTheme="majorHAnsi" w:cstheme="majorHAnsi"/>
          <w:i/>
          <w:iCs/>
        </w:rPr>
        <w:t>Legionella</w:t>
      </w:r>
      <w:r w:rsidRPr="00CE1B38">
        <w:rPr>
          <w:rFonts w:asciiTheme="majorHAnsi" w:hAnsiTheme="majorHAnsi" w:cstheme="majorHAnsi"/>
        </w:rPr>
        <w:t>.</w:t>
      </w:r>
      <w:proofErr w:type="gramEnd"/>
      <w:r w:rsidRPr="00CE1B38">
        <w:rPr>
          <w:rFonts w:asciiTheme="majorHAnsi" w:hAnsiTheme="majorHAnsi" w:cstheme="majorHAnsi"/>
        </w:rPr>
        <w:t xml:space="preserve"> Webpage reviewed by CDC April 30, 2018. Retrieved from </w:t>
      </w:r>
      <w:hyperlink r:id="rId98" w:history="1">
        <w:r w:rsidRPr="00CE1B38">
          <w:rPr>
            <w:rStyle w:val="Hyperlink"/>
            <w:rFonts w:asciiTheme="majorHAnsi" w:hAnsiTheme="majorHAnsi" w:cstheme="majorHAnsi"/>
          </w:rPr>
          <w:t>https://www.cdc.gov/legionella/wmp/overview/growth-and-spread.html</w:t>
        </w:r>
      </w:hyperlink>
      <w:r w:rsidRPr="00CE1B38">
        <w:rPr>
          <w:rStyle w:val="Hyperlink"/>
          <w:rFonts w:asciiTheme="majorHAnsi" w:hAnsiTheme="majorHAnsi" w:cstheme="majorHAnsi"/>
          <w:color w:val="auto"/>
          <w:u w:val="none"/>
        </w:rPr>
        <w:t xml:space="preserve"> (accessed December 13, 2020)</w:t>
      </w:r>
      <w:r w:rsidRPr="00CE1B38">
        <w:rPr>
          <w:rFonts w:asciiTheme="majorHAnsi" w:hAnsiTheme="majorHAnsi" w:cstheme="majorHAnsi"/>
        </w:rPr>
        <w:t>.</w:t>
      </w:r>
    </w:p>
  </w:footnote>
  <w:footnote w:id="126">
    <w:p w14:paraId="722FD049" w14:textId="46892F2E"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12" w:name="_Hlk55904958"/>
      <w:r w:rsidRPr="00CE1B38">
        <w:rPr>
          <w:rFonts w:asciiTheme="majorHAnsi" w:hAnsiTheme="majorHAnsi" w:cstheme="majorHAnsi"/>
        </w:rPr>
        <w:t xml:space="preserve">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p. 4. Retrieved from </w:t>
      </w:r>
      <w:hyperlink r:id="rId99" w:history="1">
        <w:r w:rsidRPr="00CE1B38">
          <w:rPr>
            <w:rStyle w:val="Hyperlink"/>
            <w:rFonts w:asciiTheme="majorHAnsi" w:hAnsiTheme="majorHAnsi" w:cstheme="majorHAnsi"/>
          </w:rPr>
          <w:t>https://www.cdc.gov/legionella/downloads/toolkit.pdf</w:t>
        </w:r>
      </w:hyperlink>
      <w:r w:rsidRPr="00CE1B38">
        <w:rPr>
          <w:rStyle w:val="Hyperlink"/>
          <w:rFonts w:asciiTheme="majorHAnsi" w:hAnsiTheme="majorHAnsi" w:cstheme="majorHAnsi"/>
          <w:color w:val="auto"/>
          <w:u w:val="none"/>
        </w:rPr>
        <w:t xml:space="preserve"> </w:t>
      </w:r>
      <w:r w:rsidRPr="00CE1B38">
        <w:rPr>
          <w:rFonts w:asciiTheme="majorHAnsi" w:hAnsiTheme="majorHAnsi" w:cstheme="majorHAnsi"/>
        </w:rPr>
        <w:t>(accessed December 13, 2020).</w:t>
      </w:r>
      <w:bookmarkEnd w:id="12"/>
    </w:p>
  </w:footnote>
  <w:footnote w:id="127">
    <w:p w14:paraId="2F567A6E" w14:textId="051231D6"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w:t>
      </w:r>
      <w:bookmarkStart w:id="13" w:name="_Hlk56004993"/>
      <w:r w:rsidRPr="00CE1B38">
        <w:rPr>
          <w:rFonts w:asciiTheme="majorHAnsi" w:hAnsiTheme="majorHAnsi" w:cstheme="majorHAnsi"/>
        </w:rPr>
        <w:t xml:space="preserve">Developing a Water Management Program to Reduce </w:t>
      </w:r>
      <w:r w:rsidRPr="00CE1B38">
        <w:rPr>
          <w:rFonts w:asciiTheme="majorHAnsi" w:hAnsiTheme="majorHAnsi" w:cstheme="majorHAnsi"/>
          <w:i/>
          <w:iCs/>
        </w:rPr>
        <w:t xml:space="preserve">Legionella </w:t>
      </w:r>
      <w:r w:rsidRPr="00CE1B38">
        <w:rPr>
          <w:rFonts w:asciiTheme="majorHAnsi" w:hAnsiTheme="majorHAnsi" w:cstheme="majorHAnsi"/>
        </w:rPr>
        <w:t>Growth and Spread in Buildings: A Practical Guide to Implementing Industry Standards.</w:t>
      </w:r>
      <w:bookmarkEnd w:id="13"/>
      <w:r w:rsidRPr="00CE1B38">
        <w:rPr>
          <w:rFonts w:asciiTheme="majorHAnsi" w:hAnsiTheme="majorHAnsi" w:cstheme="majorHAnsi"/>
        </w:rPr>
        <w:t xml:space="preserve"> June 5, 2017. Version 1.1. p. 4. Retrieved from </w:t>
      </w:r>
      <w:hyperlink r:id="rId100" w:history="1">
        <w:r w:rsidRPr="00CE1B38">
          <w:rPr>
            <w:rStyle w:val="Hyperlink"/>
            <w:rFonts w:asciiTheme="majorHAnsi" w:hAnsiTheme="majorHAnsi" w:cstheme="majorHAnsi"/>
          </w:rPr>
          <w:t>https://www.cdc.gov/legionella/downloads/toolkit.pdf</w:t>
        </w:r>
      </w:hyperlink>
      <w:r w:rsidRPr="00CE1B38">
        <w:rPr>
          <w:rStyle w:val="Hyperlink"/>
          <w:rFonts w:asciiTheme="majorHAnsi" w:hAnsiTheme="majorHAnsi" w:cstheme="majorHAnsi"/>
          <w:color w:val="auto"/>
          <w:u w:val="none"/>
        </w:rPr>
        <w:t xml:space="preserve"> </w:t>
      </w:r>
      <w:r w:rsidRPr="00CE1B38">
        <w:rPr>
          <w:rFonts w:asciiTheme="majorHAnsi" w:hAnsiTheme="majorHAnsi" w:cstheme="majorHAnsi"/>
        </w:rPr>
        <w:t>(accessed December 13, 2020).</w:t>
      </w:r>
    </w:p>
  </w:footnote>
  <w:footnote w:id="128">
    <w:p w14:paraId="23A395D2" w14:textId="2146057B"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Developing a Water Management Program to Reduce Legionella Growth and Spread in Buildings: A Practical Guide to Implementing Industry Standards. June 5, 2017. Version 1.1. p. 4. Retrieved from </w:t>
      </w:r>
      <w:hyperlink r:id="rId101" w:history="1">
        <w:r w:rsidRPr="00CE1B38">
          <w:rPr>
            <w:rStyle w:val="Hyperlink"/>
            <w:rFonts w:asciiTheme="majorHAnsi" w:hAnsiTheme="majorHAnsi" w:cstheme="majorHAnsi"/>
          </w:rPr>
          <w:t>https://www.cdc.gov/legionella/downloads/toolkit.pdf</w:t>
        </w:r>
      </w:hyperlink>
      <w:r w:rsidRPr="00CE1B38">
        <w:rPr>
          <w:rStyle w:val="Hyperlink"/>
          <w:rFonts w:asciiTheme="majorHAnsi" w:hAnsiTheme="majorHAnsi" w:cstheme="majorHAnsi"/>
          <w:color w:val="auto"/>
          <w:u w:val="none"/>
        </w:rPr>
        <w:t xml:space="preserve"> </w:t>
      </w:r>
      <w:r w:rsidRPr="00CE1B38">
        <w:rPr>
          <w:rFonts w:asciiTheme="majorHAnsi" w:hAnsiTheme="majorHAnsi" w:cstheme="majorHAnsi"/>
        </w:rPr>
        <w:t>(accessed December 13, 2020).</w:t>
      </w:r>
    </w:p>
  </w:footnote>
  <w:footnote w:id="129">
    <w:p w14:paraId="55B7542F" w14:textId="19CD29F1"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bookmarkStart w:id="15" w:name="_Hlk55999298"/>
      <w:r w:rsidRPr="00CE1B38">
        <w:rPr>
          <w:rFonts w:asciiTheme="majorHAnsi" w:hAnsiTheme="majorHAnsi" w:cstheme="majorHAnsi"/>
        </w:rPr>
        <w:t xml:space="preserve">CDC. Overview of Water Management Programs. Website last reviewed by CDC April 30, 2018. Retrieved from </w:t>
      </w:r>
      <w:hyperlink r:id="rId102" w:history="1">
        <w:r w:rsidRPr="00CE1B38">
          <w:rPr>
            <w:rStyle w:val="Hyperlink"/>
            <w:rFonts w:asciiTheme="majorHAnsi" w:hAnsiTheme="majorHAnsi" w:cstheme="majorHAnsi"/>
          </w:rPr>
          <w:t>https://www.cdc.gov/legionella/wmp/overview.html</w:t>
        </w:r>
      </w:hyperlink>
      <w:r w:rsidRPr="00CE1B38">
        <w:rPr>
          <w:rStyle w:val="Hyperlink"/>
          <w:rFonts w:asciiTheme="majorHAnsi" w:hAnsiTheme="majorHAnsi" w:cstheme="majorHAnsi"/>
          <w:color w:val="auto"/>
          <w:u w:val="none"/>
        </w:rPr>
        <w:t xml:space="preserve"> </w:t>
      </w:r>
      <w:r w:rsidRPr="00CE1B38">
        <w:rPr>
          <w:rFonts w:asciiTheme="majorHAnsi" w:hAnsiTheme="majorHAnsi" w:cstheme="majorHAnsi"/>
        </w:rPr>
        <w:t>(accessed December 13, 2020</w:t>
      </w:r>
      <w:proofErr w:type="gramStart"/>
      <w:r w:rsidRPr="00CE1B38">
        <w:rPr>
          <w:rFonts w:asciiTheme="majorHAnsi" w:hAnsiTheme="majorHAnsi" w:cstheme="majorHAnsi"/>
        </w:rPr>
        <w:t>)..</w:t>
      </w:r>
      <w:proofErr w:type="gramEnd"/>
      <w:r w:rsidRPr="00CE1B38">
        <w:rPr>
          <w:rFonts w:asciiTheme="majorHAnsi" w:hAnsiTheme="majorHAnsi" w:cstheme="majorHAnsi"/>
        </w:rPr>
        <w:t xml:space="preserve"> </w:t>
      </w:r>
      <w:bookmarkEnd w:id="15"/>
    </w:p>
  </w:footnote>
  <w:footnote w:id="130">
    <w:p w14:paraId="75256012" w14:textId="0FA4CC7A" w:rsidR="00A318FA" w:rsidRPr="00CE1B38" w:rsidRDefault="00A318FA" w:rsidP="00924BA5">
      <w:pPr>
        <w:pStyle w:val="FootnoteText"/>
        <w:rPr>
          <w:rFonts w:asciiTheme="majorHAnsi" w:hAnsiTheme="majorHAnsi" w:cstheme="majorHAnsi"/>
          <w:u w:val="single"/>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Standard 188-2018</w:t>
      </w:r>
      <w:r w:rsidRPr="00CE1B38">
        <w:rPr>
          <w:rFonts w:asciiTheme="majorHAnsi" w:hAnsiTheme="majorHAnsi" w:cstheme="majorHAnsi"/>
          <w:i/>
          <w:iCs/>
        </w:rPr>
        <w:t>: Legionellosis</w:t>
      </w:r>
      <w:r w:rsidRPr="00CE1B38">
        <w:rPr>
          <w:rFonts w:asciiTheme="majorHAnsi" w:hAnsiTheme="majorHAnsi" w:cstheme="majorHAnsi"/>
        </w:rPr>
        <w:t>: Risk Management for Building Water Systems (ANSI approved). 2018.</w:t>
      </w:r>
    </w:p>
  </w:footnote>
  <w:footnote w:id="131">
    <w:p w14:paraId="0C0DDEFE" w14:textId="45735793"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ANSI is a “private, non-profit organization that administers and coordinates the U.S. voluntary standards and conformity assessment system” ... that “provides a framework for fair standards development and quality conformity assessment systems and continually works to safeguard their integrity.”  ANSI. About ANSI website. Undated. Retrieved from </w:t>
      </w:r>
      <w:hyperlink r:id="rId103" w:history="1">
        <w:r w:rsidRPr="00CE1B38">
          <w:rPr>
            <w:rStyle w:val="Hyperlink"/>
            <w:rFonts w:asciiTheme="majorHAnsi" w:hAnsiTheme="majorHAnsi" w:cstheme="majorHAnsi"/>
          </w:rPr>
          <w:t>https://www.ansi.org/about/introduction</w:t>
        </w:r>
      </w:hyperlink>
      <w:r w:rsidRPr="00CE1B38">
        <w:rPr>
          <w:rFonts w:asciiTheme="majorHAnsi" w:hAnsiTheme="majorHAnsi" w:cstheme="majorHAnsi"/>
        </w:rPr>
        <w:t xml:space="preserve"> (accessed December 13, 2020).</w:t>
      </w:r>
    </w:p>
  </w:footnote>
  <w:footnote w:id="132">
    <w:p w14:paraId="39EEFBB1" w14:textId="40111CB8"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See</w:t>
      </w:r>
      <w:r w:rsidRPr="00CE1B38">
        <w:rPr>
          <w:rFonts w:asciiTheme="majorHAnsi" w:hAnsiTheme="majorHAnsi" w:cstheme="majorHAnsi"/>
        </w:rPr>
        <w:t xml:space="preserve"> Environmental Law Institute. Legionella Management in Building Water Systems: Developments in State Policy website. Website last updated October 2018. Retrieved from </w:t>
      </w:r>
      <w:hyperlink r:id="rId104" w:history="1">
        <w:r w:rsidRPr="00CE1B38">
          <w:rPr>
            <w:rStyle w:val="Hyperlink"/>
            <w:rFonts w:asciiTheme="majorHAnsi" w:hAnsiTheme="majorHAnsi" w:cstheme="majorHAnsi"/>
          </w:rPr>
          <w:t>https://www.eli.org/buildings/legionella-management</w:t>
        </w:r>
      </w:hyperlink>
      <w:r w:rsidRPr="00CE1B38">
        <w:rPr>
          <w:rFonts w:asciiTheme="majorHAnsi" w:hAnsiTheme="majorHAnsi" w:cstheme="majorHAnsi"/>
        </w:rPr>
        <w:t xml:space="preserve"> (accessed December 13, 2020).</w:t>
      </w:r>
    </w:p>
  </w:footnote>
  <w:footnote w:id="133">
    <w:p w14:paraId="3253242A" w14:textId="70E20A7F"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ASHRAE Guideline 12-2020, Managing the Risk of Legionellosis Associated with Building Water Systems. 2020.</w:t>
      </w:r>
    </w:p>
  </w:footnote>
  <w:footnote w:id="134">
    <w:p w14:paraId="35E379F1" w14:textId="223F80BD"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Overview of Water Management Programs. Website last reviewed by CDC April 30, 2018. Retrieved from </w:t>
      </w:r>
      <w:hyperlink r:id="rId105" w:history="1">
        <w:r w:rsidRPr="00CE1B38">
          <w:rPr>
            <w:rStyle w:val="Hyperlink"/>
            <w:rFonts w:asciiTheme="majorHAnsi" w:hAnsiTheme="majorHAnsi" w:cstheme="majorHAnsi"/>
          </w:rPr>
          <w:t>https://www.cdc.gov/legionella/wmp/overview.html</w:t>
        </w:r>
      </w:hyperlink>
      <w:r w:rsidRPr="00CE1B38">
        <w:rPr>
          <w:rFonts w:asciiTheme="majorHAnsi" w:hAnsiTheme="majorHAnsi" w:cstheme="majorHAnsi"/>
        </w:rPr>
        <w:t xml:space="preserve"> (accessed December 13, 2020).</w:t>
      </w:r>
    </w:p>
  </w:footnote>
  <w:footnote w:id="135">
    <w:p w14:paraId="72C9DF80" w14:textId="464C0CB9"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Overview of Water Management Programs. Webpage last reviewed by CDC April 30, 2018. Retrieved from </w:t>
      </w:r>
      <w:hyperlink r:id="rId106" w:history="1">
        <w:r w:rsidRPr="00CE1B38">
          <w:rPr>
            <w:rStyle w:val="Hyperlink"/>
            <w:rFonts w:asciiTheme="majorHAnsi" w:hAnsiTheme="majorHAnsi" w:cstheme="majorHAnsi"/>
          </w:rPr>
          <w:t>https://www.cdc.gov/legionella/wmp/overview.html</w:t>
        </w:r>
      </w:hyperlink>
      <w:r w:rsidRPr="00CE1B38">
        <w:rPr>
          <w:rStyle w:val="Hyperlink"/>
          <w:rFonts w:asciiTheme="majorHAnsi" w:hAnsiTheme="majorHAnsi" w:cstheme="majorHAnsi"/>
          <w:u w:val="none"/>
        </w:rPr>
        <w:t xml:space="preserve"> </w:t>
      </w:r>
      <w:r w:rsidRPr="00CE1B38">
        <w:rPr>
          <w:rFonts w:asciiTheme="majorHAnsi" w:hAnsiTheme="majorHAnsi" w:cstheme="majorHAnsi"/>
        </w:rPr>
        <w:t>(accessed December 13, 2020).</w:t>
      </w:r>
    </w:p>
  </w:footnote>
  <w:footnote w:id="136">
    <w:p w14:paraId="4590203E" w14:textId="59C4BE83"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ASHRAE. Standard 188-2018: Legionellosis: Risk Management for Building Water Systems (ANSI approved). 2018. Retrieved from </w:t>
      </w:r>
      <w:hyperlink r:id="rId107" w:history="1">
        <w:r w:rsidRPr="00CE1B38">
          <w:rPr>
            <w:rStyle w:val="Hyperlink"/>
            <w:rFonts w:asciiTheme="majorHAnsi" w:hAnsiTheme="majorHAnsi" w:cstheme="majorHAnsi"/>
          </w:rPr>
          <w:t>https://www.ashrae.org/technical-resources/bookstore/ansi-ashrae-standard-188-2018-legionellosis-risk-management-for-building-water-systems</w:t>
        </w:r>
      </w:hyperlink>
      <w:r w:rsidRPr="00CE1B38">
        <w:rPr>
          <w:rFonts w:asciiTheme="majorHAnsi" w:hAnsiTheme="majorHAnsi" w:cstheme="majorHAnsi"/>
        </w:rPr>
        <w:t xml:space="preserve"> (accessed December 13, 2020).</w:t>
      </w:r>
    </w:p>
  </w:footnote>
  <w:footnote w:id="137">
    <w:p w14:paraId="4531D658" w14:textId="017BDED6"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Developing a Water Management Program to Reduce </w:t>
      </w:r>
      <w:r w:rsidRPr="00CE1B38">
        <w:rPr>
          <w:rFonts w:asciiTheme="majorHAnsi" w:hAnsiTheme="majorHAnsi" w:cstheme="majorHAnsi"/>
          <w:i/>
          <w:iCs/>
        </w:rPr>
        <w:t>Legionella</w:t>
      </w:r>
      <w:r w:rsidRPr="00CE1B38">
        <w:rPr>
          <w:rFonts w:asciiTheme="majorHAnsi" w:hAnsiTheme="majorHAnsi" w:cstheme="majorHAnsi"/>
        </w:rPr>
        <w:t xml:space="preserve"> Growth and Spread in Buildings: A Practical Guide to Implementing Industry Standards. June 5, 2017. Version 1.1. Retrieved from </w:t>
      </w:r>
      <w:hyperlink r:id="rId108" w:history="1">
        <w:r w:rsidRPr="00CE1B38">
          <w:rPr>
            <w:rStyle w:val="Hyperlink"/>
            <w:rFonts w:asciiTheme="majorHAnsi" w:hAnsiTheme="majorHAnsi" w:cstheme="majorHAnsi"/>
          </w:rPr>
          <w:t>https://www.cdc.gov/legionella/downloads/toolkit.pdf</w:t>
        </w:r>
      </w:hyperlink>
      <w:r w:rsidRPr="00CE1B38">
        <w:rPr>
          <w:rFonts w:asciiTheme="majorHAnsi" w:hAnsiTheme="majorHAnsi" w:cstheme="majorHAnsi"/>
        </w:rPr>
        <w:t xml:space="preserve"> (accessed December 13, 2020).</w:t>
      </w:r>
    </w:p>
  </w:footnote>
  <w:footnote w:id="138">
    <w:p w14:paraId="028930D1" w14:textId="7817B5BD"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Preventing Legionnaires’ Disease: A Training on Legionella Water Management Programs (</w:t>
      </w:r>
      <w:proofErr w:type="spellStart"/>
      <w:r w:rsidRPr="00CE1B38">
        <w:rPr>
          <w:rFonts w:asciiTheme="majorHAnsi" w:hAnsiTheme="majorHAnsi" w:cstheme="majorHAnsi"/>
        </w:rPr>
        <w:t>PreventLD</w:t>
      </w:r>
      <w:proofErr w:type="spellEnd"/>
      <w:r w:rsidRPr="00CE1B38">
        <w:rPr>
          <w:rFonts w:asciiTheme="majorHAnsi" w:hAnsiTheme="majorHAnsi" w:cstheme="majorHAnsi"/>
        </w:rPr>
        <w:t xml:space="preserve"> Training) webpage. Webpage last reviewed by CDC December 14, 2018. Retrieved from </w:t>
      </w:r>
      <w:hyperlink r:id="rId109" w:history="1">
        <w:r w:rsidRPr="00CE1B38">
          <w:rPr>
            <w:rStyle w:val="Hyperlink"/>
            <w:rFonts w:asciiTheme="majorHAnsi" w:hAnsiTheme="majorHAnsi" w:cstheme="majorHAnsi"/>
          </w:rPr>
          <w:t>https://www.cdc.gov/nceh/ehs/elearn/prevent-LD-training.html</w:t>
        </w:r>
      </w:hyperlink>
      <w:r w:rsidRPr="00CE1B38">
        <w:rPr>
          <w:rFonts w:asciiTheme="majorHAnsi" w:hAnsiTheme="majorHAnsi" w:cstheme="majorHAnsi"/>
        </w:rPr>
        <w:t xml:space="preserve"> (accessed December 13, 2020).</w:t>
      </w:r>
    </w:p>
  </w:footnote>
  <w:footnote w:id="139">
    <w:p w14:paraId="4BE65057" w14:textId="1BF6CFC5" w:rsidR="00A318FA" w:rsidRPr="00CE1B38" w:rsidRDefault="00A318FA">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p>
  </w:footnote>
  <w:footnote w:id="140">
    <w:p w14:paraId="3755F660" w14:textId="7E89E8B1"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Overview of Water Management Programs. Webpage last reviewed by CDC April 30, 2018. Retrieved from </w:t>
      </w:r>
      <w:hyperlink r:id="rId110" w:history="1">
        <w:r w:rsidRPr="00CE1B38">
          <w:rPr>
            <w:rStyle w:val="Hyperlink"/>
            <w:rFonts w:asciiTheme="majorHAnsi" w:hAnsiTheme="majorHAnsi" w:cstheme="majorHAnsi"/>
          </w:rPr>
          <w:t>https://www.cdc.gov/legionella/wmp/overview.html</w:t>
        </w:r>
      </w:hyperlink>
      <w:r w:rsidRPr="00CE1B38">
        <w:rPr>
          <w:rFonts w:asciiTheme="majorHAnsi" w:hAnsiTheme="majorHAnsi" w:cstheme="majorHAnsi"/>
        </w:rPr>
        <w:t xml:space="preserve"> (accessed December 13, 2020).</w:t>
      </w:r>
    </w:p>
  </w:footnote>
  <w:footnote w:id="141">
    <w:p w14:paraId="1C46A8A8" w14:textId="3E9CB754"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For example</w:t>
      </w:r>
      <w:r w:rsidRPr="00CE1B38">
        <w:rPr>
          <w:rFonts w:asciiTheme="majorHAnsi" w:hAnsiTheme="majorHAnsi" w:cstheme="majorHAnsi"/>
        </w:rPr>
        <w:t xml:space="preserve">, anti-scald regulations may limit maximum allowable water temperatures. </w:t>
      </w:r>
      <w:bookmarkStart w:id="16" w:name="_Hlk56007417"/>
      <w:r w:rsidRPr="00CE1B38">
        <w:rPr>
          <w:rFonts w:asciiTheme="majorHAnsi" w:hAnsiTheme="majorHAnsi" w:cstheme="majorHAnsi"/>
        </w:rPr>
        <w:t xml:space="preserve">CDC. Overview of Water Management Programs. Webpage last reviewed by CDC April 30, 2018. Retrieved from </w:t>
      </w:r>
      <w:hyperlink r:id="rId111" w:history="1">
        <w:r w:rsidRPr="00CE1B38">
          <w:rPr>
            <w:rStyle w:val="Hyperlink"/>
            <w:rFonts w:asciiTheme="majorHAnsi" w:hAnsiTheme="majorHAnsi" w:cstheme="majorHAnsi"/>
          </w:rPr>
          <w:t>https://www.cdc.gov/legionella/wmp/overview.html</w:t>
        </w:r>
      </w:hyperlink>
      <w:bookmarkEnd w:id="16"/>
      <w:r w:rsidRPr="00CE1B38">
        <w:rPr>
          <w:rFonts w:asciiTheme="majorHAnsi" w:hAnsiTheme="majorHAnsi" w:cstheme="majorHAnsi"/>
        </w:rPr>
        <w:t xml:space="preserve"> (accessed December 13, 2020).</w:t>
      </w:r>
    </w:p>
  </w:footnote>
  <w:footnote w:id="142">
    <w:p w14:paraId="5DC0EA14" w14:textId="5122556C"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Overview of Water Management Programs. Webpage last reviewed by CDC April 30, 2018. Retrieved from </w:t>
      </w:r>
      <w:hyperlink r:id="rId112" w:history="1">
        <w:r w:rsidRPr="00CE1B38">
          <w:rPr>
            <w:rStyle w:val="Hyperlink"/>
            <w:rFonts w:asciiTheme="majorHAnsi" w:hAnsiTheme="majorHAnsi" w:cstheme="majorHAnsi"/>
          </w:rPr>
          <w:t>https://www.cdc.gov/legionella/wmp/overview.html</w:t>
        </w:r>
      </w:hyperlink>
      <w:r w:rsidRPr="00CE1B38">
        <w:rPr>
          <w:rFonts w:asciiTheme="majorHAnsi" w:hAnsiTheme="majorHAnsi" w:cstheme="majorHAnsi"/>
        </w:rPr>
        <w:t xml:space="preserve"> (accessed December 13, 2020).</w:t>
      </w:r>
    </w:p>
  </w:footnote>
  <w:footnote w:id="143">
    <w:p w14:paraId="4CE0F22F" w14:textId="1AC4865C"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Legionnaires’ Disease: A problem for health care facilities. CDC Vital Signs. June 2017. Retrieved from </w:t>
      </w:r>
      <w:hyperlink r:id="rId113" w:history="1">
        <w:r w:rsidRPr="00CE1B38">
          <w:rPr>
            <w:rStyle w:val="Hyperlink"/>
            <w:rFonts w:asciiTheme="majorHAnsi" w:hAnsiTheme="majorHAnsi" w:cstheme="majorHAnsi"/>
          </w:rPr>
          <w:t>https://www.cdc.gov/vitalsigns/pdf/2017-06-vitalsigns.pdf</w:t>
        </w:r>
      </w:hyperlink>
      <w:r w:rsidRPr="00CE1B38">
        <w:rPr>
          <w:rFonts w:asciiTheme="majorHAnsi" w:hAnsiTheme="majorHAnsi" w:cstheme="majorHAnsi"/>
        </w:rPr>
        <w:t xml:space="preserve"> (accessed December 13, 2020).</w:t>
      </w:r>
    </w:p>
  </w:footnote>
  <w:footnote w:id="144">
    <w:p w14:paraId="6CB7C4A5" w14:textId="55E98702"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CMS. Requirement to Reduce Legionella Risk in Healthcare Facility Water Systems to Prevent Cases and Outbreaks of Legionnaires’ Disease. Retrieved from </w:t>
      </w:r>
      <w:hyperlink r:id="rId114" w:history="1">
        <w:r w:rsidRPr="00CE1B38">
          <w:rPr>
            <w:rStyle w:val="Hyperlink"/>
            <w:rFonts w:asciiTheme="majorHAnsi" w:hAnsiTheme="majorHAnsi" w:cstheme="majorHAnsi"/>
          </w:rPr>
          <w:t>https://www.cms.gov/Medicare/Provider-Enrollment-and-Certification/SurveyCertificationGenInfo/Downloads/QSO17-30-HospitalCAH-NH-REVISED-.pdf</w:t>
        </w:r>
      </w:hyperlink>
      <w:r w:rsidRPr="00CE1B38">
        <w:rPr>
          <w:rFonts w:asciiTheme="majorHAnsi" w:hAnsiTheme="majorHAnsi" w:cstheme="majorHAnsi"/>
        </w:rPr>
        <w:t xml:space="preserve"> (accessed December 13, 2020). </w:t>
      </w:r>
      <w:r w:rsidRPr="00CE1B38">
        <w:rPr>
          <w:rFonts w:asciiTheme="majorHAnsi" w:hAnsiTheme="majorHAnsi" w:cstheme="majorHAnsi"/>
          <w:i/>
          <w:iCs/>
        </w:rPr>
        <w:t>See also</w:t>
      </w:r>
      <w:r w:rsidRPr="00CE1B38">
        <w:rPr>
          <w:rFonts w:asciiTheme="majorHAnsi" w:hAnsiTheme="majorHAnsi" w:cstheme="majorHAnsi"/>
        </w:rPr>
        <w:t xml:space="preserve"> CDC. Water Management in Healthcare Facilities. Webpage last reviewed by CDC April 30, 2018. Retrieved from </w:t>
      </w:r>
      <w:hyperlink r:id="rId115" w:history="1">
        <w:r w:rsidRPr="00CE1B38">
          <w:rPr>
            <w:rStyle w:val="Hyperlink"/>
            <w:rFonts w:asciiTheme="majorHAnsi" w:hAnsiTheme="majorHAnsi" w:cstheme="majorHAnsi"/>
          </w:rPr>
          <w:t>https://www.cdc.gov/legionella/wmp/healthcare-facilities/water-mgmt-facilities.html</w:t>
        </w:r>
      </w:hyperlink>
      <w:r w:rsidRPr="00CE1B38">
        <w:rPr>
          <w:rFonts w:asciiTheme="majorHAnsi" w:hAnsiTheme="majorHAnsi" w:cstheme="majorHAnsi"/>
        </w:rPr>
        <w:t xml:space="preserve"> (accessed December 13, 2020).</w:t>
      </w:r>
    </w:p>
  </w:footnote>
  <w:footnote w:id="145">
    <w:p w14:paraId="60FFEA65" w14:textId="5D045A4D"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CDC. Water Management in Healthcare Facilities. Webpage last reviewed by CDC April 30, 2018. Retrieved from </w:t>
      </w:r>
      <w:hyperlink r:id="rId116" w:history="1">
        <w:r w:rsidRPr="00CE1B38">
          <w:rPr>
            <w:rStyle w:val="Hyperlink"/>
            <w:rFonts w:asciiTheme="majorHAnsi" w:hAnsiTheme="majorHAnsi" w:cstheme="majorHAnsi"/>
          </w:rPr>
          <w:t>https://www.cdc.gov/legionella/wmp/healthcare-facilities/water-mgmt-facilities.html</w:t>
        </w:r>
      </w:hyperlink>
      <w:r w:rsidRPr="00CE1B38">
        <w:rPr>
          <w:rFonts w:asciiTheme="majorHAnsi" w:hAnsiTheme="majorHAnsi" w:cstheme="majorHAnsi"/>
        </w:rPr>
        <w:t xml:space="preserve"> (accessed December 13, 2020). </w:t>
      </w:r>
      <w:r w:rsidRPr="00CE1B38">
        <w:rPr>
          <w:rFonts w:asciiTheme="majorHAnsi" w:hAnsiTheme="majorHAnsi" w:cstheme="majorHAnsi"/>
          <w:i/>
          <w:iCs/>
        </w:rPr>
        <w:t xml:space="preserve">Citing </w:t>
      </w:r>
      <w:r w:rsidRPr="00CE1B38">
        <w:rPr>
          <w:rFonts w:asciiTheme="majorHAnsi" w:hAnsiTheme="majorHAnsi" w:cstheme="majorHAnsi"/>
        </w:rPr>
        <w:t xml:space="preserve">Kanamori H, Weber DJ, </w:t>
      </w:r>
      <w:proofErr w:type="spellStart"/>
      <w:r w:rsidRPr="00CE1B38">
        <w:rPr>
          <w:rFonts w:asciiTheme="majorHAnsi" w:hAnsiTheme="majorHAnsi" w:cstheme="majorHAnsi"/>
        </w:rPr>
        <w:t>Rutala</w:t>
      </w:r>
      <w:proofErr w:type="spellEnd"/>
      <w:r w:rsidRPr="00CE1B38">
        <w:rPr>
          <w:rFonts w:asciiTheme="majorHAnsi" w:hAnsiTheme="majorHAnsi" w:cstheme="majorHAnsi"/>
        </w:rPr>
        <w:t xml:space="preserve"> WA.</w:t>
      </w:r>
      <w:r w:rsidRPr="00CE1B38">
        <w:rPr>
          <w:rFonts w:asciiTheme="majorHAnsi" w:hAnsiTheme="majorHAnsi" w:cstheme="majorHAnsi"/>
          <w:i/>
          <w:iCs/>
        </w:rPr>
        <w:t> </w:t>
      </w:r>
      <w:r w:rsidRPr="00CE1B38">
        <w:rPr>
          <w:rFonts w:asciiTheme="majorHAnsi" w:hAnsiTheme="majorHAnsi" w:cstheme="majorHAnsi"/>
        </w:rPr>
        <w:t>Healthcare outbreaks associated with a water reservoir and infection prevention strategies.</w:t>
      </w:r>
      <w:r w:rsidRPr="00CE1B38">
        <w:rPr>
          <w:rFonts w:asciiTheme="majorHAnsi" w:hAnsiTheme="majorHAnsi" w:cstheme="majorHAnsi"/>
          <w:i/>
          <w:iCs/>
        </w:rPr>
        <w:t> </w:t>
      </w:r>
      <w:r w:rsidRPr="00CE1B38">
        <w:rPr>
          <w:rFonts w:asciiTheme="majorHAnsi" w:hAnsiTheme="majorHAnsi" w:cstheme="majorHAnsi"/>
        </w:rPr>
        <w:t xml:space="preserve">Clin Infect Dis. </w:t>
      </w:r>
      <w:proofErr w:type="gramStart"/>
      <w:r w:rsidRPr="00CE1B38">
        <w:rPr>
          <w:rFonts w:asciiTheme="majorHAnsi" w:hAnsiTheme="majorHAnsi" w:cstheme="majorHAnsi"/>
        </w:rPr>
        <w:t>2016;62:1423</w:t>
      </w:r>
      <w:proofErr w:type="gramEnd"/>
      <w:r w:rsidRPr="00CE1B38">
        <w:rPr>
          <w:rFonts w:asciiTheme="majorHAnsi" w:hAnsiTheme="majorHAnsi" w:cstheme="majorHAnsi"/>
        </w:rPr>
        <w:t xml:space="preserve">–35. Retrieved from </w:t>
      </w:r>
      <w:hyperlink r:id="rId117" w:history="1">
        <w:r w:rsidRPr="00CE1B38">
          <w:rPr>
            <w:rStyle w:val="Hyperlink"/>
            <w:rFonts w:asciiTheme="majorHAnsi" w:hAnsiTheme="majorHAnsi" w:cstheme="majorHAnsi"/>
          </w:rPr>
          <w:t>https://pubmed.ncbi.nlm.nih.gov/26936670/</w:t>
        </w:r>
      </w:hyperlink>
      <w:r w:rsidRPr="00CE1B38">
        <w:rPr>
          <w:rFonts w:asciiTheme="majorHAnsi" w:hAnsiTheme="majorHAnsi" w:cstheme="majorHAnsi"/>
        </w:rPr>
        <w:t xml:space="preserve"> (accessed December 13, 2020).</w:t>
      </w:r>
    </w:p>
  </w:footnote>
  <w:footnote w:id="146">
    <w:p w14:paraId="54D019A7" w14:textId="0D182683" w:rsidR="00A318FA" w:rsidRPr="00CE1B38" w:rsidRDefault="00A318FA" w:rsidP="005A334D">
      <w:pPr>
        <w:pStyle w:val="FootnoteText"/>
        <w:rPr>
          <w:rFonts w:asciiTheme="majorHAnsi" w:hAnsiTheme="majorHAnsi" w:cstheme="majorHAnsi"/>
        </w:rPr>
      </w:pPr>
      <w:r w:rsidRPr="00CE1B38">
        <w:rPr>
          <w:rStyle w:val="FootnoteReference"/>
          <w:rFonts w:asciiTheme="majorHAnsi" w:hAnsiTheme="majorHAnsi" w:cstheme="majorHAnsi"/>
        </w:rPr>
        <w:footnoteRef/>
      </w:r>
      <w:r w:rsidRPr="00CE1B38">
        <w:rPr>
          <w:rFonts w:asciiTheme="majorHAnsi" w:hAnsiTheme="majorHAnsi" w:cstheme="majorHAnsi"/>
        </w:rPr>
        <w:t xml:space="preserve"> </w:t>
      </w:r>
      <w:r w:rsidRPr="00CE1B38">
        <w:rPr>
          <w:rFonts w:asciiTheme="majorHAnsi" w:hAnsiTheme="majorHAnsi" w:cstheme="majorHAnsi"/>
          <w:i/>
          <w:iCs/>
        </w:rPr>
        <w:t>See</w:t>
      </w:r>
      <w:r w:rsidRPr="00CE1B38">
        <w:rPr>
          <w:rFonts w:asciiTheme="majorHAnsi" w:hAnsiTheme="majorHAnsi" w:cstheme="majorHAnsi"/>
        </w:rPr>
        <w:t xml:space="preserve"> CDC. Water Management in Healthcare Facilities. Webpage last reviewed by CDC April 30, 2018. Retrieved from </w:t>
      </w:r>
      <w:hyperlink r:id="rId118" w:history="1">
        <w:r w:rsidRPr="00CE1B38">
          <w:rPr>
            <w:rStyle w:val="Hyperlink"/>
            <w:rFonts w:asciiTheme="majorHAnsi" w:hAnsiTheme="majorHAnsi" w:cstheme="majorHAnsi"/>
          </w:rPr>
          <w:t>https://www.cdc.gov/legionella/wmp/healthcare-facilities/water-mgmt-facilities.html</w:t>
        </w:r>
      </w:hyperlink>
      <w:r w:rsidRPr="00CE1B38">
        <w:rPr>
          <w:rFonts w:asciiTheme="majorHAnsi" w:hAnsiTheme="majorHAnsi" w:cstheme="majorHAnsi"/>
        </w:rPr>
        <w:t xml:space="preserve"> (accessed December 13,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53DD9" w14:textId="1B597462" w:rsidR="00A318FA" w:rsidRDefault="00A318FA" w:rsidP="00B00DB6">
    <w:pPr>
      <w:pStyle w:val="Header"/>
      <w:jc w:val="center"/>
    </w:pPr>
    <w:bookmarkStart w:id="0" w:name="_Hlk58775935"/>
    <w:r>
      <w:rPr>
        <w:highlight w:val="yellow"/>
      </w:rPr>
      <w:t xml:space="preserve">DRAFT 2 – </w:t>
    </w:r>
    <w:r w:rsidRPr="00AF4E52">
      <w:rPr>
        <w:highlight w:val="yellow"/>
      </w:rPr>
      <w:t>DO NOT CITE OR CIRCULATE BEYOND CSTE REVIEWERS</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3EFB3F" w14:textId="129F4938" w:rsidR="00A318FA" w:rsidRDefault="00A318FA" w:rsidP="000E77D6">
    <w:pPr>
      <w:pStyle w:val="Header"/>
      <w:jc w:val="center"/>
    </w:pPr>
    <w:r>
      <w:rPr>
        <w:highlight w:val="yellow"/>
      </w:rPr>
      <w:t xml:space="preserve">DRAFT 2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96E70"/>
    <w:multiLevelType w:val="hybridMultilevel"/>
    <w:tmpl w:val="FED27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F5D44"/>
    <w:multiLevelType w:val="hybridMultilevel"/>
    <w:tmpl w:val="7FCC3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43F0F"/>
    <w:multiLevelType w:val="hybridMultilevel"/>
    <w:tmpl w:val="ECC83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879B6"/>
    <w:multiLevelType w:val="hybridMultilevel"/>
    <w:tmpl w:val="40E29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28E0186"/>
    <w:multiLevelType w:val="hybridMultilevel"/>
    <w:tmpl w:val="47829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C032A"/>
    <w:multiLevelType w:val="hybridMultilevel"/>
    <w:tmpl w:val="FCC4AF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916F17"/>
    <w:multiLevelType w:val="multilevel"/>
    <w:tmpl w:val="3FA63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A03B7"/>
    <w:multiLevelType w:val="hybridMultilevel"/>
    <w:tmpl w:val="63923B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176238A6"/>
    <w:multiLevelType w:val="hybridMultilevel"/>
    <w:tmpl w:val="E91C7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E85677"/>
    <w:multiLevelType w:val="hybridMultilevel"/>
    <w:tmpl w:val="D57C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8885C94"/>
    <w:multiLevelType w:val="multilevel"/>
    <w:tmpl w:val="B4F49B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C6B8B"/>
    <w:multiLevelType w:val="hybridMultilevel"/>
    <w:tmpl w:val="EC5ACB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8AA32E9"/>
    <w:multiLevelType w:val="hybridMultilevel"/>
    <w:tmpl w:val="B47210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29BC5B27"/>
    <w:multiLevelType w:val="hybridMultilevel"/>
    <w:tmpl w:val="7C22A0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2FE52EA1"/>
    <w:multiLevelType w:val="multilevel"/>
    <w:tmpl w:val="10A86F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0E21D00"/>
    <w:multiLevelType w:val="hybridMultilevel"/>
    <w:tmpl w:val="5AE0B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4A02A1"/>
    <w:multiLevelType w:val="hybridMultilevel"/>
    <w:tmpl w:val="14FEB7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27745AE"/>
    <w:multiLevelType w:val="hybridMultilevel"/>
    <w:tmpl w:val="D2129F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81F3306"/>
    <w:multiLevelType w:val="hybridMultilevel"/>
    <w:tmpl w:val="39189E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3C610EAF"/>
    <w:multiLevelType w:val="hybridMultilevel"/>
    <w:tmpl w:val="E0A823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0" w15:restartNumberingAfterBreak="0">
    <w:nsid w:val="40B10731"/>
    <w:multiLevelType w:val="hybridMultilevel"/>
    <w:tmpl w:val="4A46E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9D1335"/>
    <w:multiLevelType w:val="hybridMultilevel"/>
    <w:tmpl w:val="0526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5131C4"/>
    <w:multiLevelType w:val="hybridMultilevel"/>
    <w:tmpl w:val="DD78F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704D6"/>
    <w:multiLevelType w:val="multilevel"/>
    <w:tmpl w:val="712C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E761C5"/>
    <w:multiLevelType w:val="hybridMultilevel"/>
    <w:tmpl w:val="195E7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A4045ED"/>
    <w:multiLevelType w:val="hybridMultilevel"/>
    <w:tmpl w:val="94CA96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4AD17A01"/>
    <w:multiLevelType w:val="hybridMultilevel"/>
    <w:tmpl w:val="6B84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B92201"/>
    <w:multiLevelType w:val="hybridMultilevel"/>
    <w:tmpl w:val="66985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A7CA7"/>
    <w:multiLevelType w:val="hybridMultilevel"/>
    <w:tmpl w:val="9336E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A16ED7"/>
    <w:multiLevelType w:val="multilevel"/>
    <w:tmpl w:val="0A32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1D4ABB"/>
    <w:multiLevelType w:val="hybridMultilevel"/>
    <w:tmpl w:val="5AA83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867780"/>
    <w:multiLevelType w:val="hybridMultilevel"/>
    <w:tmpl w:val="AC1E6DC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2" w15:restartNumberingAfterBreak="0">
    <w:nsid w:val="6E310D58"/>
    <w:multiLevelType w:val="multilevel"/>
    <w:tmpl w:val="40904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9A240A"/>
    <w:multiLevelType w:val="hybridMultilevel"/>
    <w:tmpl w:val="A7085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3652DC7"/>
    <w:multiLevelType w:val="hybridMultilevel"/>
    <w:tmpl w:val="B986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 w15:restartNumberingAfterBreak="0">
    <w:nsid w:val="761313FC"/>
    <w:multiLevelType w:val="hybridMultilevel"/>
    <w:tmpl w:val="BE94B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78339CD"/>
    <w:multiLevelType w:val="hybridMultilevel"/>
    <w:tmpl w:val="9D30D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A99259F"/>
    <w:multiLevelType w:val="hybridMultilevel"/>
    <w:tmpl w:val="D63AF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61029B"/>
    <w:multiLevelType w:val="hybridMultilevel"/>
    <w:tmpl w:val="6AA47F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DA9209D"/>
    <w:multiLevelType w:val="hybridMultilevel"/>
    <w:tmpl w:val="C386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30"/>
  </w:num>
  <w:num w:numId="3">
    <w:abstractNumId w:val="22"/>
  </w:num>
  <w:num w:numId="4">
    <w:abstractNumId w:val="4"/>
  </w:num>
  <w:num w:numId="5">
    <w:abstractNumId w:val="2"/>
  </w:num>
  <w:num w:numId="6">
    <w:abstractNumId w:val="40"/>
  </w:num>
  <w:num w:numId="7">
    <w:abstractNumId w:val="23"/>
  </w:num>
  <w:num w:numId="8">
    <w:abstractNumId w:val="21"/>
  </w:num>
  <w:num w:numId="9">
    <w:abstractNumId w:val="29"/>
  </w:num>
  <w:num w:numId="10">
    <w:abstractNumId w:val="1"/>
  </w:num>
  <w:num w:numId="11">
    <w:abstractNumId w:val="32"/>
  </w:num>
  <w:num w:numId="12">
    <w:abstractNumId w:val="0"/>
  </w:num>
  <w:num w:numId="13">
    <w:abstractNumId w:val="19"/>
  </w:num>
  <w:num w:numId="14">
    <w:abstractNumId w:val="16"/>
  </w:num>
  <w:num w:numId="15">
    <w:abstractNumId w:val="6"/>
  </w:num>
  <w:num w:numId="16">
    <w:abstractNumId w:val="10"/>
  </w:num>
  <w:num w:numId="17">
    <w:abstractNumId w:val="7"/>
  </w:num>
  <w:num w:numId="18">
    <w:abstractNumId w:val="38"/>
  </w:num>
  <w:num w:numId="19">
    <w:abstractNumId w:val="11"/>
  </w:num>
  <w:num w:numId="20">
    <w:abstractNumId w:val="24"/>
  </w:num>
  <w:num w:numId="21">
    <w:abstractNumId w:val="36"/>
  </w:num>
  <w:num w:numId="22">
    <w:abstractNumId w:val="28"/>
  </w:num>
  <w:num w:numId="23">
    <w:abstractNumId w:val="15"/>
  </w:num>
  <w:num w:numId="24">
    <w:abstractNumId w:val="33"/>
  </w:num>
  <w:num w:numId="25">
    <w:abstractNumId w:val="20"/>
  </w:num>
  <w:num w:numId="26">
    <w:abstractNumId w:val="5"/>
  </w:num>
  <w:num w:numId="27">
    <w:abstractNumId w:val="8"/>
  </w:num>
  <w:num w:numId="28">
    <w:abstractNumId w:val="35"/>
    <w:lvlOverride w:ilvl="0"/>
    <w:lvlOverride w:ilvl="1"/>
    <w:lvlOverride w:ilvl="2"/>
    <w:lvlOverride w:ilvl="3"/>
    <w:lvlOverride w:ilvl="4"/>
    <w:lvlOverride w:ilvl="5"/>
    <w:lvlOverride w:ilvl="6"/>
    <w:lvlOverride w:ilvl="7"/>
    <w:lvlOverride w:ilvl="8"/>
  </w:num>
  <w:num w:numId="29">
    <w:abstractNumId w:val="13"/>
    <w:lvlOverride w:ilvl="0"/>
    <w:lvlOverride w:ilvl="1"/>
    <w:lvlOverride w:ilvl="2"/>
    <w:lvlOverride w:ilvl="3"/>
    <w:lvlOverride w:ilvl="4"/>
    <w:lvlOverride w:ilvl="5"/>
    <w:lvlOverride w:ilvl="6"/>
    <w:lvlOverride w:ilvl="7"/>
    <w:lvlOverride w:ilvl="8"/>
  </w:num>
  <w:num w:numId="30">
    <w:abstractNumId w:val="25"/>
    <w:lvlOverride w:ilvl="0"/>
    <w:lvlOverride w:ilvl="1"/>
    <w:lvlOverride w:ilvl="2"/>
    <w:lvlOverride w:ilvl="3"/>
    <w:lvlOverride w:ilvl="4"/>
    <w:lvlOverride w:ilvl="5"/>
    <w:lvlOverride w:ilvl="6"/>
    <w:lvlOverride w:ilvl="7"/>
    <w:lvlOverride w:ilvl="8"/>
  </w:num>
  <w:num w:numId="31">
    <w:abstractNumId w:val="3"/>
    <w:lvlOverride w:ilvl="0"/>
    <w:lvlOverride w:ilvl="1"/>
    <w:lvlOverride w:ilvl="2"/>
    <w:lvlOverride w:ilvl="3"/>
    <w:lvlOverride w:ilvl="4"/>
    <w:lvlOverride w:ilvl="5"/>
    <w:lvlOverride w:ilvl="6"/>
    <w:lvlOverride w:ilvl="7"/>
    <w:lvlOverride w:ilvl="8"/>
  </w:num>
  <w:num w:numId="32">
    <w:abstractNumId w:val="14"/>
    <w:lvlOverride w:ilvl="0"/>
    <w:lvlOverride w:ilvl="1"/>
    <w:lvlOverride w:ilvl="2"/>
    <w:lvlOverride w:ilvl="3"/>
    <w:lvlOverride w:ilvl="4"/>
    <w:lvlOverride w:ilvl="5"/>
    <w:lvlOverride w:ilvl="6"/>
    <w:lvlOverride w:ilvl="7"/>
    <w:lvlOverride w:ilvl="8"/>
  </w:num>
  <w:num w:numId="33">
    <w:abstractNumId w:val="31"/>
    <w:lvlOverride w:ilvl="0"/>
    <w:lvlOverride w:ilvl="1"/>
    <w:lvlOverride w:ilvl="2"/>
    <w:lvlOverride w:ilvl="3"/>
    <w:lvlOverride w:ilvl="4"/>
    <w:lvlOverride w:ilvl="5"/>
    <w:lvlOverride w:ilvl="6"/>
    <w:lvlOverride w:ilvl="7"/>
    <w:lvlOverride w:ilvl="8"/>
  </w:num>
  <w:num w:numId="34">
    <w:abstractNumId w:val="39"/>
    <w:lvlOverride w:ilvl="0"/>
    <w:lvlOverride w:ilvl="1"/>
    <w:lvlOverride w:ilvl="2"/>
    <w:lvlOverride w:ilvl="3"/>
    <w:lvlOverride w:ilvl="4"/>
    <w:lvlOverride w:ilvl="5"/>
    <w:lvlOverride w:ilvl="6"/>
    <w:lvlOverride w:ilvl="7"/>
    <w:lvlOverride w:ilvl="8"/>
  </w:num>
  <w:num w:numId="35">
    <w:abstractNumId w:val="34"/>
    <w:lvlOverride w:ilvl="0"/>
    <w:lvlOverride w:ilvl="1"/>
    <w:lvlOverride w:ilvl="2"/>
    <w:lvlOverride w:ilvl="3"/>
    <w:lvlOverride w:ilvl="4"/>
    <w:lvlOverride w:ilvl="5"/>
    <w:lvlOverride w:ilvl="6"/>
    <w:lvlOverride w:ilvl="7"/>
    <w:lvlOverride w:ilvl="8"/>
  </w:num>
  <w:num w:numId="36">
    <w:abstractNumId w:val="18"/>
    <w:lvlOverride w:ilvl="0"/>
    <w:lvlOverride w:ilvl="1"/>
    <w:lvlOverride w:ilvl="2"/>
    <w:lvlOverride w:ilvl="3"/>
    <w:lvlOverride w:ilvl="4"/>
    <w:lvlOverride w:ilvl="5"/>
    <w:lvlOverride w:ilvl="6"/>
    <w:lvlOverride w:ilvl="7"/>
    <w:lvlOverride w:ilvl="8"/>
  </w:num>
  <w:num w:numId="37">
    <w:abstractNumId w:val="12"/>
    <w:lvlOverride w:ilvl="0"/>
    <w:lvlOverride w:ilvl="1"/>
    <w:lvlOverride w:ilvl="2"/>
    <w:lvlOverride w:ilvl="3"/>
    <w:lvlOverride w:ilvl="4"/>
    <w:lvlOverride w:ilvl="5"/>
    <w:lvlOverride w:ilvl="6"/>
    <w:lvlOverride w:ilvl="7"/>
    <w:lvlOverride w:ilvl="8"/>
  </w:num>
  <w:num w:numId="38">
    <w:abstractNumId w:val="9"/>
    <w:lvlOverride w:ilvl="0"/>
    <w:lvlOverride w:ilvl="1"/>
    <w:lvlOverride w:ilvl="2"/>
    <w:lvlOverride w:ilvl="3"/>
    <w:lvlOverride w:ilvl="4"/>
    <w:lvlOverride w:ilvl="5"/>
    <w:lvlOverride w:ilvl="6"/>
    <w:lvlOverride w:ilvl="7"/>
    <w:lvlOverride w:ilvl="8"/>
  </w:num>
  <w:num w:numId="39">
    <w:abstractNumId w:val="27"/>
    <w:lvlOverride w:ilvl="0"/>
    <w:lvlOverride w:ilvl="1"/>
    <w:lvlOverride w:ilvl="2"/>
    <w:lvlOverride w:ilvl="3"/>
    <w:lvlOverride w:ilvl="4"/>
    <w:lvlOverride w:ilvl="5"/>
    <w:lvlOverride w:ilvl="6"/>
    <w:lvlOverride w:ilvl="7"/>
    <w:lvlOverride w:ilvl="8"/>
  </w:num>
  <w:num w:numId="40">
    <w:abstractNumId w:val="26"/>
  </w:num>
  <w:num w:numId="41">
    <w:abstractNumId w:val="17"/>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FC0"/>
    <w:rsid w:val="00031DE8"/>
    <w:rsid w:val="0005286C"/>
    <w:rsid w:val="00083FED"/>
    <w:rsid w:val="000E77D6"/>
    <w:rsid w:val="00151278"/>
    <w:rsid w:val="001543F1"/>
    <w:rsid w:val="001B5A0E"/>
    <w:rsid w:val="001C2915"/>
    <w:rsid w:val="001C77DA"/>
    <w:rsid w:val="0024668F"/>
    <w:rsid w:val="00275616"/>
    <w:rsid w:val="002B665E"/>
    <w:rsid w:val="00316B05"/>
    <w:rsid w:val="0032796E"/>
    <w:rsid w:val="003A61D9"/>
    <w:rsid w:val="003D58C2"/>
    <w:rsid w:val="00476446"/>
    <w:rsid w:val="004C3C66"/>
    <w:rsid w:val="004D0796"/>
    <w:rsid w:val="005046FC"/>
    <w:rsid w:val="00520B73"/>
    <w:rsid w:val="00527549"/>
    <w:rsid w:val="005544DF"/>
    <w:rsid w:val="00573F8E"/>
    <w:rsid w:val="00580525"/>
    <w:rsid w:val="005A334D"/>
    <w:rsid w:val="005B662D"/>
    <w:rsid w:val="005F2E56"/>
    <w:rsid w:val="006721F3"/>
    <w:rsid w:val="00685A3E"/>
    <w:rsid w:val="006C37F0"/>
    <w:rsid w:val="006D7A33"/>
    <w:rsid w:val="00711935"/>
    <w:rsid w:val="00785B3D"/>
    <w:rsid w:val="007B1FC1"/>
    <w:rsid w:val="007C3C84"/>
    <w:rsid w:val="008049D2"/>
    <w:rsid w:val="00835242"/>
    <w:rsid w:val="008B13C9"/>
    <w:rsid w:val="008C758C"/>
    <w:rsid w:val="00924BA5"/>
    <w:rsid w:val="00947100"/>
    <w:rsid w:val="009E0F89"/>
    <w:rsid w:val="00A246B1"/>
    <w:rsid w:val="00A318FA"/>
    <w:rsid w:val="00A3268C"/>
    <w:rsid w:val="00A34777"/>
    <w:rsid w:val="00A365EF"/>
    <w:rsid w:val="00A47588"/>
    <w:rsid w:val="00A70432"/>
    <w:rsid w:val="00AA21BF"/>
    <w:rsid w:val="00AA7D1E"/>
    <w:rsid w:val="00AB4D06"/>
    <w:rsid w:val="00AE24DD"/>
    <w:rsid w:val="00B00DB6"/>
    <w:rsid w:val="00B75B7F"/>
    <w:rsid w:val="00BD170D"/>
    <w:rsid w:val="00C007B4"/>
    <w:rsid w:val="00C95653"/>
    <w:rsid w:val="00CD4E96"/>
    <w:rsid w:val="00CD741D"/>
    <w:rsid w:val="00CE1B38"/>
    <w:rsid w:val="00D07706"/>
    <w:rsid w:val="00D757F9"/>
    <w:rsid w:val="00D766FB"/>
    <w:rsid w:val="00DC34B4"/>
    <w:rsid w:val="00DE63F8"/>
    <w:rsid w:val="00F23341"/>
    <w:rsid w:val="00F44FC0"/>
    <w:rsid w:val="00F50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colormenu v:ext="edit" fillcolor="none"/>
    </o:shapedefaults>
    <o:shapelayout v:ext="edit">
      <o:idmap v:ext="edit" data="1"/>
    </o:shapelayout>
  </w:shapeDefaults>
  <w:decimalSymbol w:val="."/>
  <w:listSeparator w:val=","/>
  <w14:docId w14:val="011F7437"/>
  <w15:chartTrackingRefBased/>
  <w15:docId w15:val="{24C50BFA-3953-4901-9492-FB265FDD0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5A334D"/>
    <w:pPr>
      <w:ind w:left="720"/>
      <w:contextualSpacing/>
    </w:pPr>
  </w:style>
  <w:style w:type="character" w:styleId="Hyperlink">
    <w:name w:val="Hyperlink"/>
    <w:basedOn w:val="DefaultParagraphFont"/>
    <w:uiPriority w:val="99"/>
    <w:unhideWhenUsed/>
    <w:rsid w:val="005A334D"/>
    <w:rPr>
      <w:color w:val="0000FF"/>
      <w:u w:val="single"/>
    </w:rPr>
  </w:style>
  <w:style w:type="paragraph" w:styleId="FootnoteText">
    <w:name w:val="footnote text"/>
    <w:basedOn w:val="Normal"/>
    <w:link w:val="FootnoteTextChar"/>
    <w:uiPriority w:val="99"/>
    <w:unhideWhenUsed/>
    <w:rsid w:val="005A334D"/>
    <w:rPr>
      <w:sz w:val="20"/>
      <w:szCs w:val="20"/>
    </w:rPr>
  </w:style>
  <w:style w:type="character" w:customStyle="1" w:styleId="FootnoteTextChar">
    <w:name w:val="Footnote Text Char"/>
    <w:basedOn w:val="DefaultParagraphFont"/>
    <w:link w:val="FootnoteText"/>
    <w:uiPriority w:val="99"/>
    <w:rsid w:val="005A334D"/>
    <w:rPr>
      <w:sz w:val="20"/>
      <w:szCs w:val="20"/>
    </w:rPr>
  </w:style>
  <w:style w:type="character" w:styleId="FootnoteReference">
    <w:name w:val="footnote reference"/>
    <w:basedOn w:val="DefaultParagraphFont"/>
    <w:uiPriority w:val="99"/>
    <w:semiHidden/>
    <w:unhideWhenUsed/>
    <w:rsid w:val="005A334D"/>
    <w:rPr>
      <w:vertAlign w:val="superscript"/>
    </w:rPr>
  </w:style>
  <w:style w:type="character" w:styleId="CommentReference">
    <w:name w:val="annotation reference"/>
    <w:basedOn w:val="DefaultParagraphFont"/>
    <w:uiPriority w:val="99"/>
    <w:semiHidden/>
    <w:unhideWhenUsed/>
    <w:rsid w:val="005A334D"/>
    <w:rPr>
      <w:sz w:val="16"/>
      <w:szCs w:val="16"/>
    </w:rPr>
  </w:style>
  <w:style w:type="paragraph" w:styleId="CommentText">
    <w:name w:val="annotation text"/>
    <w:basedOn w:val="Normal"/>
    <w:link w:val="CommentTextChar"/>
    <w:uiPriority w:val="99"/>
    <w:semiHidden/>
    <w:unhideWhenUsed/>
    <w:rsid w:val="005A334D"/>
    <w:rPr>
      <w:sz w:val="20"/>
      <w:szCs w:val="20"/>
    </w:rPr>
  </w:style>
  <w:style w:type="character" w:customStyle="1" w:styleId="CommentTextChar">
    <w:name w:val="Comment Text Char"/>
    <w:basedOn w:val="DefaultParagraphFont"/>
    <w:link w:val="CommentText"/>
    <w:uiPriority w:val="99"/>
    <w:semiHidden/>
    <w:rsid w:val="005A334D"/>
    <w:rPr>
      <w:sz w:val="20"/>
      <w:szCs w:val="20"/>
    </w:rPr>
  </w:style>
  <w:style w:type="paragraph" w:styleId="BalloonText">
    <w:name w:val="Balloon Text"/>
    <w:basedOn w:val="Normal"/>
    <w:link w:val="BalloonTextChar"/>
    <w:uiPriority w:val="99"/>
    <w:semiHidden/>
    <w:unhideWhenUsed/>
    <w:rsid w:val="005A33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34D"/>
    <w:rPr>
      <w:rFonts w:ascii="Segoe UI" w:hAnsi="Segoe UI" w:cs="Segoe UI"/>
      <w:sz w:val="18"/>
      <w:szCs w:val="18"/>
    </w:rPr>
  </w:style>
  <w:style w:type="paragraph" w:styleId="Header">
    <w:name w:val="header"/>
    <w:basedOn w:val="Normal"/>
    <w:link w:val="HeaderChar"/>
    <w:uiPriority w:val="99"/>
    <w:unhideWhenUsed/>
    <w:rsid w:val="005A334D"/>
    <w:pPr>
      <w:tabs>
        <w:tab w:val="center" w:pos="4680"/>
        <w:tab w:val="right" w:pos="9360"/>
      </w:tabs>
    </w:pPr>
  </w:style>
  <w:style w:type="character" w:customStyle="1" w:styleId="HeaderChar">
    <w:name w:val="Header Char"/>
    <w:basedOn w:val="DefaultParagraphFont"/>
    <w:link w:val="Header"/>
    <w:uiPriority w:val="99"/>
    <w:rsid w:val="005A334D"/>
  </w:style>
  <w:style w:type="paragraph" w:styleId="Footer">
    <w:name w:val="footer"/>
    <w:basedOn w:val="Normal"/>
    <w:link w:val="FooterChar"/>
    <w:uiPriority w:val="99"/>
    <w:unhideWhenUsed/>
    <w:rsid w:val="005A334D"/>
    <w:pPr>
      <w:tabs>
        <w:tab w:val="center" w:pos="4680"/>
        <w:tab w:val="right" w:pos="9360"/>
      </w:tabs>
    </w:pPr>
  </w:style>
  <w:style w:type="character" w:customStyle="1" w:styleId="FooterChar">
    <w:name w:val="Footer Char"/>
    <w:basedOn w:val="DefaultParagraphFont"/>
    <w:link w:val="Footer"/>
    <w:uiPriority w:val="99"/>
    <w:rsid w:val="005A334D"/>
  </w:style>
  <w:style w:type="character" w:styleId="FollowedHyperlink">
    <w:name w:val="FollowedHyperlink"/>
    <w:basedOn w:val="DefaultParagraphFont"/>
    <w:uiPriority w:val="99"/>
    <w:semiHidden/>
    <w:unhideWhenUsed/>
    <w:rsid w:val="00AA21BF"/>
    <w:rPr>
      <w:color w:val="954F72" w:themeColor="followedHyperlink"/>
      <w:u w:val="single"/>
    </w:rPr>
  </w:style>
  <w:style w:type="character" w:styleId="Emphasis">
    <w:name w:val="Emphasis"/>
    <w:basedOn w:val="DefaultParagraphFont"/>
    <w:uiPriority w:val="20"/>
    <w:qFormat/>
    <w:rsid w:val="006C37F0"/>
    <w:rPr>
      <w:i/>
      <w:iCs/>
    </w:rPr>
  </w:style>
  <w:style w:type="character" w:styleId="UnresolvedMention">
    <w:name w:val="Unresolved Mention"/>
    <w:basedOn w:val="DefaultParagraphFont"/>
    <w:uiPriority w:val="99"/>
    <w:semiHidden/>
    <w:unhideWhenUsed/>
    <w:rsid w:val="00924BA5"/>
    <w:rPr>
      <w:color w:val="605E5C"/>
      <w:shd w:val="clear" w:color="auto" w:fill="E1DFDD"/>
    </w:rPr>
  </w:style>
  <w:style w:type="table" w:styleId="TableGrid">
    <w:name w:val="Table Grid"/>
    <w:basedOn w:val="TableNormal"/>
    <w:uiPriority w:val="39"/>
    <w:rsid w:val="00D757F9"/>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847566">
      <w:bodyDiv w:val="1"/>
      <w:marLeft w:val="0"/>
      <w:marRight w:val="0"/>
      <w:marTop w:val="0"/>
      <w:marBottom w:val="0"/>
      <w:divBdr>
        <w:top w:val="none" w:sz="0" w:space="0" w:color="auto"/>
        <w:left w:val="none" w:sz="0" w:space="0" w:color="auto"/>
        <w:bottom w:val="none" w:sz="0" w:space="0" w:color="auto"/>
        <w:right w:val="none" w:sz="0" w:space="0" w:color="auto"/>
      </w:divBdr>
    </w:div>
    <w:div w:id="655843628">
      <w:bodyDiv w:val="1"/>
      <w:marLeft w:val="0"/>
      <w:marRight w:val="0"/>
      <w:marTop w:val="0"/>
      <w:marBottom w:val="0"/>
      <w:divBdr>
        <w:top w:val="none" w:sz="0" w:space="0" w:color="auto"/>
        <w:left w:val="none" w:sz="0" w:space="0" w:color="auto"/>
        <w:bottom w:val="none" w:sz="0" w:space="0" w:color="auto"/>
        <w:right w:val="none" w:sz="0" w:space="0" w:color="auto"/>
      </w:divBdr>
    </w:div>
    <w:div w:id="1912040670">
      <w:bodyDiv w:val="1"/>
      <w:marLeft w:val="0"/>
      <w:marRight w:val="0"/>
      <w:marTop w:val="0"/>
      <w:marBottom w:val="0"/>
      <w:divBdr>
        <w:top w:val="none" w:sz="0" w:space="0" w:color="auto"/>
        <w:left w:val="none" w:sz="0" w:space="0" w:color="auto"/>
        <w:bottom w:val="none" w:sz="0" w:space="0" w:color="auto"/>
        <w:right w:val="none" w:sz="0" w:space="0" w:color="auto"/>
      </w:divBdr>
    </w:div>
    <w:div w:id="1918444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dn.ymaws.com/www.cste.org/resource/resmgr/2019ps/final/19-ID-04_Legionellosis_final.pdf" TargetMode="External"/><Relationship Id="rId18" Type="http://schemas.openxmlformats.org/officeDocument/2006/relationships/hyperlink" Target="https://wwwn.cdc.gov/nndss/conditions/legionellosis/case-definition/2020/" TargetMode="External"/><Relationship Id="rId26" Type="http://schemas.openxmlformats.org/officeDocument/2006/relationships/hyperlink" Target="https://www.cdc.gov/legionella/health-depts/surv-reporting/case-definitions.html" TargetMode="External"/><Relationship Id="rId39" Type="http://schemas.openxmlformats.org/officeDocument/2006/relationships/hyperlink" Target="http://legalbib.communitycommons.org/" TargetMode="External"/><Relationship Id="rId21" Type="http://schemas.openxmlformats.org/officeDocument/2006/relationships/hyperlink" Target="https://www.cdc.gov/nors/" TargetMode="External"/><Relationship Id="rId34" Type="http://schemas.openxmlformats.org/officeDocument/2006/relationships/hyperlink" Target="https://www.cdc.gov/legionella/health-depts/surv-reporting/index.html" TargetMode="External"/><Relationship Id="rId42" Type="http://schemas.openxmlformats.org/officeDocument/2006/relationships/hyperlink" Target="https://cdn.ymaws.com/www.cste.org/resource/resmgr/PDFs/LegalIssuesTribalJuris.pdf" TargetMode="External"/><Relationship Id="rId47" Type="http://schemas.openxmlformats.org/officeDocument/2006/relationships/hyperlink" Target="https://www.facilitiesnet.com/facilitiesmanagement/article/Legal-Significance-of-ANSIASHRAE-Standard-188-2015--16353" TargetMode="External"/><Relationship Id="rId50" Type="http://schemas.openxmlformats.org/officeDocument/2006/relationships/hyperlink" Target="https://www.facilitiesnet.com/facilitiesmanagement/article/Legal-Significance-of-ANSIASHRAE-Standard-188-2015--16353" TargetMode="External"/><Relationship Id="rId55" Type="http://schemas.openxmlformats.org/officeDocument/2006/relationships/hyperlink" Target="http://healthjournalism.org/secondarypage-details.php?id=965" TargetMode="External"/><Relationship Id="rId63" Type="http://schemas.openxmlformats.org/officeDocument/2006/relationships/hyperlink" Target="https://emergency.cdc.gov/cerc/manual/index.asp" TargetMode="External"/><Relationship Id="rId68" Type="http://schemas.openxmlformats.org/officeDocument/2006/relationships/hyperlink" Target="https://www.cste.org/general/custom.asp?page=Legionnaires" TargetMode="External"/><Relationship Id="rId76" Type="http://schemas.openxmlformats.org/officeDocument/2006/relationships/hyperlink" Target="https://www.cms.gov/Medicare/Provider-Enrollment-and-Certification/SurveyCertificationGenInfo/Downloads/QSO17-30-HospitalCAH-NH-REVISED-.pdf" TargetMode="External"/><Relationship Id="rId84" Type="http://schemas.openxmlformats.org/officeDocument/2006/relationships/hyperlink" Target="https://www.cdc.gov/coronavirus/2019-ncov/php/building-water-system.html"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techstreet.com/ashrae/standards/guideline-12-2020-managing-the-risk-of-legionellosis-associated-with-building-water-systems?product_id=2111422" TargetMode="External"/><Relationship Id="rId2" Type="http://schemas.openxmlformats.org/officeDocument/2006/relationships/numbering" Target="numbering.xml"/><Relationship Id="rId16" Type="http://schemas.openxmlformats.org/officeDocument/2006/relationships/hyperlink" Target="https://www.cdc.gov/legionella/health-depts/surv-reporting/case-definitions.html" TargetMode="External"/><Relationship Id="rId29" Type="http://schemas.openxmlformats.org/officeDocument/2006/relationships/hyperlink" Target="https://www.cdc.gov/legionella/health-depts/surv-reporting/form-instructions.html" TargetMode="External"/><Relationship Id="rId11" Type="http://schemas.openxmlformats.org/officeDocument/2006/relationships/hyperlink" Target="https://www.cdc.gov/legionella/clinicians.html" TargetMode="External"/><Relationship Id="rId24" Type="http://schemas.openxmlformats.org/officeDocument/2006/relationships/hyperlink" Target="https://www.cdc.gov/legionella/health-depts/surv-reporting/index.html" TargetMode="External"/><Relationship Id="rId32" Type="http://schemas.openxmlformats.org/officeDocument/2006/relationships/hyperlink" Target="https://www.cdc.gov/legionella/health-depts/surv-reporting/form-instructions.html" TargetMode="External"/><Relationship Id="rId37" Type="http://schemas.openxmlformats.org/officeDocument/2006/relationships/hyperlink" Target="https://cdn.ymaws.com/www.cste.org/resource/resmgr/PDFs/LegalIssuesTribalJuris.pdf" TargetMode="External"/><Relationship Id="rId40" Type="http://schemas.openxmlformats.org/officeDocument/2006/relationships/hyperlink" Target="http://healthjournalism.org/secondarypage-details.php?id=965" TargetMode="External"/><Relationship Id="rId45" Type="http://schemas.openxmlformats.org/officeDocument/2006/relationships/hyperlink" Target="https://www.ashrae.org/about/news/2018/ashrae-publishes-updated-legionellosis-standard" TargetMode="External"/><Relationship Id="rId53" Type="http://schemas.openxmlformats.org/officeDocument/2006/relationships/hyperlink" Target="https://www.cdc.gov/legionella/health-depts/communications-resources.html" TargetMode="External"/><Relationship Id="rId58" Type="http://schemas.openxmlformats.org/officeDocument/2006/relationships/hyperlink" Target="https://emergency.cdc.gov/cerc/manual/index.asp" TargetMode="External"/><Relationship Id="rId66" Type="http://schemas.openxmlformats.org/officeDocument/2006/relationships/hyperlink" Target="https://www.cdc.gov/legionella/downloads/toolkit.pdf" TargetMode="External"/><Relationship Id="rId74" Type="http://schemas.openxmlformats.org/officeDocument/2006/relationships/hyperlink" Target="https://www.cdc.gov/coronavirus/2019-ncov/php/building-water-system.html" TargetMode="External"/><Relationship Id="rId79" Type="http://schemas.openxmlformats.org/officeDocument/2006/relationships/hyperlink" Target="https://online-ams.aiha.org/amsssa/ecssashop.show_product_detail?p_product_serno=1047&amp;p_mode=detail&amp;p_cust_id=&amp;p_session_serno=10324669&amp;p_trans_ty=&amp;p_order_serno=&amp;p_promo_cd=&amp;p_price_cd=" TargetMode="External"/><Relationship Id="rId87" Type="http://schemas.openxmlformats.org/officeDocument/2006/relationships/hyperlink" Target="https://www.cste.org/general/custom.asp?page=Legionnaires" TargetMode="External"/><Relationship Id="rId5" Type="http://schemas.openxmlformats.org/officeDocument/2006/relationships/webSettings" Target="webSettings.xml"/><Relationship Id="rId61" Type="http://schemas.openxmlformats.org/officeDocument/2006/relationships/hyperlink" Target="https://www.cdc.gov/legionella/health-depts/communications-resources.html" TargetMode="External"/><Relationship Id="rId82" Type="http://schemas.openxmlformats.org/officeDocument/2006/relationships/hyperlink" Target="https://www.cdc.gov/legionella/wmp/overview.html" TargetMode="External"/><Relationship Id="rId90" Type="http://schemas.openxmlformats.org/officeDocument/2006/relationships/theme" Target="theme/theme1.xml"/><Relationship Id="rId19" Type="http://schemas.openxmlformats.org/officeDocument/2006/relationships/hyperlink" Target="https://www.cdc.gov/legionella/health-depts/surv-reporting/form-instructions.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dn.ymaws.com/www.cste.org/resource/resmgr/2019ps/final/19-ID-04_Legionellosis_final.pdf" TargetMode="External"/><Relationship Id="rId22" Type="http://schemas.openxmlformats.org/officeDocument/2006/relationships/hyperlink" Target="https://www.cdc.gov/legionella/health-depts/surv-reporting/form-instructions.html" TargetMode="External"/><Relationship Id="rId27" Type="http://schemas.openxmlformats.org/officeDocument/2006/relationships/hyperlink" Target="https://www.cdc.gov/legionella/health-depts/surv-reporting/surveillance-classifications.html" TargetMode="External"/><Relationship Id="rId30" Type="http://schemas.openxmlformats.org/officeDocument/2006/relationships/hyperlink" Target="https://www.cdc.gov/healthywater/surveillance/index.html" TargetMode="External"/><Relationship Id="rId35" Type="http://schemas.openxmlformats.org/officeDocument/2006/relationships/hyperlink" Target="http://healthjournalism.org/secondarypage-details.php?id=965" TargetMode="External"/><Relationship Id="rId43" Type="http://schemas.openxmlformats.org/officeDocument/2006/relationships/hyperlink" Target="https://www.astho.org/Public-Policy/Public-Health-Law/Legal-Issues-Related-to-sharing-Clinical-Health-Data-with-Public-Health-Agencies/" TargetMode="External"/><Relationship Id="rId48" Type="http://schemas.openxmlformats.org/officeDocument/2006/relationships/hyperlink" Target="https://www.ashrae.org/about/news/2018/ashrae-publishes-updated-legionellosis-standard" TargetMode="External"/><Relationship Id="rId56" Type="http://schemas.openxmlformats.org/officeDocument/2006/relationships/hyperlink" Target="https://www.cdc.gov/legionella/health-depts/communications-resources.html" TargetMode="External"/><Relationship Id="rId64" Type="http://schemas.openxmlformats.org/officeDocument/2006/relationships/hyperlink" Target="https://www.cdc.gov/nceh/clearwriting/docs/health-comm-playbook-508.pdf" TargetMode="External"/><Relationship Id="rId69" Type="http://schemas.openxmlformats.org/officeDocument/2006/relationships/hyperlink" Target="https://online-ams.aiha.org/amsssa/ecssashop.show_product_detail?p_product_serno=1047&amp;p_mode=detail&amp;p_cust_id=&amp;p_session_serno=10324669&amp;p_trans_ty=&amp;p_order_serno=&amp;p_promo_cd=&amp;p_price_cd=" TargetMode="External"/><Relationship Id="rId77" Type="http://schemas.openxmlformats.org/officeDocument/2006/relationships/hyperlink" Target="https://www.cste.org/general/custom.asp?page=Legionnaires" TargetMode="External"/><Relationship Id="rId8" Type="http://schemas.openxmlformats.org/officeDocument/2006/relationships/header" Target="header1.xml"/><Relationship Id="rId51" Type="http://schemas.openxmlformats.org/officeDocument/2006/relationships/hyperlink" Target="https://www.cdc.gov/eis/field-epi-manual/chapters/Communicating-Investigation.html" TargetMode="External"/><Relationship Id="rId72" Type="http://schemas.openxmlformats.org/officeDocument/2006/relationships/hyperlink" Target="https://www.cdc.gov/legionella/wmp/overview.html" TargetMode="External"/><Relationship Id="rId80" Type="http://schemas.openxmlformats.org/officeDocument/2006/relationships/hyperlink" Target="https://www.ashrae.org/technical-resources/bookstore/ansi-ashrae-standard-188-2018-legionellosis-risk-management-for-building-water-systems" TargetMode="External"/><Relationship Id="rId85" Type="http://schemas.openxmlformats.org/officeDocument/2006/relationships/hyperlink" Target="https://www.cdc.gov/nceh/ehs/elearn/prevent-LD-training.html" TargetMode="External"/><Relationship Id="rId3" Type="http://schemas.openxmlformats.org/officeDocument/2006/relationships/styles" Target="styles.xml"/><Relationship Id="rId12" Type="http://schemas.openxmlformats.org/officeDocument/2006/relationships/hyperlink" Target="https://www.cdc.gov/legionella/clinicians.html" TargetMode="External"/><Relationship Id="rId17" Type="http://schemas.openxmlformats.org/officeDocument/2006/relationships/hyperlink" Target="https://www.cdc.gov/legionella/health-depts/surv-reporting/surveillance-classifications.html" TargetMode="External"/><Relationship Id="rId25" Type="http://schemas.openxmlformats.org/officeDocument/2006/relationships/hyperlink" Target="https://cdn.ymaws.com/www.cste.org/resource/resmgr/2019ps/final/19-ID-04_Legionellosis_final.pdf" TargetMode="External"/><Relationship Id="rId33" Type="http://schemas.openxmlformats.org/officeDocument/2006/relationships/hyperlink" Target="https://www.cdc.gov/legionella/health-depts/surv-reporting/surveillance-reports.html" TargetMode="External"/><Relationship Id="rId38" Type="http://schemas.openxmlformats.org/officeDocument/2006/relationships/hyperlink" Target="https://www.astho.org/Public-Policy/Public-Health-Law/Legal-Issues-Related-to-sharing-Clinical-Health-Data-with-Public-Health-Agencies/" TargetMode="External"/><Relationship Id="rId46" Type="http://schemas.openxmlformats.org/officeDocument/2006/relationships/hyperlink" Target="https://media.goldbergsegalla.com/uploads/tpb_ses%20dri%20standard%20of%20care.pdf" TargetMode="External"/><Relationship Id="rId59" Type="http://schemas.openxmlformats.org/officeDocument/2006/relationships/hyperlink" Target="https://www.cdc.gov/nceh/clearwriting/docs/health-comm-playbook-508.pdf" TargetMode="External"/><Relationship Id="rId67" Type="http://schemas.openxmlformats.org/officeDocument/2006/relationships/hyperlink" Target="https://www.cste.org/general/custom.asp?page=Legionnaires" TargetMode="External"/><Relationship Id="rId20" Type="http://schemas.openxmlformats.org/officeDocument/2006/relationships/hyperlink" Target="https://www.cdc.gov/healthywater/surveillance/index.html" TargetMode="External"/><Relationship Id="rId41" Type="http://schemas.openxmlformats.org/officeDocument/2006/relationships/hyperlink" Target="https://www.rcfp.org/open-government-guide/" TargetMode="External"/><Relationship Id="rId54" Type="http://schemas.openxmlformats.org/officeDocument/2006/relationships/hyperlink" Target="https://www.cdc.gov/legionella/health-depts/communications-resources.html" TargetMode="External"/><Relationship Id="rId62" Type="http://schemas.openxmlformats.org/officeDocument/2006/relationships/hyperlink" Target="https://www.cdc.gov/eis/field-epi-manual/chapters/Communicating-Investigation.html" TargetMode="External"/><Relationship Id="rId70" Type="http://schemas.openxmlformats.org/officeDocument/2006/relationships/hyperlink" Target="https://www.ashrae.org/technical-resources/bookstore/ansi-ashrae-standard-188-2018-legionellosis-risk-management-for-building-water-systems" TargetMode="External"/><Relationship Id="rId75" Type="http://schemas.openxmlformats.org/officeDocument/2006/relationships/hyperlink" Target="https://www.cdc.gov/nceh/ehs/elearn/prevent-LD-training.html" TargetMode="External"/><Relationship Id="rId83" Type="http://schemas.openxmlformats.org/officeDocument/2006/relationships/hyperlink" Target="https://www.cdc.gov/legionella/downloads/toolkit.pdf" TargetMode="External"/><Relationship Id="rId88" Type="http://schemas.openxmlformats.org/officeDocument/2006/relationships/hyperlink" Target="https://www.nsf.org/news/nsf-international-announces-new-protocol-for-cooling-tower-water-system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dn.ymaws.com/www.cste.org/resource/resmgr/2019ps/final/19-ID-04_Legionellosis_final.pdf" TargetMode="External"/><Relationship Id="rId23" Type="http://schemas.openxmlformats.org/officeDocument/2006/relationships/hyperlink" Target="https://www.cdc.gov/legionella/health-depts/surv-reporting/surveillance-reports.html" TargetMode="External"/><Relationship Id="rId28" Type="http://schemas.openxmlformats.org/officeDocument/2006/relationships/hyperlink" Target="https://wwwn.cdc.gov/nndss/conditions/legionellosis/case-definition/2020/" TargetMode="External"/><Relationship Id="rId36" Type="http://schemas.openxmlformats.org/officeDocument/2006/relationships/hyperlink" Target="https://www.rcfp.org/open-government-guide/" TargetMode="External"/><Relationship Id="rId49" Type="http://schemas.openxmlformats.org/officeDocument/2006/relationships/hyperlink" Target="https://media.goldbergsegalla.com/uploads/tpb_ses%20dri%20standard%20of%20care.pdf" TargetMode="External"/><Relationship Id="rId57" Type="http://schemas.openxmlformats.org/officeDocument/2006/relationships/hyperlink" Target="https://www.cdc.gov/eis/field-epi-manual/chapters/Communicating-Investigation.html" TargetMode="External"/><Relationship Id="rId10" Type="http://schemas.openxmlformats.org/officeDocument/2006/relationships/header" Target="header2.xml"/><Relationship Id="rId31" Type="http://schemas.openxmlformats.org/officeDocument/2006/relationships/hyperlink" Target="https://www.cdc.gov/nors/" TargetMode="External"/><Relationship Id="rId44" Type="http://schemas.openxmlformats.org/officeDocument/2006/relationships/hyperlink" Target="http://legalbib.communitycommons.org/" TargetMode="External"/><Relationship Id="rId52" Type="http://schemas.openxmlformats.org/officeDocument/2006/relationships/hyperlink" Target="https://www.cdc.gov/eis/field-epi-manual/chapters/Communicating-Investigation.html" TargetMode="External"/><Relationship Id="rId60" Type="http://schemas.openxmlformats.org/officeDocument/2006/relationships/hyperlink" Target="http://healthjournalism.org/secondarypage-details.php?id=965" TargetMode="External"/><Relationship Id="rId65" Type="http://schemas.openxmlformats.org/officeDocument/2006/relationships/hyperlink" Target="https://www.cdc.gov/legionella/downloads/toolkit.pdf" TargetMode="External"/><Relationship Id="rId73" Type="http://schemas.openxmlformats.org/officeDocument/2006/relationships/hyperlink" Target="https://www.cdc.gov/legionella/downloads/toolkit.pdf" TargetMode="External"/><Relationship Id="rId78" Type="http://schemas.openxmlformats.org/officeDocument/2006/relationships/hyperlink" Target="https://www.nsf.org/news/nsf-international-announces-new-protocol-for-cooling-tower-water-systems" TargetMode="External"/><Relationship Id="rId81" Type="http://schemas.openxmlformats.org/officeDocument/2006/relationships/hyperlink" Target="https://www.techstreet.com/ashrae/standards/guideline-12-2020-managing-the-risk-of-legionellosis-associated-with-building-water-systems?product_id=2111422" TargetMode="External"/><Relationship Id="rId86" Type="http://schemas.openxmlformats.org/officeDocument/2006/relationships/hyperlink" Target="https://www.cms.gov/Medicare/Provider-Enrollment-and-Certification/SurveyCertificationGenInfo/Downloads/QSO17-30-HospitalCAH-NH-REVISED-.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cdn.ymaws.com/www.cste.org/resource/resmgr/2019ps/final/19-ID-04_Legionellosis_final.pdf" TargetMode="External"/><Relationship Id="rId117" Type="http://schemas.openxmlformats.org/officeDocument/2006/relationships/hyperlink" Target="https://pubmed.ncbi.nlm.nih.gov/26936670/" TargetMode="External"/><Relationship Id="rId21" Type="http://schemas.openxmlformats.org/officeDocument/2006/relationships/hyperlink" Target="https://www.cdc.gov/legionella/about/signs-symptoms.html" TargetMode="External"/><Relationship Id="rId42" Type="http://schemas.openxmlformats.org/officeDocument/2006/relationships/hyperlink" Target="https://www.cdc.gov/legionella/about/diagnosis.html" TargetMode="External"/><Relationship Id="rId47" Type="http://schemas.openxmlformats.org/officeDocument/2006/relationships/hyperlink" Target="https://www.cdc.gov/eis/field-epi-manual/chapters/Legal.html" TargetMode="External"/><Relationship Id="rId63" Type="http://schemas.openxmlformats.org/officeDocument/2006/relationships/hyperlink" Target="https://www.rcfp.org/open-government-sections/b-administrative-enforcement-records-e-g-worker-safety-and-health-inspections-or-accident-investigations/" TargetMode="External"/><Relationship Id="rId68" Type="http://schemas.openxmlformats.org/officeDocument/2006/relationships/hyperlink" Target="https://cdt.org/insights/existing-federal-privacy-laws/" TargetMode="External"/><Relationship Id="rId84" Type="http://schemas.openxmlformats.org/officeDocument/2006/relationships/hyperlink" Target="https://emergency.cdc.gov/cerc/ppt/CERC_Introduction.pdf" TargetMode="External"/><Relationship Id="rId89" Type="http://schemas.openxmlformats.org/officeDocument/2006/relationships/hyperlink" Target="https://www.cdc.gov/legionella/downloads/toolkit.pdf" TargetMode="External"/><Relationship Id="rId112" Type="http://schemas.openxmlformats.org/officeDocument/2006/relationships/hyperlink" Target="https://www.cdc.gov/legionella/wmp/overview.html" TargetMode="External"/><Relationship Id="rId16" Type="http://schemas.openxmlformats.org/officeDocument/2006/relationships/hyperlink" Target="https://www.cdc.gov/legionella/clinicians/clinical-features.html" TargetMode="External"/><Relationship Id="rId107" Type="http://schemas.openxmlformats.org/officeDocument/2006/relationships/hyperlink" Target="https://www.ashrae.org/technical-resources/bookstore/ansi-ashrae-standard-188-2018-legionellosis-risk-management-for-building-water-systems" TargetMode="External"/><Relationship Id="rId11" Type="http://schemas.openxmlformats.org/officeDocument/2006/relationships/hyperlink" Target="https://www.cdc.gov/legionella/clinicians/disease-specifics.html" TargetMode="External"/><Relationship Id="rId24" Type="http://schemas.openxmlformats.org/officeDocument/2006/relationships/hyperlink" Target="https://cdn.ymaws.com/www.cste.org/resource/resmgr/2019ps/final/19-ID-04_Legionellosis_final.pdf" TargetMode="External"/><Relationship Id="rId32" Type="http://schemas.openxmlformats.org/officeDocument/2006/relationships/hyperlink" Target="https://cdn.ymaws.com/www.cste.org/resource/resmgr/2019ps/final/19-ID-04_Legionellosis_final.pdf" TargetMode="External"/><Relationship Id="rId37" Type="http://schemas.openxmlformats.org/officeDocument/2006/relationships/hyperlink" Target="https://cdn.ymaws.com/www.cste.org/resource/resmgr/2019ps/final/19-ID-04_Legionellosis_final.pdf" TargetMode="External"/><Relationship Id="rId40" Type="http://schemas.openxmlformats.org/officeDocument/2006/relationships/hyperlink" Target="https://www.cdc.gov/legionella/about/diagnosis.html" TargetMode="External"/><Relationship Id="rId45" Type="http://schemas.openxmlformats.org/officeDocument/2006/relationships/hyperlink" Target="https://www.cdc.gov/legionella/health-depts/surv-reporting/report-cases.html" TargetMode="External"/><Relationship Id="rId53" Type="http://schemas.openxmlformats.org/officeDocument/2006/relationships/hyperlink" Target="https://dx.doi.org/10.1177%2F003335491112600317" TargetMode="External"/><Relationship Id="rId58" Type="http://schemas.openxmlformats.org/officeDocument/2006/relationships/hyperlink" Target="https://www.rcfp.org/open-government-sections/b-other-statutory-exclusions/" TargetMode="External"/><Relationship Id="rId66" Type="http://schemas.openxmlformats.org/officeDocument/2006/relationships/hyperlink" Target="https://www.rcfp.org/open-government-sections/l-homeland-security-and-anti-terrorism-measures/" TargetMode="External"/><Relationship Id="rId74" Type="http://schemas.openxmlformats.org/officeDocument/2006/relationships/hyperlink" Target="https://studentprivacy.ed.gov/sites/default/files/resource_document/file/2019%20HIPAA%20FERPA%20Joint%20Guidance%20508.pdf" TargetMode="External"/><Relationship Id="rId79" Type="http://schemas.openxmlformats.org/officeDocument/2006/relationships/hyperlink" Target="https://www.facilitiesnet.com/facilitiesmanagement/article/Legal-Significance-of-ANSIASHRAE-Standard-188-2015--16353" TargetMode="External"/><Relationship Id="rId87" Type="http://schemas.openxmlformats.org/officeDocument/2006/relationships/hyperlink" Target="https://www.cdc.gov/legionella/downloads/toolkit.pdf" TargetMode="External"/><Relationship Id="rId102" Type="http://schemas.openxmlformats.org/officeDocument/2006/relationships/hyperlink" Target="https://www.cdc.gov/legionella/wmp/overview.html" TargetMode="External"/><Relationship Id="rId110" Type="http://schemas.openxmlformats.org/officeDocument/2006/relationships/hyperlink" Target="https://www.cdc.gov/legionella/wmp/overview.html" TargetMode="External"/><Relationship Id="rId115" Type="http://schemas.openxmlformats.org/officeDocument/2006/relationships/hyperlink" Target="https://www.cdc.gov/legionella/wmp/healthcare-facilities/water-mgmt-facilities.html" TargetMode="External"/><Relationship Id="rId5" Type="http://schemas.openxmlformats.org/officeDocument/2006/relationships/hyperlink" Target="https://www.cdc.gov/legionella/about/history.html" TargetMode="External"/><Relationship Id="rId61" Type="http://schemas.openxmlformats.org/officeDocument/2006/relationships/hyperlink" Target="https://cdr.lib.unc.edu/concern/parent/zk51vj062/file_sets/8049g647g" TargetMode="External"/><Relationship Id="rId82" Type="http://schemas.openxmlformats.org/officeDocument/2006/relationships/hyperlink" Target="https://www.networkforphl.org/resources/topics/projects/flint-water-crisis-project/" TargetMode="External"/><Relationship Id="rId90" Type="http://schemas.openxmlformats.org/officeDocument/2006/relationships/hyperlink" Target="https://www.cdc.gov/healthywater/other/industrial/cooling_towers.html" TargetMode="External"/><Relationship Id="rId95" Type="http://schemas.openxmlformats.org/officeDocument/2006/relationships/hyperlink" Target="https://www.cdc.gov/legionella/wmp/overview/growth-and-spread.html" TargetMode="External"/><Relationship Id="rId19" Type="http://schemas.openxmlformats.org/officeDocument/2006/relationships/hyperlink" Target="https://www.cdc.gov/legionella/about/signs-symptoms.html" TargetMode="External"/><Relationship Id="rId14" Type="http://schemas.openxmlformats.org/officeDocument/2006/relationships/hyperlink" Target="https://www.cdc.gov/legionella/clinicians/disease-specifics.html" TargetMode="External"/><Relationship Id="rId22" Type="http://schemas.openxmlformats.org/officeDocument/2006/relationships/hyperlink" Target="https://www.cdc.gov/legionella/about/signs-symptoms.html" TargetMode="External"/><Relationship Id="rId27" Type="http://schemas.openxmlformats.org/officeDocument/2006/relationships/hyperlink" Target="https://cdn.ymaws.com/www.cste.org/resource/resmgr/2019ps/final/19-ID-04_Legionellosis_final.pdf" TargetMode="External"/><Relationship Id="rId30" Type="http://schemas.openxmlformats.org/officeDocument/2006/relationships/hyperlink" Target="https://cdn.ymaws.com/www.cste.org/resource/resmgr/2019ps/final/19-ID-04_Legionellosis_final.pdf" TargetMode="External"/><Relationship Id="rId35" Type="http://schemas.openxmlformats.org/officeDocument/2006/relationships/hyperlink" Target="https://cdn.ymaws.com/www.cste.org/resource/resmgr/2019ps/final/19-ID-04_Legionellosis_final.pdf" TargetMode="External"/><Relationship Id="rId43" Type="http://schemas.openxmlformats.org/officeDocument/2006/relationships/hyperlink" Target="https://cdn.ymaws.com/www.cste.org/resource/resmgr/2019ps/final/19-ID-04_Legionellosis_final.pdf" TargetMode="External"/><Relationship Id="rId48" Type="http://schemas.openxmlformats.org/officeDocument/2006/relationships/hyperlink" Target="https://www.cdc.gov/phlp/publications/topic/tribal.html" TargetMode="External"/><Relationship Id="rId56" Type="http://schemas.openxmlformats.org/officeDocument/2006/relationships/hyperlink" Target="https://www.rcfp.org/open-government-sections/4-personally-identifying-information/" TargetMode="External"/><Relationship Id="rId64" Type="http://schemas.openxmlformats.org/officeDocument/2006/relationships/hyperlink" Target="https://www.rcfp.org/open-government-sections/b-administrative-enforcement-records-e-g-worker-safety-and-health-inspections-or-accident-investigations/" TargetMode="External"/><Relationship Id="rId69" Type="http://schemas.openxmlformats.org/officeDocument/2006/relationships/hyperlink" Target="https://www.hhs.gov/hipaa/for-professionals/privacy/laws-regulations/index.html" TargetMode="External"/><Relationship Id="rId77" Type="http://schemas.openxmlformats.org/officeDocument/2006/relationships/hyperlink" Target="http://www2.ed.gov/policy/gen/guid/fpco/ferpa/library/baiseunmslc.html" TargetMode="External"/><Relationship Id="rId100" Type="http://schemas.openxmlformats.org/officeDocument/2006/relationships/hyperlink" Target="https://www.cdc.gov/legionella/downloads/toolkit.pdf" TargetMode="External"/><Relationship Id="rId105" Type="http://schemas.openxmlformats.org/officeDocument/2006/relationships/hyperlink" Target="https://www.cdc.gov/legionella/wmp/overview.html" TargetMode="External"/><Relationship Id="rId113" Type="http://schemas.openxmlformats.org/officeDocument/2006/relationships/hyperlink" Target="https://www.cdc.gov/vitalsigns/pdf/2017-06-vitalsigns.pdf" TargetMode="External"/><Relationship Id="rId118" Type="http://schemas.openxmlformats.org/officeDocument/2006/relationships/hyperlink" Target="https://www.cdc.gov/legionella/wmp/healthcare-facilities/water-mgmt-facilities.html" TargetMode="External"/><Relationship Id="rId8" Type="http://schemas.openxmlformats.org/officeDocument/2006/relationships/hyperlink" Target="https://www.cdc.gov/legionella/clinicians/disease-specifics.html" TargetMode="External"/><Relationship Id="rId51" Type="http://schemas.openxmlformats.org/officeDocument/2006/relationships/hyperlink" Target="https://cdn.ymaws.com/www.cste.org/resource/resmgr/PS/09-ID-45.pdf" TargetMode="External"/><Relationship Id="rId72" Type="http://schemas.openxmlformats.org/officeDocument/2006/relationships/hyperlink" Target="https://www.hhs.gov/hipaa/for-professionals/privacy/laws-regulations/index.html" TargetMode="External"/><Relationship Id="rId80" Type="http://schemas.openxmlformats.org/officeDocument/2006/relationships/hyperlink" Target="https://www.facilitiesnet.com/facilitiesmanagement/article/Legal-Significance-of-ANSIASHRAE-Standard-188-2015--16353" TargetMode="External"/><Relationship Id="rId85" Type="http://schemas.openxmlformats.org/officeDocument/2006/relationships/hyperlink" Target="https://www.astho.org/profile/" TargetMode="External"/><Relationship Id="rId93" Type="http://schemas.openxmlformats.org/officeDocument/2006/relationships/hyperlink" Target="https://www.cdc.gov/legionella/wmp/overview/growth-and-spread.html" TargetMode="External"/><Relationship Id="rId98" Type="http://schemas.openxmlformats.org/officeDocument/2006/relationships/hyperlink" Target="https://www.cdc.gov/legionella/wmp/overview/growth-and-spread.html" TargetMode="External"/><Relationship Id="rId3" Type="http://schemas.openxmlformats.org/officeDocument/2006/relationships/hyperlink" Target="https://www.cdc.gov/legionella/clinicians/disease-specifics.html" TargetMode="External"/><Relationship Id="rId12" Type="http://schemas.openxmlformats.org/officeDocument/2006/relationships/hyperlink" Target="https://www.cdc.gov/legionella/clinicians/disease-specifics.html" TargetMode="External"/><Relationship Id="rId17" Type="http://schemas.openxmlformats.org/officeDocument/2006/relationships/hyperlink" Target="https://www.cdc.gov/legionella/clinicians/clinical-features.html" TargetMode="External"/><Relationship Id="rId25" Type="http://schemas.openxmlformats.org/officeDocument/2006/relationships/hyperlink" Target="https://cdn.ymaws.com/www.cste.org/resource/resmgr/2019ps/final/19-ID-04_Legionellosis_final.pdf" TargetMode="External"/><Relationship Id="rId33" Type="http://schemas.openxmlformats.org/officeDocument/2006/relationships/hyperlink" Target="https://cdn.ymaws.com/www.cste.org/resource/resmgr/2019ps/final/19-ID-04_Legionellosis_final.pdf" TargetMode="External"/><Relationship Id="rId38" Type="http://schemas.openxmlformats.org/officeDocument/2006/relationships/hyperlink" Target="https://cdn.ymaws.com/www.cste.org/resource/resmgr/2019ps/final/19-ID-04_Legionellosis_final.pdf" TargetMode="External"/><Relationship Id="rId46" Type="http://schemas.openxmlformats.org/officeDocument/2006/relationships/hyperlink" Target="https://www.cdc.gov/legionella/health-depts/surv-reporting/report-cases.html" TargetMode="External"/><Relationship Id="rId59" Type="http://schemas.openxmlformats.org/officeDocument/2006/relationships/hyperlink" Target="https://www.rcfp.org/open-government-sections/m-hospital-reports/" TargetMode="External"/><Relationship Id="rId67" Type="http://schemas.openxmlformats.org/officeDocument/2006/relationships/hyperlink" Target="http://healthjournalism.org/secondarypage-details.php?id=965" TargetMode="External"/><Relationship Id="rId103" Type="http://schemas.openxmlformats.org/officeDocument/2006/relationships/hyperlink" Target="https://www.ansi.org/about/introduction" TargetMode="External"/><Relationship Id="rId108" Type="http://schemas.openxmlformats.org/officeDocument/2006/relationships/hyperlink" Target="https://www.cdc.gov/legionella/downloads/toolkit.pdf" TargetMode="External"/><Relationship Id="rId116" Type="http://schemas.openxmlformats.org/officeDocument/2006/relationships/hyperlink" Target="https://www.cdc.gov/legionella/wmp/healthcare-facilities/water-mgmt-facilities.html" TargetMode="External"/><Relationship Id="rId20" Type="http://schemas.openxmlformats.org/officeDocument/2006/relationships/hyperlink" Target="https://cdn.ymaws.com/www.cste.org/resource/resmgr/2019ps/final/19-ID-04_Legionellosis_final.pdf" TargetMode="External"/><Relationship Id="rId41" Type="http://schemas.openxmlformats.org/officeDocument/2006/relationships/hyperlink" Target="https://www.cdc.gov/legionella/about/diagnosis.html" TargetMode="External"/><Relationship Id="rId54" Type="http://schemas.openxmlformats.org/officeDocument/2006/relationships/hyperlink" Target="https://dx.doi.org/10.1177%2F003335491112600317" TargetMode="External"/><Relationship Id="rId62" Type="http://schemas.openxmlformats.org/officeDocument/2006/relationships/hyperlink" Target="https://www.rcfp.org/open-government-sections/e-business-records-financial-data-trade-secrets/" TargetMode="External"/><Relationship Id="rId70" Type="http://schemas.openxmlformats.org/officeDocument/2006/relationships/hyperlink" Target="https://www.hhs.gov/hipaa/for-professionals/privacy/laws-regulations/index.html" TargetMode="External"/><Relationship Id="rId75" Type="http://schemas.openxmlformats.org/officeDocument/2006/relationships/hyperlink" Target="https://studentprivacy.ed.gov/sites/default/files/resource_document/file/2019%20HIPAA%20FERPA%20Joint%20Guidance%20508.pdf" TargetMode="External"/><Relationship Id="rId83" Type="http://schemas.openxmlformats.org/officeDocument/2006/relationships/hyperlink" Target="https://www.detroitnews.com/story/news/michigan/flint-water-crisis/2020/11/17/flint-water-crisis-settlement-grows-641-2-million/6335673002/" TargetMode="External"/><Relationship Id="rId88" Type="http://schemas.openxmlformats.org/officeDocument/2006/relationships/hyperlink" Target="https://www.cdc.gov/legionella/downloads/toolkit.pdf" TargetMode="External"/><Relationship Id="rId91" Type="http://schemas.openxmlformats.org/officeDocument/2006/relationships/hyperlink" Target="https://www.cdc.gov/legionella/downloads/toolkit.pdf" TargetMode="External"/><Relationship Id="rId96" Type="http://schemas.openxmlformats.org/officeDocument/2006/relationships/hyperlink" Target="https://www.cdc.gov/legionella/wmp/overview/growth-and-spread.html" TargetMode="External"/><Relationship Id="rId111" Type="http://schemas.openxmlformats.org/officeDocument/2006/relationships/hyperlink" Target="https://www.cdc.gov/legionella/wmp/overview.html" TargetMode="External"/><Relationship Id="rId1" Type="http://schemas.openxmlformats.org/officeDocument/2006/relationships/hyperlink" Target="https://www.cdc.gov/legionella/about/history.html" TargetMode="External"/><Relationship Id="rId6" Type="http://schemas.openxmlformats.org/officeDocument/2006/relationships/hyperlink" Target="https://www.cdc.gov/legionella/about/history.html" TargetMode="External"/><Relationship Id="rId15" Type="http://schemas.openxmlformats.org/officeDocument/2006/relationships/hyperlink" Target="https://www.cdc.gov/legionella/clinicians/disease-specifics.html" TargetMode="External"/><Relationship Id="rId23" Type="http://schemas.openxmlformats.org/officeDocument/2006/relationships/hyperlink" Target="https://cdn.ymaws.com/www.cste.org/resource/resmgr/2019ps/final/19-ID-04_Legionellosis_final.pdf" TargetMode="External"/><Relationship Id="rId28" Type="http://schemas.openxmlformats.org/officeDocument/2006/relationships/hyperlink" Target="https://cdn.ymaws.com/www.cste.org/resource/resmgr/2019ps/final/19-ID-04_Legionellosis_final.pdf" TargetMode="External"/><Relationship Id="rId36" Type="http://schemas.openxmlformats.org/officeDocument/2006/relationships/hyperlink" Target="https://cdn.ymaws.com/www.cste.org/resource/resmgr/2019ps/final/19-ID-04_Legionellosis_final.pdf" TargetMode="External"/><Relationship Id="rId49" Type="http://schemas.openxmlformats.org/officeDocument/2006/relationships/hyperlink" Target="https://www.astho.org/profile/" TargetMode="External"/><Relationship Id="rId57" Type="http://schemas.openxmlformats.org/officeDocument/2006/relationships/hyperlink" Target="https://doi.org/10.2105/AJPH.2011.300206" TargetMode="External"/><Relationship Id="rId106" Type="http://schemas.openxmlformats.org/officeDocument/2006/relationships/hyperlink" Target="https://www.cdc.gov/legionella/wmp/overview.html" TargetMode="External"/><Relationship Id="rId114" Type="http://schemas.openxmlformats.org/officeDocument/2006/relationships/hyperlink" Target="https://www.cms.gov/Medicare/Provider-Enrollment-and-Certification/SurveyCertificationGenInfo/Downloads/QSO17-30-HospitalCAH-NH-REVISED-.pdf" TargetMode="External"/><Relationship Id="rId10" Type="http://schemas.openxmlformats.org/officeDocument/2006/relationships/hyperlink" Target="http://www.nejm.org/doi/full/10.1056/NEJMc1505356" TargetMode="External"/><Relationship Id="rId31" Type="http://schemas.openxmlformats.org/officeDocument/2006/relationships/hyperlink" Target="https://cdn.ymaws.com/www.cste.org/resource/resmgr/2019ps/final/19-ID-04_Legionellosis_final.pdf" TargetMode="External"/><Relationship Id="rId44" Type="http://schemas.openxmlformats.org/officeDocument/2006/relationships/hyperlink" Target="https://cdn.ymaws.com/www.cste.org/resource/resmgr/PS/09-ID-45.pdf" TargetMode="External"/><Relationship Id="rId52" Type="http://schemas.openxmlformats.org/officeDocument/2006/relationships/hyperlink" Target="https://www.cdc.gov/legionella/health-depts/surv-reporting/report-cases.html" TargetMode="External"/><Relationship Id="rId60" Type="http://schemas.openxmlformats.org/officeDocument/2006/relationships/hyperlink" Target="https://www.rcfp.org/open-government-sections/b-other-statutory-exclusions/" TargetMode="External"/><Relationship Id="rId65" Type="http://schemas.openxmlformats.org/officeDocument/2006/relationships/hyperlink" Target="https://www.rcfp.org/open-government-sections/q-professional-licensing-records/" TargetMode="External"/><Relationship Id="rId73" Type="http://schemas.openxmlformats.org/officeDocument/2006/relationships/hyperlink" Target="https://studentprivacy.ed.gov/sites/default/files/resource_document/file/2019%20HIPAA%20FERPA%20Joint%20Guidance%20508.pdf" TargetMode="External"/><Relationship Id="rId78" Type="http://schemas.openxmlformats.org/officeDocument/2006/relationships/hyperlink" Target="https://www.ashrae.org/about/news/2018/ashrae-publishes-updated-legionellosis-standard" TargetMode="External"/><Relationship Id="rId81" Type="http://schemas.openxmlformats.org/officeDocument/2006/relationships/hyperlink" Target="https://doi.org/10.1177/0033354917730820" TargetMode="External"/><Relationship Id="rId86" Type="http://schemas.openxmlformats.org/officeDocument/2006/relationships/hyperlink" Target="https://www.cdc.gov/legionella/downloads/toolkit.pdf" TargetMode="External"/><Relationship Id="rId94" Type="http://schemas.openxmlformats.org/officeDocument/2006/relationships/hyperlink" Target="https://www.cdc.gov/legionella/downloads/toolkit.pdf" TargetMode="External"/><Relationship Id="rId99" Type="http://schemas.openxmlformats.org/officeDocument/2006/relationships/hyperlink" Target="https://www.cdc.gov/legionella/downloads/toolkit.pdf" TargetMode="External"/><Relationship Id="rId101" Type="http://schemas.openxmlformats.org/officeDocument/2006/relationships/hyperlink" Target="https://www.cdc.gov/legionella/downloads/toolkit.pdf" TargetMode="External"/><Relationship Id="rId4" Type="http://schemas.openxmlformats.org/officeDocument/2006/relationships/hyperlink" Target="https://www.cdc.gov/legionella/clinicians/disease-specifics.html" TargetMode="External"/><Relationship Id="rId9" Type="http://schemas.openxmlformats.org/officeDocument/2006/relationships/hyperlink" Target="https://www.cdc.gov/legionella/clinicians/disease-specifics.html" TargetMode="External"/><Relationship Id="rId13" Type="http://schemas.openxmlformats.org/officeDocument/2006/relationships/hyperlink" Target="https://www.cdc.gov/legionella/health-depts/index.html" TargetMode="External"/><Relationship Id="rId18" Type="http://schemas.openxmlformats.org/officeDocument/2006/relationships/hyperlink" Target="https://www.cdc.gov/legionella/about/signs-symptoms.html" TargetMode="External"/><Relationship Id="rId39" Type="http://schemas.openxmlformats.org/officeDocument/2006/relationships/hyperlink" Target="https://www.cdc.gov/legionella/about/diagnosis.html" TargetMode="External"/><Relationship Id="rId109" Type="http://schemas.openxmlformats.org/officeDocument/2006/relationships/hyperlink" Target="https://www.cdc.gov/nceh/ehs/elearn/prevent-LD-training.html" TargetMode="External"/><Relationship Id="rId34" Type="http://schemas.openxmlformats.org/officeDocument/2006/relationships/hyperlink" Target="https://cdn.ymaws.com/www.cste.org/resource/resmgr/2019ps/final/19-ID-04_Legionellosis_final.pdf" TargetMode="External"/><Relationship Id="rId50" Type="http://schemas.openxmlformats.org/officeDocument/2006/relationships/hyperlink" Target="https://cdn.ymaws.com/www.cste.org/resource/resmgr/2019ps/final/19-ID-04_Legionellosis_final.pdf" TargetMode="External"/><Relationship Id="rId55" Type="http://schemas.openxmlformats.org/officeDocument/2006/relationships/hyperlink" Target="https://www.rcfp.org/open-government-guide/" TargetMode="External"/><Relationship Id="rId76" Type="http://schemas.openxmlformats.org/officeDocument/2006/relationships/hyperlink" Target="https://www2.ed.gov/policy/gen/guid/fpco/ferpa/index.html" TargetMode="External"/><Relationship Id="rId97" Type="http://schemas.openxmlformats.org/officeDocument/2006/relationships/hyperlink" Target="https://www.cdc.gov/legionella/downloads/toolkit.pdf" TargetMode="External"/><Relationship Id="rId104" Type="http://schemas.openxmlformats.org/officeDocument/2006/relationships/hyperlink" Target="https://www.eli.org/buildings/legionella-management" TargetMode="External"/><Relationship Id="rId7" Type="http://schemas.openxmlformats.org/officeDocument/2006/relationships/hyperlink" Target="https://www.cdc.gov/legionella/clinicians/disease-specifics.html" TargetMode="External"/><Relationship Id="rId71" Type="http://schemas.openxmlformats.org/officeDocument/2006/relationships/hyperlink" Target="https://www.hhs.gov/hipaa/for-professionals/privacy/laws-regulations/index.html" TargetMode="External"/><Relationship Id="rId92" Type="http://schemas.openxmlformats.org/officeDocument/2006/relationships/hyperlink" Target="https://www.cdc.gov/legionella/downloads/toolkit.pdf" TargetMode="External"/><Relationship Id="rId2" Type="http://schemas.openxmlformats.org/officeDocument/2006/relationships/hyperlink" Target="https://www.cdc.gov/legionella/about/history.html" TargetMode="External"/><Relationship Id="rId29" Type="http://schemas.openxmlformats.org/officeDocument/2006/relationships/hyperlink" Target="https://cdn.ymaws.com/www.cste.org/resource/resmgr/2019ps/final/19-ID-04_Legionellosis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78770-1371-48B9-9B9C-344EA5877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53</Pages>
  <Words>10196</Words>
  <Characters>58120</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44</cp:revision>
  <dcterms:created xsi:type="dcterms:W3CDTF">2020-12-13T17:29:00Z</dcterms:created>
  <dcterms:modified xsi:type="dcterms:W3CDTF">2020-12-18T18:51:00Z</dcterms:modified>
</cp:coreProperties>
</file>