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7F1DDA" w14:textId="0F54B210" w:rsidR="00B75B7F" w:rsidRPr="001658FD" w:rsidRDefault="00A11D62" w:rsidP="001658FD">
      <w:pPr>
        <w:jc w:val="center"/>
        <w:rPr>
          <w:b/>
          <w:bCs/>
        </w:rPr>
      </w:pPr>
      <w:r w:rsidRPr="001658FD">
        <w:rPr>
          <w:b/>
          <w:bCs/>
        </w:rPr>
        <w:t>Summary of Revisions to LD Risk Communication Toolkit in 2</w:t>
      </w:r>
      <w:r w:rsidRPr="001658FD">
        <w:rPr>
          <w:b/>
          <w:bCs/>
          <w:vertAlign w:val="superscript"/>
        </w:rPr>
        <w:t>nd</w:t>
      </w:r>
      <w:r w:rsidRPr="001658FD">
        <w:rPr>
          <w:b/>
          <w:bCs/>
        </w:rPr>
        <w:t xml:space="preserve"> Draft</w:t>
      </w:r>
    </w:p>
    <w:p w14:paraId="3F3FC589" w14:textId="0C89FBAE" w:rsidR="00A11D62" w:rsidRPr="001658FD" w:rsidRDefault="00A11D62" w:rsidP="001658FD">
      <w:pPr>
        <w:jc w:val="center"/>
        <w:rPr>
          <w:b/>
          <w:bCs/>
        </w:rPr>
      </w:pPr>
    </w:p>
    <w:p w14:paraId="2488ECB3" w14:textId="15AA5FF4" w:rsidR="00A11D62" w:rsidRPr="001658FD" w:rsidRDefault="00A11D62" w:rsidP="001658FD">
      <w:pPr>
        <w:jc w:val="center"/>
        <w:rPr>
          <w:b/>
          <w:bCs/>
        </w:rPr>
      </w:pPr>
      <w:r w:rsidRPr="001658FD">
        <w:rPr>
          <w:b/>
          <w:bCs/>
        </w:rPr>
        <w:t>December 18, 2020</w:t>
      </w:r>
    </w:p>
    <w:p w14:paraId="442FD235" w14:textId="79A0086D" w:rsidR="00A11D62" w:rsidRDefault="00A11D62"/>
    <w:p w14:paraId="0B704140" w14:textId="6C83ED45" w:rsidR="00A11D62" w:rsidRDefault="00A11D62"/>
    <w:p w14:paraId="1C3252AD" w14:textId="445A8960" w:rsidR="00A11D62" w:rsidRDefault="00A11D62">
      <w:r>
        <w:t>In addition to making the miscellaneous edits requested by reviewers, PE made the following revisions to each chapter:</w:t>
      </w:r>
    </w:p>
    <w:p w14:paraId="605513FF" w14:textId="3AECFB99" w:rsidR="00A11D62" w:rsidRDefault="00A11D62"/>
    <w:p w14:paraId="307CEDE1" w14:textId="110C8C1A" w:rsidR="00A11D62" w:rsidRDefault="00A11D62" w:rsidP="00A11D62">
      <w:pPr>
        <w:ind w:left="432" w:hanging="432"/>
      </w:pPr>
      <w:r w:rsidRPr="00A11D62">
        <w:rPr>
          <w:b/>
          <w:bCs/>
        </w:rPr>
        <w:t>Chapter 1 – LD Basics:</w:t>
      </w:r>
      <w:r>
        <w:t xml:space="preserve"> Completely revised the “Diagnosis” section to align with CSTE’s position statement as suggested by multiple reviewers.</w:t>
      </w:r>
    </w:p>
    <w:p w14:paraId="29677CA4" w14:textId="02256617" w:rsidR="00A11D62" w:rsidRDefault="00A11D62" w:rsidP="00A11D62">
      <w:pPr>
        <w:ind w:left="432" w:hanging="432"/>
      </w:pPr>
    </w:p>
    <w:p w14:paraId="6FCA30E8" w14:textId="5C9861A7" w:rsidR="00A11D62" w:rsidRDefault="00A11D62" w:rsidP="00A11D62">
      <w:pPr>
        <w:ind w:left="432" w:hanging="432"/>
      </w:pPr>
      <w:r w:rsidRPr="00A16FFA">
        <w:rPr>
          <w:b/>
          <w:bCs/>
        </w:rPr>
        <w:t>Chapter 2 – Legal Authorities for LD</w:t>
      </w:r>
      <w:r>
        <w:t>: No major changes; miscellaneous edits as requested.</w:t>
      </w:r>
    </w:p>
    <w:p w14:paraId="5CE7194F" w14:textId="28C2DD24" w:rsidR="00A11D62" w:rsidRDefault="00A11D62" w:rsidP="00A11D62">
      <w:pPr>
        <w:ind w:left="432" w:hanging="432"/>
      </w:pPr>
    </w:p>
    <w:p w14:paraId="56AA8811" w14:textId="5F2A6B5D" w:rsidR="00A11D62" w:rsidRDefault="00A11D62" w:rsidP="00A11D62">
      <w:pPr>
        <w:ind w:left="432" w:hanging="432"/>
      </w:pPr>
      <w:r w:rsidRPr="00A16FFA">
        <w:rPr>
          <w:b/>
          <w:bCs/>
        </w:rPr>
        <w:t>Chapter 3 – Access to Information &amp; Confidentiality:</w:t>
      </w:r>
      <w:r>
        <w:t xml:space="preserve"> Major revision to chapter to pare down the length. Reworked the first part of the chapter to lead with discussion of “Balancing Privacy”. Pared down the sections on HIPAA Privacy Rule and FERPA</w:t>
      </w:r>
    </w:p>
    <w:p w14:paraId="7965A998" w14:textId="4C28321D" w:rsidR="00A11D62" w:rsidRDefault="00A11D62" w:rsidP="00A11D62">
      <w:pPr>
        <w:ind w:left="432" w:hanging="432"/>
      </w:pPr>
    </w:p>
    <w:p w14:paraId="3D177327" w14:textId="7FA26F6F" w:rsidR="00A11D62" w:rsidRDefault="00A11D62" w:rsidP="00A11D62">
      <w:pPr>
        <w:ind w:left="432" w:hanging="432"/>
      </w:pPr>
      <w:r w:rsidRPr="00A16FFA">
        <w:rPr>
          <w:b/>
          <w:bCs/>
        </w:rPr>
        <w:t>Chapter 4 – Potential Liability Issues:</w:t>
      </w:r>
      <w:r>
        <w:t xml:space="preserve"> Reworked entire chapter to focus on three common scenarios/concerns re: LD liability: (1) facility liability to injured parties; (2) facility administrative liability to government; (3) government employee liability/immunity for actions. Revised and re-organized the existing content to fit into the new scenario format. Added new information about potential liability and immunity for government employees.</w:t>
      </w:r>
    </w:p>
    <w:p w14:paraId="159A0231" w14:textId="5052D7DC" w:rsidR="00A11D62" w:rsidRDefault="00A11D62" w:rsidP="00A11D62">
      <w:pPr>
        <w:ind w:left="432" w:hanging="432"/>
      </w:pPr>
    </w:p>
    <w:p w14:paraId="152FE665" w14:textId="0BBEFD6F" w:rsidR="00A11D62" w:rsidRDefault="00A11D62" w:rsidP="00A11D62">
      <w:pPr>
        <w:ind w:left="432" w:hanging="432"/>
      </w:pPr>
      <w:r w:rsidRPr="00A16FFA">
        <w:rPr>
          <w:b/>
          <w:bCs/>
        </w:rPr>
        <w:t>Chapter 5 – Communication Considerations</w:t>
      </w:r>
      <w:r>
        <w:t xml:space="preserve">: </w:t>
      </w:r>
      <w:r>
        <w:t>No major changes; miscellaneous edits as requested.</w:t>
      </w:r>
    </w:p>
    <w:p w14:paraId="390D45FE" w14:textId="4D4303BB" w:rsidR="00A11D62" w:rsidRDefault="00A11D62" w:rsidP="00A11D62">
      <w:pPr>
        <w:ind w:left="432" w:hanging="432"/>
      </w:pPr>
    </w:p>
    <w:p w14:paraId="1EF2EA56" w14:textId="296C1E9B" w:rsidR="00A11D62" w:rsidRDefault="00A11D62" w:rsidP="00A11D62">
      <w:pPr>
        <w:ind w:left="432" w:hanging="432"/>
      </w:pPr>
      <w:r w:rsidRPr="00A16FFA">
        <w:rPr>
          <w:b/>
          <w:bCs/>
        </w:rPr>
        <w:t xml:space="preserve">Chapter 6 – Water </w:t>
      </w:r>
      <w:r w:rsidR="00A16FFA" w:rsidRPr="00A16FFA">
        <w:rPr>
          <w:b/>
          <w:bCs/>
        </w:rPr>
        <w:t>M</w:t>
      </w:r>
      <w:r w:rsidRPr="00A16FFA">
        <w:rPr>
          <w:b/>
          <w:bCs/>
        </w:rPr>
        <w:t xml:space="preserve">anagement </w:t>
      </w:r>
      <w:r w:rsidR="00A16FFA" w:rsidRPr="00A16FFA">
        <w:rPr>
          <w:b/>
          <w:bCs/>
        </w:rPr>
        <w:t>P</w:t>
      </w:r>
      <w:r w:rsidRPr="00A16FFA">
        <w:rPr>
          <w:b/>
          <w:bCs/>
        </w:rPr>
        <w:t>rograms</w:t>
      </w:r>
      <w:r w:rsidR="00A16FFA" w:rsidRPr="00A16FFA">
        <w:rPr>
          <w:b/>
          <w:bCs/>
        </w:rPr>
        <w:t>:</w:t>
      </w:r>
      <w:r w:rsidR="00A16FFA">
        <w:t xml:space="preserve"> Revised per CDC comments to align with upcoming CDC revised guidance.</w:t>
      </w:r>
    </w:p>
    <w:sectPr w:rsidR="00A11D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D62"/>
    <w:rsid w:val="00151278"/>
    <w:rsid w:val="001658FD"/>
    <w:rsid w:val="002B665E"/>
    <w:rsid w:val="00476446"/>
    <w:rsid w:val="00A11D62"/>
    <w:rsid w:val="00A16FFA"/>
    <w:rsid w:val="00B75B7F"/>
    <w:rsid w:val="00C007B4"/>
    <w:rsid w:val="00D76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C6026"/>
  <w15:chartTrackingRefBased/>
  <w15:docId w15:val="{E6483CA4-EAE1-4F08-94C5-645C501C8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200</Words>
  <Characters>1143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2</cp:revision>
  <dcterms:created xsi:type="dcterms:W3CDTF">2020-12-18T18:34:00Z</dcterms:created>
  <dcterms:modified xsi:type="dcterms:W3CDTF">2020-12-18T18:45:00Z</dcterms:modified>
</cp:coreProperties>
</file>