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2D2" w:rsidRPr="00B220ED" w:rsidRDefault="00230CCD">
      <w:pPr>
        <w:rPr>
          <w:b/>
        </w:rPr>
      </w:pPr>
      <w:r w:rsidRPr="00B220ED">
        <w:rPr>
          <w:b/>
        </w:rPr>
        <w:t>CDC healthcare associated definition</w:t>
      </w:r>
    </w:p>
    <w:p w:rsidR="00230CCD" w:rsidRDefault="00230CCD">
      <w:r>
        <w:t xml:space="preserve">Website accessed 8/23/18 </w:t>
      </w:r>
    </w:p>
    <w:p w:rsidR="00230CCD" w:rsidRDefault="00230CCD">
      <w:hyperlink r:id="rId5" w:history="1">
        <w:r w:rsidRPr="00652518">
          <w:rPr>
            <w:rStyle w:val="Hyperlink"/>
          </w:rPr>
          <w:t>https://www.cdc.gov/legionella/health-depts/healthcare-resources/healthcare-facilities.html</w:t>
        </w:r>
      </w:hyperlink>
    </w:p>
    <w:p w:rsidR="00230CCD" w:rsidRDefault="00230CCD">
      <w:r>
        <w:t>Text of website pasted below:</w:t>
      </w:r>
    </w:p>
    <w:p w:rsidR="00230CCD" w:rsidRDefault="00230CCD" w:rsidP="00230CCD">
      <w:pPr>
        <w:pStyle w:val="NormalWeb"/>
        <w:rPr>
          <w:rFonts w:cs="Helvetica"/>
          <w:color w:val="333333"/>
        </w:rPr>
      </w:pPr>
      <w:r>
        <w:rPr>
          <w:rFonts w:cs="Helvetica"/>
          <w:color w:val="333333"/>
        </w:rPr>
        <w:t xml:space="preserve">Defining Healthcare Facilities and Healthcare-associated </w:t>
      </w:r>
      <w:proofErr w:type="gramStart"/>
      <w:r>
        <w:rPr>
          <w:rFonts w:cs="Helvetica"/>
          <w:color w:val="333333"/>
        </w:rPr>
        <w:t>Legionnaires' Disease</w:t>
      </w:r>
      <w:proofErr w:type="gramEnd"/>
    </w:p>
    <w:p w:rsidR="00B220ED" w:rsidRDefault="00230CCD" w:rsidP="00230CCD">
      <w:pPr>
        <w:pStyle w:val="NormalWeb"/>
        <w:rPr>
          <w:rFonts w:ascii="Helvetica" w:hAnsi="Helvetica" w:cs="Helvetica"/>
          <w:color w:val="333333"/>
          <w:sz w:val="21"/>
          <w:szCs w:val="21"/>
        </w:rPr>
      </w:pPr>
      <w:r>
        <w:rPr>
          <w:rFonts w:cs="Helvetica"/>
          <w:color w:val="333333"/>
        </w:rPr>
        <w:t>What Is a Healthcare Facility?</w:t>
      </w:r>
    </w:p>
    <w:p w:rsidR="00230CCD" w:rsidRDefault="00230CCD" w:rsidP="00230CCD">
      <w:pPr>
        <w:pStyle w:val="NormalWeb"/>
        <w:rPr>
          <w:rFonts w:ascii="Helvetica" w:hAnsi="Helvetica" w:cs="Helvetica"/>
          <w:color w:val="333333"/>
          <w:sz w:val="21"/>
          <w:szCs w:val="21"/>
        </w:rPr>
      </w:pPr>
      <w:bookmarkStart w:id="0" w:name="_GoBack"/>
      <w:bookmarkEnd w:id="0"/>
      <w:r>
        <w:rPr>
          <w:rFonts w:ascii="Helvetica" w:hAnsi="Helvetica" w:cs="Helvetica"/>
          <w:color w:val="333333"/>
          <w:sz w:val="21"/>
          <w:szCs w:val="21"/>
        </w:rPr>
        <w:t>For the purpose of Legionnaires’ disease surveillance, CDC defines a healthcare facility as a hospital, long-term care facility, or clinic. Other healthcare facilities include associated sites such as pharmacies and outpatient laboratories. This healthcare definition does not include assisted living facilities, senior living facilities, prisons, or group homes.</w:t>
      </w:r>
    </w:p>
    <w:p w:rsidR="00230CCD" w:rsidRDefault="00230CCD" w:rsidP="00230CCD">
      <w:pPr>
        <w:pStyle w:val="NormalWeb"/>
        <w:rPr>
          <w:rFonts w:ascii="Helvetica" w:hAnsi="Helvetica" w:cs="Helvetica"/>
          <w:color w:val="333333"/>
          <w:sz w:val="21"/>
          <w:szCs w:val="21"/>
        </w:rPr>
      </w:pPr>
      <w:r>
        <w:rPr>
          <w:rFonts w:ascii="Helvetica" w:hAnsi="Helvetica" w:cs="Helvetica"/>
          <w:color w:val="333333"/>
          <w:sz w:val="21"/>
          <w:szCs w:val="21"/>
        </w:rPr>
        <w:t>Assisted living facilities, by definition, provide custodial care without skilled nursing (e.g., assistance with activities of daily living, like bathing and dressing). Senior living facilities provide independent living for the elderly.</w:t>
      </w:r>
    </w:p>
    <w:p w:rsidR="00230CCD" w:rsidRDefault="00230CCD" w:rsidP="00230CCD">
      <w:pPr>
        <w:pStyle w:val="NormalWeb"/>
        <w:rPr>
          <w:rFonts w:ascii="Helvetica" w:hAnsi="Helvetica" w:cs="Helvetica"/>
          <w:color w:val="333333"/>
          <w:sz w:val="21"/>
          <w:szCs w:val="21"/>
        </w:rPr>
      </w:pPr>
      <w:r>
        <w:rPr>
          <w:rFonts w:ascii="Helvetica" w:hAnsi="Helvetica" w:cs="Helvetica"/>
          <w:color w:val="333333"/>
          <w:sz w:val="21"/>
          <w:szCs w:val="21"/>
        </w:rPr>
        <w:t xml:space="preserve">CDC tracks the type of healthcare exposure (inpatient, outpatient, visitor or volunteer, employee) and the healthcare facility setting. Healthcare facility setting categories, as listed on the </w:t>
      </w:r>
      <w:hyperlink r:id="rId6" w:tgtFrame="_blank" w:history="1">
        <w:r>
          <w:rPr>
            <w:rStyle w:val="tp-label"/>
            <w:rFonts w:ascii="Helvetica" w:hAnsi="Helvetica" w:cs="Helvetica"/>
            <w:color w:val="075290"/>
            <w:sz w:val="21"/>
            <w:szCs w:val="21"/>
            <w:u w:val="single"/>
          </w:rPr>
          <w:t>CDC Legionellosis Case Report Form</w:t>
        </w:r>
        <w:r>
          <w:rPr>
            <w:rStyle w:val="tp-size"/>
            <w:rFonts w:ascii="Helvetica" w:hAnsi="Helvetica" w:cs="Helvetica"/>
            <w:color w:val="075290"/>
            <w:sz w:val="21"/>
            <w:szCs w:val="21"/>
            <w:u w:val="single"/>
          </w:rPr>
          <w:t>[2 pages]</w:t>
        </w:r>
        <w:r>
          <w:rPr>
            <w:rFonts w:ascii="Helvetica" w:hAnsi="Helvetica" w:cs="Helvetica"/>
            <w:vanish/>
            <w:color w:val="075290"/>
            <w:sz w:val="21"/>
            <w:szCs w:val="21"/>
            <w:u w:val="single"/>
          </w:rPr>
          <w:t>(https://www.cdc.gov/legionella/downloads/case-report-form.pdf)</w:t>
        </w:r>
      </w:hyperlink>
      <w:r>
        <w:rPr>
          <w:rFonts w:ascii="Helvetica" w:hAnsi="Helvetica" w:cs="Helvetica"/>
          <w:color w:val="333333"/>
          <w:sz w:val="21"/>
          <w:szCs w:val="21"/>
        </w:rPr>
        <w:t>, and examples of types of facilities that fall within them include:</w:t>
      </w:r>
    </w:p>
    <w:tbl>
      <w:tblPr>
        <w:tblW w:w="5000" w:type="pct"/>
        <w:tblCellMar>
          <w:top w:w="15" w:type="dxa"/>
          <w:left w:w="15" w:type="dxa"/>
          <w:bottom w:w="15" w:type="dxa"/>
          <w:right w:w="15" w:type="dxa"/>
        </w:tblCellMar>
        <w:tblLook w:val="04A0" w:firstRow="1" w:lastRow="0" w:firstColumn="1" w:lastColumn="0" w:noHBand="0" w:noVBand="1"/>
      </w:tblPr>
      <w:tblGrid>
        <w:gridCol w:w="3115"/>
        <w:gridCol w:w="3147"/>
        <w:gridCol w:w="3098"/>
      </w:tblGrid>
      <w:tr w:rsidR="00230CCD" w:rsidRPr="00230CCD" w:rsidTr="00230CCD">
        <w:trPr>
          <w:tblHeader/>
        </w:trPr>
        <w:tc>
          <w:tcPr>
            <w:tcW w:w="0" w:type="auto"/>
            <w:shd w:val="clear" w:color="auto" w:fill="auto"/>
            <w:vAlign w:val="center"/>
            <w:hideMark/>
          </w:tcPr>
          <w:p w:rsidR="00230CCD" w:rsidRPr="00230CCD" w:rsidRDefault="00230CCD" w:rsidP="00230CCD">
            <w:pPr>
              <w:spacing w:after="300" w:line="375" w:lineRule="atLeast"/>
              <w:jc w:val="center"/>
              <w:rPr>
                <w:rFonts w:ascii="Helvetica" w:eastAsia="Times New Roman" w:hAnsi="Helvetica" w:cs="Helvetica"/>
                <w:b/>
                <w:bCs/>
                <w:color w:val="333333"/>
                <w:sz w:val="21"/>
                <w:szCs w:val="21"/>
              </w:rPr>
            </w:pPr>
            <w:r w:rsidRPr="00230CCD">
              <w:rPr>
                <w:rFonts w:ascii="Helvetica" w:eastAsia="Times New Roman" w:hAnsi="Helvetica" w:cs="Helvetica"/>
                <w:b/>
                <w:bCs/>
                <w:color w:val="333333"/>
                <w:sz w:val="21"/>
                <w:szCs w:val="21"/>
              </w:rPr>
              <w:t>Hospitals</w:t>
            </w:r>
          </w:p>
        </w:tc>
        <w:tc>
          <w:tcPr>
            <w:tcW w:w="0" w:type="auto"/>
            <w:shd w:val="clear" w:color="auto" w:fill="auto"/>
            <w:vAlign w:val="center"/>
            <w:hideMark/>
          </w:tcPr>
          <w:p w:rsidR="00230CCD" w:rsidRPr="00230CCD" w:rsidRDefault="00230CCD" w:rsidP="00230CCD">
            <w:pPr>
              <w:spacing w:after="300" w:line="375" w:lineRule="atLeast"/>
              <w:jc w:val="center"/>
              <w:rPr>
                <w:rFonts w:ascii="Helvetica" w:eastAsia="Times New Roman" w:hAnsi="Helvetica" w:cs="Helvetica"/>
                <w:b/>
                <w:bCs/>
                <w:color w:val="333333"/>
                <w:sz w:val="21"/>
                <w:szCs w:val="21"/>
              </w:rPr>
            </w:pPr>
            <w:r w:rsidRPr="00230CCD">
              <w:rPr>
                <w:rFonts w:ascii="Helvetica" w:eastAsia="Times New Roman" w:hAnsi="Helvetica" w:cs="Helvetica"/>
                <w:b/>
                <w:bCs/>
                <w:color w:val="333333"/>
                <w:sz w:val="21"/>
                <w:szCs w:val="21"/>
              </w:rPr>
              <w:t>Long-term care facilities</w:t>
            </w:r>
          </w:p>
        </w:tc>
        <w:tc>
          <w:tcPr>
            <w:tcW w:w="0" w:type="auto"/>
            <w:shd w:val="clear" w:color="auto" w:fill="auto"/>
            <w:vAlign w:val="center"/>
            <w:hideMark/>
          </w:tcPr>
          <w:p w:rsidR="00230CCD" w:rsidRPr="00230CCD" w:rsidRDefault="00230CCD" w:rsidP="00230CCD">
            <w:pPr>
              <w:spacing w:after="300" w:line="375" w:lineRule="atLeast"/>
              <w:jc w:val="center"/>
              <w:rPr>
                <w:rFonts w:ascii="Helvetica" w:eastAsia="Times New Roman" w:hAnsi="Helvetica" w:cs="Helvetica"/>
                <w:b/>
                <w:bCs/>
                <w:color w:val="333333"/>
                <w:sz w:val="21"/>
                <w:szCs w:val="21"/>
              </w:rPr>
            </w:pPr>
            <w:r w:rsidRPr="00230CCD">
              <w:rPr>
                <w:rFonts w:ascii="Helvetica" w:eastAsia="Times New Roman" w:hAnsi="Helvetica" w:cs="Helvetica"/>
                <w:b/>
                <w:bCs/>
                <w:color w:val="333333"/>
                <w:sz w:val="21"/>
                <w:szCs w:val="21"/>
              </w:rPr>
              <w:t>Clinics</w:t>
            </w:r>
            <w:hyperlink r:id="rId7" w:anchor="t3f1" w:history="1">
              <w:r w:rsidRPr="00230CCD">
                <w:rPr>
                  <w:rFonts w:ascii="Helvetica" w:eastAsia="Times New Roman" w:hAnsi="Helvetica" w:cs="Helvetica"/>
                  <w:b/>
                  <w:bCs/>
                  <w:color w:val="075290"/>
                  <w:sz w:val="16"/>
                  <w:szCs w:val="16"/>
                  <w:u w:val="single"/>
                  <w:vertAlign w:val="superscript"/>
                </w:rPr>
                <w:t>1</w:t>
              </w:r>
            </w:hyperlink>
            <w:r w:rsidRPr="00230CCD">
              <w:rPr>
                <w:rFonts w:ascii="Helvetica" w:eastAsia="Times New Roman" w:hAnsi="Helvetica" w:cs="Helvetica"/>
                <w:b/>
                <w:bCs/>
                <w:color w:val="333333"/>
                <w:sz w:val="21"/>
                <w:szCs w:val="21"/>
              </w:rPr>
              <w:t xml:space="preserve"> </w:t>
            </w:r>
          </w:p>
        </w:tc>
      </w:tr>
      <w:tr w:rsidR="00230CCD" w:rsidRPr="00230CCD" w:rsidTr="00230CCD">
        <w:tc>
          <w:tcPr>
            <w:tcW w:w="0" w:type="auto"/>
            <w:shd w:val="clear" w:color="auto" w:fill="auto"/>
            <w:vAlign w:val="center"/>
            <w:hideMark/>
          </w:tcPr>
          <w:p w:rsidR="00230CCD" w:rsidRPr="00230CCD" w:rsidRDefault="00230CCD" w:rsidP="00230CCD">
            <w:pPr>
              <w:numPr>
                <w:ilvl w:val="0"/>
                <w:numId w:val="2"/>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Acute care hospitals (general or specialty)</w:t>
            </w:r>
          </w:p>
          <w:p w:rsidR="00230CCD" w:rsidRPr="00230CCD" w:rsidRDefault="00230CCD" w:rsidP="00230CCD">
            <w:pPr>
              <w:numPr>
                <w:ilvl w:val="0"/>
                <w:numId w:val="2"/>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Long-term acute care hospitals</w:t>
            </w:r>
          </w:p>
          <w:p w:rsidR="00230CCD" w:rsidRPr="00230CCD" w:rsidRDefault="00230CCD" w:rsidP="00230CCD">
            <w:pPr>
              <w:numPr>
                <w:ilvl w:val="0"/>
                <w:numId w:val="2"/>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Critical access hospitals</w:t>
            </w:r>
          </w:p>
          <w:p w:rsidR="00230CCD" w:rsidRPr="00230CCD" w:rsidRDefault="00230CCD" w:rsidP="00230CCD">
            <w:pPr>
              <w:numPr>
                <w:ilvl w:val="0"/>
                <w:numId w:val="2"/>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Children’s hospitals</w:t>
            </w:r>
          </w:p>
          <w:p w:rsidR="00230CCD" w:rsidRPr="00230CCD" w:rsidRDefault="00230CCD" w:rsidP="00230CCD">
            <w:pPr>
              <w:numPr>
                <w:ilvl w:val="0"/>
                <w:numId w:val="2"/>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Psychiatric hospitals</w:t>
            </w:r>
          </w:p>
        </w:tc>
        <w:tc>
          <w:tcPr>
            <w:tcW w:w="0" w:type="auto"/>
            <w:shd w:val="clear" w:color="auto" w:fill="auto"/>
            <w:vAlign w:val="center"/>
            <w:hideMark/>
          </w:tcPr>
          <w:p w:rsidR="00230CCD" w:rsidRPr="00230CCD" w:rsidRDefault="00230CCD" w:rsidP="00230CCD">
            <w:pPr>
              <w:numPr>
                <w:ilvl w:val="0"/>
                <w:numId w:val="3"/>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Skilled nursing facilities</w:t>
            </w:r>
          </w:p>
          <w:p w:rsidR="00230CCD" w:rsidRPr="00230CCD" w:rsidRDefault="00230CCD" w:rsidP="00230CCD">
            <w:pPr>
              <w:numPr>
                <w:ilvl w:val="0"/>
                <w:numId w:val="3"/>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Nursing homes</w:t>
            </w:r>
          </w:p>
          <w:p w:rsidR="00230CCD" w:rsidRPr="00230CCD" w:rsidRDefault="00230CCD" w:rsidP="00230CCD">
            <w:pPr>
              <w:numPr>
                <w:ilvl w:val="0"/>
                <w:numId w:val="3"/>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Inpatient hospice</w:t>
            </w:r>
          </w:p>
          <w:p w:rsidR="00230CCD" w:rsidRPr="00230CCD" w:rsidRDefault="00230CCD" w:rsidP="00230CCD">
            <w:pPr>
              <w:numPr>
                <w:ilvl w:val="0"/>
                <w:numId w:val="3"/>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Rehabilitation hospitals</w:t>
            </w:r>
          </w:p>
          <w:p w:rsidR="00230CCD" w:rsidRPr="00230CCD" w:rsidRDefault="00230CCD" w:rsidP="00230CCD">
            <w:pPr>
              <w:numPr>
                <w:ilvl w:val="0"/>
                <w:numId w:val="3"/>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Psychiatric residential treatment facilities</w:t>
            </w:r>
          </w:p>
        </w:tc>
        <w:tc>
          <w:tcPr>
            <w:tcW w:w="0" w:type="auto"/>
            <w:shd w:val="clear" w:color="auto" w:fill="auto"/>
            <w:vAlign w:val="center"/>
            <w:hideMark/>
          </w:tcPr>
          <w:p w:rsidR="00230CCD" w:rsidRPr="00230CCD" w:rsidRDefault="00230CCD" w:rsidP="00230CCD">
            <w:pPr>
              <w:numPr>
                <w:ilvl w:val="0"/>
                <w:numId w:val="4"/>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Outpatient clinics</w:t>
            </w:r>
            <w:hyperlink r:id="rId8" w:anchor="t3f2" w:history="1">
              <w:r w:rsidRPr="00230CCD">
                <w:rPr>
                  <w:rFonts w:ascii="Helvetica" w:eastAsia="Times New Roman" w:hAnsi="Helvetica" w:cs="Helvetica"/>
                  <w:color w:val="075290"/>
                  <w:sz w:val="16"/>
                  <w:szCs w:val="16"/>
                  <w:u w:val="single"/>
                  <w:vertAlign w:val="superscript"/>
                </w:rPr>
                <w:t>2</w:t>
              </w:r>
            </w:hyperlink>
            <w:r w:rsidRPr="00230CCD">
              <w:rPr>
                <w:rFonts w:ascii="Helvetica" w:eastAsia="Times New Roman" w:hAnsi="Helvetica" w:cs="Helvetica"/>
                <w:color w:val="333333"/>
                <w:sz w:val="21"/>
                <w:szCs w:val="21"/>
              </w:rPr>
              <w:t>: general and specialty</w:t>
            </w:r>
          </w:p>
          <w:p w:rsidR="00230CCD" w:rsidRPr="00230CCD" w:rsidRDefault="00230CCD" w:rsidP="00230CCD">
            <w:pPr>
              <w:numPr>
                <w:ilvl w:val="0"/>
                <w:numId w:val="4"/>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Ambulatory (same day) surgery centers</w:t>
            </w:r>
            <w:hyperlink r:id="rId9" w:anchor="t3f2" w:history="1">
              <w:r w:rsidRPr="00230CCD">
                <w:rPr>
                  <w:rFonts w:ascii="Helvetica" w:eastAsia="Times New Roman" w:hAnsi="Helvetica" w:cs="Helvetica"/>
                  <w:color w:val="075290"/>
                  <w:sz w:val="16"/>
                  <w:szCs w:val="16"/>
                  <w:u w:val="single"/>
                  <w:vertAlign w:val="superscript"/>
                </w:rPr>
                <w:t>2</w:t>
              </w:r>
            </w:hyperlink>
            <w:r w:rsidRPr="00230CCD">
              <w:rPr>
                <w:rFonts w:ascii="Helvetica" w:eastAsia="Times New Roman" w:hAnsi="Helvetica" w:cs="Helvetica"/>
                <w:color w:val="333333"/>
                <w:sz w:val="21"/>
                <w:szCs w:val="21"/>
              </w:rPr>
              <w:t xml:space="preserve"> </w:t>
            </w:r>
          </w:p>
          <w:p w:rsidR="00230CCD" w:rsidRPr="00230CCD" w:rsidRDefault="00230CCD" w:rsidP="00230CCD">
            <w:pPr>
              <w:numPr>
                <w:ilvl w:val="0"/>
                <w:numId w:val="4"/>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Outpatient rehabilitation clinics</w:t>
            </w:r>
          </w:p>
          <w:p w:rsidR="00230CCD" w:rsidRPr="00230CCD" w:rsidRDefault="00230CCD" w:rsidP="00230CCD">
            <w:pPr>
              <w:numPr>
                <w:ilvl w:val="0"/>
                <w:numId w:val="4"/>
              </w:numPr>
              <w:spacing w:before="100" w:beforeAutospacing="1" w:after="100" w:afterAutospacing="1" w:line="375" w:lineRule="atLeast"/>
              <w:ind w:left="375"/>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Dialysis centers</w:t>
            </w:r>
          </w:p>
        </w:tc>
      </w:tr>
    </w:tbl>
    <w:p w:rsidR="00230CCD" w:rsidRPr="00230CCD" w:rsidRDefault="00230CCD" w:rsidP="00230CCD">
      <w:pPr>
        <w:spacing w:after="150" w:line="375" w:lineRule="atLeast"/>
        <w:rPr>
          <w:rFonts w:ascii="Helvetica" w:eastAsia="Times New Roman" w:hAnsi="Helvetica" w:cs="Helvetica"/>
          <w:color w:val="333333"/>
          <w:sz w:val="18"/>
          <w:szCs w:val="18"/>
        </w:rPr>
      </w:pPr>
      <w:r w:rsidRPr="00230CCD">
        <w:rPr>
          <w:rFonts w:ascii="Helvetica" w:eastAsia="Times New Roman" w:hAnsi="Helvetica" w:cs="Helvetica"/>
          <w:color w:val="333333"/>
          <w:sz w:val="14"/>
          <w:szCs w:val="14"/>
          <w:vertAlign w:val="superscript"/>
        </w:rPr>
        <w:t>1</w:t>
      </w:r>
      <w:r w:rsidRPr="00230CCD">
        <w:rPr>
          <w:rFonts w:ascii="Helvetica" w:eastAsia="Times New Roman" w:hAnsi="Helvetica" w:cs="Helvetica"/>
          <w:color w:val="333333"/>
          <w:sz w:val="18"/>
          <w:szCs w:val="18"/>
        </w:rPr>
        <w:t xml:space="preserve"> Examples of specialty clinics include outpatient cancer treatment centers, outpatient infusion centers, dental offices, or subspecialist offices that provide clinical care not affiliated with a hospital. Other healthcare facilities not listed here include associated sites such as pharmacies and outpatient laboratories.</w:t>
      </w:r>
      <w:r w:rsidRPr="00230CCD">
        <w:rPr>
          <w:rFonts w:ascii="Helvetica" w:eastAsia="Times New Roman" w:hAnsi="Helvetica" w:cs="Helvetica"/>
          <w:color w:val="333333"/>
          <w:sz w:val="18"/>
          <w:szCs w:val="18"/>
        </w:rPr>
        <w:br/>
      </w:r>
      <w:r w:rsidRPr="00230CCD">
        <w:rPr>
          <w:rFonts w:ascii="Helvetica" w:eastAsia="Times New Roman" w:hAnsi="Helvetica" w:cs="Helvetica"/>
          <w:color w:val="333333"/>
          <w:sz w:val="14"/>
          <w:szCs w:val="14"/>
          <w:vertAlign w:val="superscript"/>
        </w:rPr>
        <w:t>2</w:t>
      </w:r>
      <w:r w:rsidRPr="00230CCD">
        <w:rPr>
          <w:rFonts w:ascii="Helvetica" w:eastAsia="Times New Roman" w:hAnsi="Helvetica" w:cs="Helvetica"/>
          <w:color w:val="333333"/>
          <w:sz w:val="18"/>
          <w:szCs w:val="18"/>
        </w:rPr>
        <w:t xml:space="preserve"> If a clinic visit or same-day surgery occurs within a hospital, the setting for that exposure is hospital, not clinic.</w:t>
      </w:r>
    </w:p>
    <w:p w:rsidR="00230CCD" w:rsidRPr="00230CCD" w:rsidRDefault="00230CCD" w:rsidP="00230CCD">
      <w:pPr>
        <w:spacing w:after="150" w:line="480" w:lineRule="atLeast"/>
        <w:outlineLvl w:val="1"/>
        <w:rPr>
          <w:rFonts w:ascii="inherit" w:eastAsia="Times New Roman" w:hAnsi="inherit" w:cs="Helvetica"/>
          <w:b/>
          <w:bCs/>
          <w:color w:val="333333"/>
          <w:sz w:val="33"/>
          <w:szCs w:val="33"/>
        </w:rPr>
      </w:pPr>
      <w:r w:rsidRPr="00230CCD">
        <w:rPr>
          <w:rFonts w:ascii="inherit" w:eastAsia="Times New Roman" w:hAnsi="inherit" w:cs="Helvetica"/>
          <w:b/>
          <w:bCs/>
          <w:color w:val="333333"/>
          <w:sz w:val="33"/>
          <w:szCs w:val="33"/>
        </w:rPr>
        <w:lastRenderedPageBreak/>
        <w:t xml:space="preserve">Defining Healthcare-associated </w:t>
      </w:r>
      <w:proofErr w:type="gramStart"/>
      <w:r w:rsidRPr="00230CCD">
        <w:rPr>
          <w:rFonts w:ascii="inherit" w:eastAsia="Times New Roman" w:hAnsi="inherit" w:cs="Helvetica"/>
          <w:b/>
          <w:bCs/>
          <w:color w:val="333333"/>
          <w:sz w:val="33"/>
          <w:szCs w:val="33"/>
        </w:rPr>
        <w:t>Legionnaires’ Disease</w:t>
      </w:r>
      <w:proofErr w:type="gramEnd"/>
    </w:p>
    <w:p w:rsidR="00230CCD" w:rsidRPr="00230CCD" w:rsidRDefault="00230CCD" w:rsidP="00230CCD">
      <w:pPr>
        <w:spacing w:before="150" w:after="150" w:line="450" w:lineRule="atLeast"/>
        <w:outlineLvl w:val="3"/>
        <w:rPr>
          <w:rFonts w:ascii="inherit" w:eastAsia="Times New Roman" w:hAnsi="inherit" w:cs="Helvetica"/>
          <w:b/>
          <w:bCs/>
          <w:color w:val="333333"/>
          <w:sz w:val="30"/>
          <w:szCs w:val="30"/>
        </w:rPr>
      </w:pPr>
      <w:r w:rsidRPr="00230CCD">
        <w:rPr>
          <w:rFonts w:ascii="inherit" w:eastAsia="Times New Roman" w:hAnsi="inherit" w:cs="Helvetica"/>
          <w:b/>
          <w:bCs/>
          <w:color w:val="333333"/>
          <w:sz w:val="30"/>
          <w:szCs w:val="30"/>
        </w:rPr>
        <w:t>Case Classification</w:t>
      </w:r>
    </w:p>
    <w:p w:rsidR="00230CCD" w:rsidRPr="00230CCD" w:rsidRDefault="00230CCD" w:rsidP="00230CCD">
      <w:pPr>
        <w:spacing w:after="150" w:line="375" w:lineRule="atLeast"/>
        <w:rPr>
          <w:rFonts w:ascii="Helvetica" w:eastAsia="Times New Roman" w:hAnsi="Helvetica" w:cs="Helvetica"/>
          <w:color w:val="333333"/>
          <w:sz w:val="21"/>
          <w:szCs w:val="21"/>
        </w:rPr>
      </w:pPr>
      <w:r w:rsidRPr="00230CCD">
        <w:rPr>
          <w:rFonts w:ascii="Lato" w:eastAsia="Times New Roman" w:hAnsi="Lato" w:cs="Helvetica"/>
          <w:b/>
          <w:bCs/>
          <w:color w:val="333333"/>
          <w:sz w:val="21"/>
          <w:szCs w:val="21"/>
        </w:rPr>
        <w:t>Additional Considerations</w:t>
      </w:r>
    </w:p>
    <w:p w:rsidR="00230CCD" w:rsidRPr="00230CCD" w:rsidRDefault="00230CCD" w:rsidP="00230CCD">
      <w:pPr>
        <w:spacing w:after="150" w:line="375" w:lineRule="atLeast"/>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Public health officials should consider a patient who spent the entire 10 days before date of symptom onset in multiple healthcare facilities (e.g., a patient who is discharged directly from an acute care hospital to a long-term care facility) as a definite healthcare-associated case for surveillance purposes. The distinction between the facilities would be important for investigation purposes.</w:t>
      </w:r>
    </w:p>
    <w:p w:rsidR="00230CCD" w:rsidRPr="00230CCD" w:rsidRDefault="00230CCD" w:rsidP="00230CCD">
      <w:pPr>
        <w:spacing w:after="150" w:line="375" w:lineRule="atLeast"/>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 xml:space="preserve">Patients who </w:t>
      </w:r>
      <w:hyperlink r:id="rId10" w:history="1">
        <w:r w:rsidRPr="00230CCD">
          <w:rPr>
            <w:rFonts w:ascii="Helvetica" w:eastAsia="Times New Roman" w:hAnsi="Helvetica" w:cs="Helvetica"/>
            <w:color w:val="075290"/>
            <w:sz w:val="21"/>
            <w:szCs w:val="21"/>
            <w:u w:val="single"/>
          </w:rPr>
          <w:t>meet clinical and laboratory criteria</w:t>
        </w:r>
        <w:r w:rsidRPr="00230CCD">
          <w:rPr>
            <w:rFonts w:ascii="Helvetica" w:eastAsia="Times New Roman" w:hAnsi="Helvetica" w:cs="Helvetica"/>
            <w:vanish/>
            <w:color w:val="075290"/>
            <w:sz w:val="21"/>
            <w:szCs w:val="21"/>
            <w:u w:val="single"/>
          </w:rPr>
          <w:t>(https://www.cdc.gov/legionella/health-depts/surv-reporting/case-definitions.html)</w:t>
        </w:r>
      </w:hyperlink>
      <w:r w:rsidRPr="00230CCD">
        <w:rPr>
          <w:rFonts w:ascii="Helvetica" w:eastAsia="Times New Roman" w:hAnsi="Helvetica" w:cs="Helvetica"/>
          <w:color w:val="333333"/>
          <w:sz w:val="21"/>
          <w:szCs w:val="21"/>
        </w:rPr>
        <w:t xml:space="preserve"> for confirmed Legionnaires’ disease are further classified based on the duration of healthcare exposure:</w:t>
      </w:r>
    </w:p>
    <w:p w:rsidR="00230CCD" w:rsidRPr="00230CCD" w:rsidRDefault="00230CCD" w:rsidP="00230CCD">
      <w:pPr>
        <w:numPr>
          <w:ilvl w:val="0"/>
          <w:numId w:val="1"/>
        </w:numPr>
        <w:spacing w:before="100" w:beforeAutospacing="1" w:after="100" w:afterAutospacing="1" w:line="375" w:lineRule="atLeast"/>
        <w:ind w:left="225"/>
        <w:rPr>
          <w:rFonts w:ascii="Helvetica" w:eastAsia="Times New Roman" w:hAnsi="Helvetica" w:cs="Helvetica"/>
          <w:color w:val="333333"/>
          <w:sz w:val="21"/>
          <w:szCs w:val="21"/>
        </w:rPr>
      </w:pPr>
      <w:r w:rsidRPr="00230CCD">
        <w:rPr>
          <w:rFonts w:ascii="Lato" w:eastAsia="Times New Roman" w:hAnsi="Lato" w:cs="Helvetica"/>
          <w:b/>
          <w:bCs/>
          <w:color w:val="333333"/>
          <w:sz w:val="21"/>
          <w:szCs w:val="21"/>
        </w:rPr>
        <w:t>Definite healthcare-associated:</w:t>
      </w:r>
      <w:r w:rsidRPr="00230CCD">
        <w:rPr>
          <w:rFonts w:ascii="Helvetica" w:eastAsia="Times New Roman" w:hAnsi="Helvetica" w:cs="Helvetica"/>
          <w:color w:val="333333"/>
          <w:sz w:val="21"/>
          <w:szCs w:val="21"/>
        </w:rPr>
        <w:t xml:space="preserve"> the patient spent the entire 10 days before date of symptom onset in a healthcare facility</w:t>
      </w:r>
    </w:p>
    <w:p w:rsidR="00230CCD" w:rsidRPr="00230CCD" w:rsidRDefault="00230CCD" w:rsidP="00230CCD">
      <w:pPr>
        <w:numPr>
          <w:ilvl w:val="0"/>
          <w:numId w:val="1"/>
        </w:numPr>
        <w:spacing w:before="100" w:beforeAutospacing="1" w:after="100" w:afterAutospacing="1" w:line="375" w:lineRule="atLeast"/>
        <w:ind w:left="225"/>
        <w:rPr>
          <w:rFonts w:ascii="Helvetica" w:eastAsia="Times New Roman" w:hAnsi="Helvetica" w:cs="Helvetica"/>
          <w:color w:val="333333"/>
          <w:sz w:val="21"/>
          <w:szCs w:val="21"/>
        </w:rPr>
      </w:pPr>
      <w:r w:rsidRPr="00230CCD">
        <w:rPr>
          <w:rFonts w:ascii="Lato" w:eastAsia="Times New Roman" w:hAnsi="Lato" w:cs="Helvetica"/>
          <w:b/>
          <w:bCs/>
          <w:color w:val="333333"/>
          <w:sz w:val="21"/>
          <w:szCs w:val="21"/>
        </w:rPr>
        <w:t>Possible healthcare-associated:</w:t>
      </w:r>
      <w:r w:rsidRPr="00230CCD">
        <w:rPr>
          <w:rFonts w:ascii="Helvetica" w:eastAsia="Times New Roman" w:hAnsi="Helvetica" w:cs="Helvetica"/>
          <w:color w:val="333333"/>
          <w:sz w:val="21"/>
          <w:szCs w:val="21"/>
        </w:rPr>
        <w:t xml:space="preserve"> the patient spent a portion of the 10 days before date of symptom onset in a healthcare facility</w:t>
      </w:r>
    </w:p>
    <w:p w:rsidR="00230CCD" w:rsidRPr="00230CCD" w:rsidRDefault="00230CCD" w:rsidP="00230CCD">
      <w:pPr>
        <w:spacing w:before="150" w:after="150" w:line="450" w:lineRule="atLeast"/>
        <w:outlineLvl w:val="3"/>
        <w:rPr>
          <w:rFonts w:ascii="inherit" w:eastAsia="Times New Roman" w:hAnsi="inherit" w:cs="Helvetica"/>
          <w:b/>
          <w:bCs/>
          <w:color w:val="333333"/>
          <w:sz w:val="30"/>
          <w:szCs w:val="30"/>
        </w:rPr>
      </w:pPr>
      <w:r w:rsidRPr="00230CCD">
        <w:rPr>
          <w:rFonts w:ascii="inherit" w:eastAsia="Times New Roman" w:hAnsi="inherit" w:cs="Helvetica"/>
          <w:b/>
          <w:bCs/>
          <w:color w:val="333333"/>
          <w:sz w:val="30"/>
          <w:szCs w:val="30"/>
        </w:rPr>
        <w:t>Outpatient Exposure</w:t>
      </w:r>
    </w:p>
    <w:p w:rsidR="00230CCD" w:rsidRPr="00230CCD" w:rsidRDefault="00230CCD" w:rsidP="00230CCD">
      <w:pPr>
        <w:spacing w:after="150" w:line="375" w:lineRule="atLeast"/>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Public health officials should consider patients with outpatient-only exposures as possible healthcare-associated cases. These patients could have acquired the infection at a healthcare facility, but they also had other possible sources of exposure during the 10 days before date of symptom onset.</w:t>
      </w:r>
    </w:p>
    <w:p w:rsidR="00230CCD" w:rsidRPr="00230CCD" w:rsidRDefault="00230CCD" w:rsidP="00230CCD">
      <w:pPr>
        <w:spacing w:before="150" w:after="150" w:line="450" w:lineRule="atLeast"/>
        <w:outlineLvl w:val="3"/>
        <w:rPr>
          <w:rFonts w:ascii="inherit" w:eastAsia="Times New Roman" w:hAnsi="inherit" w:cs="Helvetica"/>
          <w:b/>
          <w:bCs/>
          <w:color w:val="333333"/>
          <w:sz w:val="30"/>
          <w:szCs w:val="30"/>
        </w:rPr>
      </w:pPr>
      <w:r w:rsidRPr="00230CCD">
        <w:rPr>
          <w:rFonts w:ascii="inherit" w:eastAsia="Times New Roman" w:hAnsi="inherit" w:cs="Helvetica"/>
          <w:b/>
          <w:bCs/>
          <w:color w:val="333333"/>
          <w:sz w:val="30"/>
          <w:szCs w:val="30"/>
        </w:rPr>
        <w:t>Visitor and Employee Exposure</w:t>
      </w:r>
    </w:p>
    <w:p w:rsidR="00230CCD" w:rsidRPr="00230CCD" w:rsidRDefault="00230CCD" w:rsidP="00230CCD">
      <w:pPr>
        <w:spacing w:after="150" w:line="375" w:lineRule="atLeast"/>
        <w:rPr>
          <w:rFonts w:ascii="Helvetica" w:eastAsia="Times New Roman" w:hAnsi="Helvetica" w:cs="Helvetica"/>
          <w:color w:val="333333"/>
          <w:sz w:val="21"/>
          <w:szCs w:val="21"/>
        </w:rPr>
      </w:pPr>
      <w:r w:rsidRPr="00230CCD">
        <w:rPr>
          <w:rFonts w:ascii="Helvetica" w:eastAsia="Times New Roman" w:hAnsi="Helvetica" w:cs="Helvetica"/>
          <w:color w:val="333333"/>
          <w:sz w:val="21"/>
          <w:szCs w:val="21"/>
        </w:rPr>
        <w:t>Public health officials should consider visitors to and employees at healthcare facilities during the 10 days before date of symptom onset as possible healthcare-associated cases.</w:t>
      </w:r>
    </w:p>
    <w:p w:rsidR="00230CCD" w:rsidRDefault="00230CCD" w:rsidP="00230CCD">
      <w:pPr>
        <w:pStyle w:val="NormalWeb"/>
        <w:rPr>
          <w:rFonts w:ascii="Helvetica" w:hAnsi="Helvetica" w:cs="Helvetica"/>
          <w:color w:val="333333"/>
          <w:sz w:val="21"/>
          <w:szCs w:val="21"/>
        </w:rPr>
      </w:pPr>
      <w:r>
        <w:rPr>
          <w:rStyle w:val="Strong"/>
          <w:rFonts w:cs="Helvetica"/>
          <w:color w:val="333333"/>
          <w:sz w:val="21"/>
          <w:szCs w:val="21"/>
        </w:rPr>
        <w:t>A note about assisted living and senior living facilities</w:t>
      </w:r>
    </w:p>
    <w:p w:rsidR="00230CCD" w:rsidRDefault="00230CCD" w:rsidP="00230CCD">
      <w:pPr>
        <w:pStyle w:val="NormalWeb"/>
        <w:rPr>
          <w:rFonts w:ascii="Helvetica" w:hAnsi="Helvetica" w:cs="Helvetica"/>
          <w:color w:val="333333"/>
          <w:sz w:val="21"/>
          <w:szCs w:val="21"/>
        </w:rPr>
      </w:pPr>
      <w:r>
        <w:rPr>
          <w:rFonts w:ascii="Helvetica" w:hAnsi="Helvetica" w:cs="Helvetica"/>
          <w:color w:val="333333"/>
          <w:sz w:val="21"/>
          <w:szCs w:val="21"/>
        </w:rPr>
        <w:t xml:space="preserve">Although CDC does not consider assisted living facilities, senior living facilities, prisons, and group homes to be healthcare facilities for Legionnaires’ disease surveillance purposes, they often house at-risk populations and can have large, complex building water and plumbing systems. Because residents may have limited or no exposures outside these facilities, it is important to consider these </w:t>
      </w:r>
      <w:r>
        <w:rPr>
          <w:rFonts w:ascii="Helvetica" w:hAnsi="Helvetica" w:cs="Helvetica"/>
          <w:color w:val="333333"/>
          <w:sz w:val="21"/>
          <w:szCs w:val="21"/>
        </w:rPr>
        <w:lastRenderedPageBreak/>
        <w:t>facilities as likely sources in outbreak investigations. These facilities should all have effective water management programs.</w:t>
      </w:r>
    </w:p>
    <w:p w:rsidR="00230CCD" w:rsidRDefault="00230CCD"/>
    <w:sectPr w:rsidR="00230C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Lato">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F60735"/>
    <w:multiLevelType w:val="multilevel"/>
    <w:tmpl w:val="6558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2E3301"/>
    <w:multiLevelType w:val="multilevel"/>
    <w:tmpl w:val="D9E0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4D4828"/>
    <w:multiLevelType w:val="multilevel"/>
    <w:tmpl w:val="B520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246573"/>
    <w:multiLevelType w:val="multilevel"/>
    <w:tmpl w:val="76D6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CCD"/>
    <w:rsid w:val="00230CCD"/>
    <w:rsid w:val="003D52D2"/>
    <w:rsid w:val="00B22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30CEE8-2DF9-4BC5-85F0-D58203177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30CCD"/>
    <w:pPr>
      <w:spacing w:before="150" w:after="150" w:line="480" w:lineRule="atLeast"/>
      <w:outlineLvl w:val="1"/>
    </w:pPr>
    <w:rPr>
      <w:rFonts w:ascii="inherit" w:eastAsia="Times New Roman" w:hAnsi="inherit" w:cs="Times New Roman"/>
      <w:b/>
      <w:bCs/>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0CCD"/>
    <w:rPr>
      <w:color w:val="0563C1" w:themeColor="hyperlink"/>
      <w:u w:val="single"/>
    </w:rPr>
  </w:style>
  <w:style w:type="character" w:customStyle="1" w:styleId="Heading2Char">
    <w:name w:val="Heading 2 Char"/>
    <w:basedOn w:val="DefaultParagraphFont"/>
    <w:link w:val="Heading2"/>
    <w:uiPriority w:val="9"/>
    <w:rsid w:val="00230CCD"/>
    <w:rPr>
      <w:rFonts w:ascii="inherit" w:eastAsia="Times New Roman" w:hAnsi="inherit" w:cs="Times New Roman"/>
      <w:b/>
      <w:bCs/>
      <w:sz w:val="33"/>
      <w:szCs w:val="33"/>
    </w:rPr>
  </w:style>
  <w:style w:type="character" w:styleId="Strong">
    <w:name w:val="Strong"/>
    <w:basedOn w:val="DefaultParagraphFont"/>
    <w:uiPriority w:val="22"/>
    <w:qFormat/>
    <w:rsid w:val="00230CCD"/>
    <w:rPr>
      <w:rFonts w:ascii="Lato" w:hAnsi="Lato" w:hint="default"/>
      <w:b/>
      <w:bCs/>
    </w:rPr>
  </w:style>
  <w:style w:type="paragraph" w:styleId="NormalWeb">
    <w:name w:val="Normal (Web)"/>
    <w:basedOn w:val="Normal"/>
    <w:uiPriority w:val="99"/>
    <w:semiHidden/>
    <w:unhideWhenUsed/>
    <w:rsid w:val="00230CCD"/>
    <w:pPr>
      <w:spacing w:after="150" w:line="375" w:lineRule="atLeast"/>
    </w:pPr>
    <w:rPr>
      <w:rFonts w:ascii="Times New Roman" w:eastAsia="Times New Roman" w:hAnsi="Times New Roman" w:cs="Times New Roman"/>
      <w:sz w:val="24"/>
      <w:szCs w:val="24"/>
    </w:rPr>
  </w:style>
  <w:style w:type="character" w:customStyle="1" w:styleId="tp-label">
    <w:name w:val="tp-label"/>
    <w:basedOn w:val="DefaultParagraphFont"/>
    <w:rsid w:val="00230CCD"/>
  </w:style>
  <w:style w:type="character" w:customStyle="1" w:styleId="tp-size">
    <w:name w:val="tp-size"/>
    <w:basedOn w:val="DefaultParagraphFont"/>
    <w:rsid w:val="00230CCD"/>
  </w:style>
  <w:style w:type="paragraph" w:customStyle="1" w:styleId="smallfontsize">
    <w:name w:val="smallfontsize"/>
    <w:basedOn w:val="Normal"/>
    <w:rsid w:val="00230CCD"/>
    <w:pPr>
      <w:spacing w:after="150" w:line="375" w:lineRule="atLeast"/>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414338">
      <w:bodyDiv w:val="1"/>
      <w:marLeft w:val="0"/>
      <w:marRight w:val="0"/>
      <w:marTop w:val="0"/>
      <w:marBottom w:val="0"/>
      <w:divBdr>
        <w:top w:val="none" w:sz="0" w:space="0" w:color="auto"/>
        <w:left w:val="none" w:sz="0" w:space="0" w:color="auto"/>
        <w:bottom w:val="none" w:sz="0" w:space="0" w:color="auto"/>
        <w:right w:val="none" w:sz="0" w:space="0" w:color="auto"/>
      </w:divBdr>
      <w:divsChild>
        <w:div w:id="1700468828">
          <w:marLeft w:val="0"/>
          <w:marRight w:val="0"/>
          <w:marTop w:val="0"/>
          <w:marBottom w:val="0"/>
          <w:divBdr>
            <w:top w:val="single" w:sz="36" w:space="0" w:color="075290"/>
            <w:left w:val="none" w:sz="0" w:space="0" w:color="auto"/>
            <w:bottom w:val="none" w:sz="0" w:space="0" w:color="auto"/>
            <w:right w:val="none" w:sz="0" w:space="0" w:color="auto"/>
          </w:divBdr>
          <w:divsChild>
            <w:div w:id="185485957">
              <w:marLeft w:val="0"/>
              <w:marRight w:val="0"/>
              <w:marTop w:val="0"/>
              <w:marBottom w:val="0"/>
              <w:divBdr>
                <w:top w:val="none" w:sz="0" w:space="0" w:color="auto"/>
                <w:left w:val="none" w:sz="0" w:space="0" w:color="auto"/>
                <w:bottom w:val="none" w:sz="0" w:space="0" w:color="auto"/>
                <w:right w:val="none" w:sz="0" w:space="0" w:color="auto"/>
              </w:divBdr>
              <w:divsChild>
                <w:div w:id="914776935">
                  <w:marLeft w:val="0"/>
                  <w:marRight w:val="0"/>
                  <w:marTop w:val="150"/>
                  <w:marBottom w:val="0"/>
                  <w:divBdr>
                    <w:top w:val="none" w:sz="0" w:space="0" w:color="auto"/>
                    <w:left w:val="none" w:sz="0" w:space="0" w:color="auto"/>
                    <w:bottom w:val="none" w:sz="0" w:space="0" w:color="auto"/>
                    <w:right w:val="none" w:sz="0" w:space="0" w:color="auto"/>
                  </w:divBdr>
                  <w:divsChild>
                    <w:div w:id="1456408594">
                      <w:marLeft w:val="-150"/>
                      <w:marRight w:val="0"/>
                      <w:marTop w:val="0"/>
                      <w:marBottom w:val="0"/>
                      <w:divBdr>
                        <w:top w:val="none" w:sz="0" w:space="0" w:color="auto"/>
                        <w:left w:val="none" w:sz="0" w:space="0" w:color="auto"/>
                        <w:bottom w:val="none" w:sz="0" w:space="0" w:color="auto"/>
                        <w:right w:val="none" w:sz="0" w:space="0" w:color="auto"/>
                      </w:divBdr>
                      <w:divsChild>
                        <w:div w:id="1172062188">
                          <w:marLeft w:val="0"/>
                          <w:marRight w:val="0"/>
                          <w:marTop w:val="0"/>
                          <w:marBottom w:val="0"/>
                          <w:divBdr>
                            <w:top w:val="none" w:sz="0" w:space="0" w:color="auto"/>
                            <w:left w:val="none" w:sz="0" w:space="0" w:color="auto"/>
                            <w:bottom w:val="none" w:sz="0" w:space="0" w:color="auto"/>
                            <w:right w:val="none" w:sz="0" w:space="0" w:color="auto"/>
                          </w:divBdr>
                          <w:divsChild>
                            <w:div w:id="1474441735">
                              <w:marLeft w:val="0"/>
                              <w:marRight w:val="0"/>
                              <w:marTop w:val="0"/>
                              <w:marBottom w:val="0"/>
                              <w:divBdr>
                                <w:top w:val="none" w:sz="0" w:space="0" w:color="auto"/>
                                <w:left w:val="none" w:sz="0" w:space="0" w:color="auto"/>
                                <w:bottom w:val="none" w:sz="0" w:space="0" w:color="auto"/>
                                <w:right w:val="none" w:sz="0" w:space="0" w:color="auto"/>
                              </w:divBdr>
                              <w:divsChild>
                                <w:div w:id="894125096">
                                  <w:marLeft w:val="0"/>
                                  <w:marRight w:val="0"/>
                                  <w:marTop w:val="0"/>
                                  <w:marBottom w:val="0"/>
                                  <w:divBdr>
                                    <w:top w:val="none" w:sz="0" w:space="0" w:color="auto"/>
                                    <w:left w:val="none" w:sz="0" w:space="0" w:color="auto"/>
                                    <w:bottom w:val="none" w:sz="0" w:space="0" w:color="auto"/>
                                    <w:right w:val="none" w:sz="0" w:space="0" w:color="auto"/>
                                  </w:divBdr>
                                  <w:divsChild>
                                    <w:div w:id="101823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517720">
      <w:bodyDiv w:val="1"/>
      <w:marLeft w:val="0"/>
      <w:marRight w:val="0"/>
      <w:marTop w:val="0"/>
      <w:marBottom w:val="0"/>
      <w:divBdr>
        <w:top w:val="none" w:sz="0" w:space="0" w:color="auto"/>
        <w:left w:val="none" w:sz="0" w:space="0" w:color="auto"/>
        <w:bottom w:val="none" w:sz="0" w:space="0" w:color="auto"/>
        <w:right w:val="none" w:sz="0" w:space="0" w:color="auto"/>
      </w:divBdr>
      <w:divsChild>
        <w:div w:id="627395623">
          <w:marLeft w:val="0"/>
          <w:marRight w:val="0"/>
          <w:marTop w:val="0"/>
          <w:marBottom w:val="0"/>
          <w:divBdr>
            <w:top w:val="single" w:sz="36" w:space="0" w:color="075290"/>
            <w:left w:val="none" w:sz="0" w:space="0" w:color="auto"/>
            <w:bottom w:val="none" w:sz="0" w:space="0" w:color="auto"/>
            <w:right w:val="none" w:sz="0" w:space="0" w:color="auto"/>
          </w:divBdr>
          <w:divsChild>
            <w:div w:id="163251832">
              <w:marLeft w:val="0"/>
              <w:marRight w:val="0"/>
              <w:marTop w:val="0"/>
              <w:marBottom w:val="0"/>
              <w:divBdr>
                <w:top w:val="none" w:sz="0" w:space="0" w:color="auto"/>
                <w:left w:val="none" w:sz="0" w:space="0" w:color="auto"/>
                <w:bottom w:val="none" w:sz="0" w:space="0" w:color="auto"/>
                <w:right w:val="none" w:sz="0" w:space="0" w:color="auto"/>
              </w:divBdr>
              <w:divsChild>
                <w:div w:id="2030329713">
                  <w:marLeft w:val="0"/>
                  <w:marRight w:val="0"/>
                  <w:marTop w:val="150"/>
                  <w:marBottom w:val="0"/>
                  <w:divBdr>
                    <w:top w:val="none" w:sz="0" w:space="0" w:color="auto"/>
                    <w:left w:val="none" w:sz="0" w:space="0" w:color="auto"/>
                    <w:bottom w:val="none" w:sz="0" w:space="0" w:color="auto"/>
                    <w:right w:val="none" w:sz="0" w:space="0" w:color="auto"/>
                  </w:divBdr>
                  <w:divsChild>
                    <w:div w:id="1970552319">
                      <w:marLeft w:val="-150"/>
                      <w:marRight w:val="0"/>
                      <w:marTop w:val="0"/>
                      <w:marBottom w:val="0"/>
                      <w:divBdr>
                        <w:top w:val="none" w:sz="0" w:space="0" w:color="auto"/>
                        <w:left w:val="none" w:sz="0" w:space="0" w:color="auto"/>
                        <w:bottom w:val="none" w:sz="0" w:space="0" w:color="auto"/>
                        <w:right w:val="none" w:sz="0" w:space="0" w:color="auto"/>
                      </w:divBdr>
                      <w:divsChild>
                        <w:div w:id="1407992793">
                          <w:marLeft w:val="0"/>
                          <w:marRight w:val="0"/>
                          <w:marTop w:val="0"/>
                          <w:marBottom w:val="0"/>
                          <w:divBdr>
                            <w:top w:val="none" w:sz="0" w:space="0" w:color="auto"/>
                            <w:left w:val="none" w:sz="0" w:space="0" w:color="auto"/>
                            <w:bottom w:val="none" w:sz="0" w:space="0" w:color="auto"/>
                            <w:right w:val="none" w:sz="0" w:space="0" w:color="auto"/>
                          </w:divBdr>
                          <w:divsChild>
                            <w:div w:id="2061708794">
                              <w:marLeft w:val="0"/>
                              <w:marRight w:val="0"/>
                              <w:marTop w:val="0"/>
                              <w:marBottom w:val="0"/>
                              <w:divBdr>
                                <w:top w:val="none" w:sz="0" w:space="0" w:color="auto"/>
                                <w:left w:val="none" w:sz="0" w:space="0" w:color="auto"/>
                                <w:bottom w:val="none" w:sz="0" w:space="0" w:color="auto"/>
                                <w:right w:val="none" w:sz="0" w:space="0" w:color="auto"/>
                              </w:divBdr>
                              <w:divsChild>
                                <w:div w:id="1578126885">
                                  <w:marLeft w:val="0"/>
                                  <w:marRight w:val="0"/>
                                  <w:marTop w:val="0"/>
                                  <w:marBottom w:val="0"/>
                                  <w:divBdr>
                                    <w:top w:val="none" w:sz="0" w:space="0" w:color="auto"/>
                                    <w:left w:val="none" w:sz="0" w:space="0" w:color="auto"/>
                                    <w:bottom w:val="none" w:sz="0" w:space="0" w:color="auto"/>
                                    <w:right w:val="none" w:sz="0" w:space="0" w:color="auto"/>
                                  </w:divBdr>
                                  <w:divsChild>
                                    <w:div w:id="14944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890299">
      <w:bodyDiv w:val="1"/>
      <w:marLeft w:val="0"/>
      <w:marRight w:val="0"/>
      <w:marTop w:val="0"/>
      <w:marBottom w:val="0"/>
      <w:divBdr>
        <w:top w:val="none" w:sz="0" w:space="0" w:color="auto"/>
        <w:left w:val="none" w:sz="0" w:space="0" w:color="auto"/>
        <w:bottom w:val="none" w:sz="0" w:space="0" w:color="auto"/>
        <w:right w:val="none" w:sz="0" w:space="0" w:color="auto"/>
      </w:divBdr>
      <w:divsChild>
        <w:div w:id="1375696572">
          <w:marLeft w:val="0"/>
          <w:marRight w:val="0"/>
          <w:marTop w:val="0"/>
          <w:marBottom w:val="0"/>
          <w:divBdr>
            <w:top w:val="single" w:sz="36" w:space="0" w:color="075290"/>
            <w:left w:val="none" w:sz="0" w:space="0" w:color="auto"/>
            <w:bottom w:val="none" w:sz="0" w:space="0" w:color="auto"/>
            <w:right w:val="none" w:sz="0" w:space="0" w:color="auto"/>
          </w:divBdr>
          <w:divsChild>
            <w:div w:id="1779374964">
              <w:marLeft w:val="0"/>
              <w:marRight w:val="0"/>
              <w:marTop w:val="0"/>
              <w:marBottom w:val="0"/>
              <w:divBdr>
                <w:top w:val="none" w:sz="0" w:space="0" w:color="auto"/>
                <w:left w:val="none" w:sz="0" w:space="0" w:color="auto"/>
                <w:bottom w:val="none" w:sz="0" w:space="0" w:color="auto"/>
                <w:right w:val="none" w:sz="0" w:space="0" w:color="auto"/>
              </w:divBdr>
              <w:divsChild>
                <w:div w:id="24985497">
                  <w:marLeft w:val="0"/>
                  <w:marRight w:val="0"/>
                  <w:marTop w:val="150"/>
                  <w:marBottom w:val="0"/>
                  <w:divBdr>
                    <w:top w:val="none" w:sz="0" w:space="0" w:color="auto"/>
                    <w:left w:val="none" w:sz="0" w:space="0" w:color="auto"/>
                    <w:bottom w:val="none" w:sz="0" w:space="0" w:color="auto"/>
                    <w:right w:val="none" w:sz="0" w:space="0" w:color="auto"/>
                  </w:divBdr>
                  <w:divsChild>
                    <w:div w:id="102194086">
                      <w:marLeft w:val="-150"/>
                      <w:marRight w:val="0"/>
                      <w:marTop w:val="0"/>
                      <w:marBottom w:val="0"/>
                      <w:divBdr>
                        <w:top w:val="none" w:sz="0" w:space="0" w:color="auto"/>
                        <w:left w:val="none" w:sz="0" w:space="0" w:color="auto"/>
                        <w:bottom w:val="none" w:sz="0" w:space="0" w:color="auto"/>
                        <w:right w:val="none" w:sz="0" w:space="0" w:color="auto"/>
                      </w:divBdr>
                      <w:divsChild>
                        <w:div w:id="1986003331">
                          <w:marLeft w:val="0"/>
                          <w:marRight w:val="0"/>
                          <w:marTop w:val="0"/>
                          <w:marBottom w:val="0"/>
                          <w:divBdr>
                            <w:top w:val="none" w:sz="0" w:space="0" w:color="auto"/>
                            <w:left w:val="none" w:sz="0" w:space="0" w:color="auto"/>
                            <w:bottom w:val="none" w:sz="0" w:space="0" w:color="auto"/>
                            <w:right w:val="none" w:sz="0" w:space="0" w:color="auto"/>
                          </w:divBdr>
                          <w:divsChild>
                            <w:div w:id="471598400">
                              <w:marLeft w:val="0"/>
                              <w:marRight w:val="0"/>
                              <w:marTop w:val="0"/>
                              <w:marBottom w:val="0"/>
                              <w:divBdr>
                                <w:top w:val="none" w:sz="0" w:space="0" w:color="auto"/>
                                <w:left w:val="none" w:sz="0" w:space="0" w:color="auto"/>
                                <w:bottom w:val="none" w:sz="0" w:space="0" w:color="auto"/>
                                <w:right w:val="none" w:sz="0" w:space="0" w:color="auto"/>
                              </w:divBdr>
                              <w:divsChild>
                                <w:div w:id="1636325104">
                                  <w:marLeft w:val="0"/>
                                  <w:marRight w:val="0"/>
                                  <w:marTop w:val="0"/>
                                  <w:marBottom w:val="0"/>
                                  <w:divBdr>
                                    <w:top w:val="none" w:sz="0" w:space="0" w:color="auto"/>
                                    <w:left w:val="none" w:sz="0" w:space="0" w:color="auto"/>
                                    <w:bottom w:val="none" w:sz="0" w:space="0" w:color="auto"/>
                                    <w:right w:val="none" w:sz="0" w:space="0" w:color="auto"/>
                                  </w:divBdr>
                                  <w:divsChild>
                                    <w:div w:id="187839834">
                                      <w:marLeft w:val="0"/>
                                      <w:marRight w:val="0"/>
                                      <w:marTop w:val="0"/>
                                      <w:marBottom w:val="0"/>
                                      <w:divBdr>
                                        <w:top w:val="none" w:sz="0" w:space="0" w:color="auto"/>
                                        <w:left w:val="none" w:sz="0" w:space="0" w:color="auto"/>
                                        <w:bottom w:val="none" w:sz="0" w:space="0" w:color="auto"/>
                                        <w:right w:val="none" w:sz="0" w:space="0" w:color="auto"/>
                                      </w:divBdr>
                                    </w:div>
                                  </w:divsChild>
                                </w:div>
                                <w:div w:id="1463159072">
                                  <w:marLeft w:val="0"/>
                                  <w:marRight w:val="0"/>
                                  <w:marTop w:val="0"/>
                                  <w:marBottom w:val="0"/>
                                  <w:divBdr>
                                    <w:top w:val="none" w:sz="0" w:space="0" w:color="auto"/>
                                    <w:left w:val="none" w:sz="0" w:space="0" w:color="auto"/>
                                    <w:bottom w:val="none" w:sz="0" w:space="0" w:color="auto"/>
                                    <w:right w:val="none" w:sz="0" w:space="0" w:color="auto"/>
                                  </w:divBdr>
                                  <w:divsChild>
                                    <w:div w:id="41713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6502315">
      <w:bodyDiv w:val="1"/>
      <w:marLeft w:val="0"/>
      <w:marRight w:val="0"/>
      <w:marTop w:val="0"/>
      <w:marBottom w:val="0"/>
      <w:divBdr>
        <w:top w:val="none" w:sz="0" w:space="0" w:color="auto"/>
        <w:left w:val="none" w:sz="0" w:space="0" w:color="auto"/>
        <w:bottom w:val="none" w:sz="0" w:space="0" w:color="auto"/>
        <w:right w:val="none" w:sz="0" w:space="0" w:color="auto"/>
      </w:divBdr>
      <w:divsChild>
        <w:div w:id="1869484443">
          <w:marLeft w:val="0"/>
          <w:marRight w:val="0"/>
          <w:marTop w:val="0"/>
          <w:marBottom w:val="0"/>
          <w:divBdr>
            <w:top w:val="single" w:sz="36" w:space="0" w:color="075290"/>
            <w:left w:val="none" w:sz="0" w:space="0" w:color="auto"/>
            <w:bottom w:val="none" w:sz="0" w:space="0" w:color="auto"/>
            <w:right w:val="none" w:sz="0" w:space="0" w:color="auto"/>
          </w:divBdr>
          <w:divsChild>
            <w:div w:id="275210370">
              <w:marLeft w:val="0"/>
              <w:marRight w:val="0"/>
              <w:marTop w:val="0"/>
              <w:marBottom w:val="0"/>
              <w:divBdr>
                <w:top w:val="none" w:sz="0" w:space="0" w:color="auto"/>
                <w:left w:val="none" w:sz="0" w:space="0" w:color="auto"/>
                <w:bottom w:val="none" w:sz="0" w:space="0" w:color="auto"/>
                <w:right w:val="none" w:sz="0" w:space="0" w:color="auto"/>
              </w:divBdr>
              <w:divsChild>
                <w:div w:id="166558642">
                  <w:marLeft w:val="0"/>
                  <w:marRight w:val="0"/>
                  <w:marTop w:val="150"/>
                  <w:marBottom w:val="0"/>
                  <w:divBdr>
                    <w:top w:val="none" w:sz="0" w:space="0" w:color="auto"/>
                    <w:left w:val="none" w:sz="0" w:space="0" w:color="auto"/>
                    <w:bottom w:val="none" w:sz="0" w:space="0" w:color="auto"/>
                    <w:right w:val="none" w:sz="0" w:space="0" w:color="auto"/>
                  </w:divBdr>
                  <w:divsChild>
                    <w:div w:id="108209615">
                      <w:marLeft w:val="-150"/>
                      <w:marRight w:val="0"/>
                      <w:marTop w:val="0"/>
                      <w:marBottom w:val="0"/>
                      <w:divBdr>
                        <w:top w:val="none" w:sz="0" w:space="0" w:color="auto"/>
                        <w:left w:val="none" w:sz="0" w:space="0" w:color="auto"/>
                        <w:bottom w:val="none" w:sz="0" w:space="0" w:color="auto"/>
                        <w:right w:val="none" w:sz="0" w:space="0" w:color="auto"/>
                      </w:divBdr>
                      <w:divsChild>
                        <w:div w:id="1476023792">
                          <w:marLeft w:val="0"/>
                          <w:marRight w:val="0"/>
                          <w:marTop w:val="0"/>
                          <w:marBottom w:val="0"/>
                          <w:divBdr>
                            <w:top w:val="none" w:sz="0" w:space="0" w:color="auto"/>
                            <w:left w:val="none" w:sz="0" w:space="0" w:color="auto"/>
                            <w:bottom w:val="none" w:sz="0" w:space="0" w:color="auto"/>
                            <w:right w:val="none" w:sz="0" w:space="0" w:color="auto"/>
                          </w:divBdr>
                          <w:divsChild>
                            <w:div w:id="12807558">
                              <w:marLeft w:val="0"/>
                              <w:marRight w:val="0"/>
                              <w:marTop w:val="0"/>
                              <w:marBottom w:val="0"/>
                              <w:divBdr>
                                <w:top w:val="none" w:sz="0" w:space="0" w:color="auto"/>
                                <w:left w:val="none" w:sz="0" w:space="0" w:color="auto"/>
                                <w:bottom w:val="none" w:sz="0" w:space="0" w:color="auto"/>
                                <w:right w:val="none" w:sz="0" w:space="0" w:color="auto"/>
                              </w:divBdr>
                              <w:divsChild>
                                <w:div w:id="2107925323">
                                  <w:marLeft w:val="0"/>
                                  <w:marRight w:val="0"/>
                                  <w:marTop w:val="0"/>
                                  <w:marBottom w:val="0"/>
                                  <w:divBdr>
                                    <w:top w:val="none" w:sz="0" w:space="0" w:color="auto"/>
                                    <w:left w:val="none" w:sz="0" w:space="0" w:color="auto"/>
                                    <w:bottom w:val="none" w:sz="0" w:space="0" w:color="auto"/>
                                    <w:right w:val="none" w:sz="0" w:space="0" w:color="auto"/>
                                  </w:divBdr>
                                  <w:divsChild>
                                    <w:div w:id="128870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6142016">
      <w:bodyDiv w:val="1"/>
      <w:marLeft w:val="0"/>
      <w:marRight w:val="0"/>
      <w:marTop w:val="0"/>
      <w:marBottom w:val="0"/>
      <w:divBdr>
        <w:top w:val="none" w:sz="0" w:space="0" w:color="auto"/>
        <w:left w:val="none" w:sz="0" w:space="0" w:color="auto"/>
        <w:bottom w:val="none" w:sz="0" w:space="0" w:color="auto"/>
        <w:right w:val="none" w:sz="0" w:space="0" w:color="auto"/>
      </w:divBdr>
      <w:divsChild>
        <w:div w:id="1665545813">
          <w:marLeft w:val="0"/>
          <w:marRight w:val="0"/>
          <w:marTop w:val="0"/>
          <w:marBottom w:val="0"/>
          <w:divBdr>
            <w:top w:val="single" w:sz="36" w:space="0" w:color="075290"/>
            <w:left w:val="none" w:sz="0" w:space="0" w:color="auto"/>
            <w:bottom w:val="none" w:sz="0" w:space="0" w:color="auto"/>
            <w:right w:val="none" w:sz="0" w:space="0" w:color="auto"/>
          </w:divBdr>
          <w:divsChild>
            <w:div w:id="2069263164">
              <w:marLeft w:val="0"/>
              <w:marRight w:val="0"/>
              <w:marTop w:val="0"/>
              <w:marBottom w:val="0"/>
              <w:divBdr>
                <w:top w:val="none" w:sz="0" w:space="0" w:color="auto"/>
                <w:left w:val="none" w:sz="0" w:space="0" w:color="auto"/>
                <w:bottom w:val="none" w:sz="0" w:space="0" w:color="auto"/>
                <w:right w:val="none" w:sz="0" w:space="0" w:color="auto"/>
              </w:divBdr>
              <w:divsChild>
                <w:div w:id="1458989203">
                  <w:marLeft w:val="0"/>
                  <w:marRight w:val="0"/>
                  <w:marTop w:val="150"/>
                  <w:marBottom w:val="0"/>
                  <w:divBdr>
                    <w:top w:val="none" w:sz="0" w:space="0" w:color="auto"/>
                    <w:left w:val="none" w:sz="0" w:space="0" w:color="auto"/>
                    <w:bottom w:val="none" w:sz="0" w:space="0" w:color="auto"/>
                    <w:right w:val="none" w:sz="0" w:space="0" w:color="auto"/>
                  </w:divBdr>
                  <w:divsChild>
                    <w:div w:id="2069527423">
                      <w:marLeft w:val="-150"/>
                      <w:marRight w:val="0"/>
                      <w:marTop w:val="0"/>
                      <w:marBottom w:val="0"/>
                      <w:divBdr>
                        <w:top w:val="none" w:sz="0" w:space="0" w:color="auto"/>
                        <w:left w:val="none" w:sz="0" w:space="0" w:color="auto"/>
                        <w:bottom w:val="none" w:sz="0" w:space="0" w:color="auto"/>
                        <w:right w:val="none" w:sz="0" w:space="0" w:color="auto"/>
                      </w:divBdr>
                      <w:divsChild>
                        <w:div w:id="1585920000">
                          <w:marLeft w:val="0"/>
                          <w:marRight w:val="0"/>
                          <w:marTop w:val="0"/>
                          <w:marBottom w:val="0"/>
                          <w:divBdr>
                            <w:top w:val="none" w:sz="0" w:space="0" w:color="auto"/>
                            <w:left w:val="none" w:sz="0" w:space="0" w:color="auto"/>
                            <w:bottom w:val="none" w:sz="0" w:space="0" w:color="auto"/>
                            <w:right w:val="none" w:sz="0" w:space="0" w:color="auto"/>
                          </w:divBdr>
                          <w:divsChild>
                            <w:div w:id="144765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legionella/health-depts/healthcare-resources/healthcare-facilities.html" TargetMode="External"/><Relationship Id="rId3" Type="http://schemas.openxmlformats.org/officeDocument/2006/relationships/settings" Target="settings.xml"/><Relationship Id="rId7" Type="http://schemas.openxmlformats.org/officeDocument/2006/relationships/hyperlink" Target="https://www.cdc.gov/legionella/health-depts/healthcare-resources/healthcare-facilitie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legionella/downloads/case-report-form.pdf" TargetMode="External"/><Relationship Id="rId11" Type="http://schemas.openxmlformats.org/officeDocument/2006/relationships/fontTable" Target="fontTable.xml"/><Relationship Id="rId5" Type="http://schemas.openxmlformats.org/officeDocument/2006/relationships/hyperlink" Target="https://www.cdc.gov/legionella/health-depts/healthcare-resources/healthcare-facilities.html" TargetMode="External"/><Relationship Id="rId10" Type="http://schemas.openxmlformats.org/officeDocument/2006/relationships/hyperlink" Target="https://www.cdc.gov/legionella/health-depts/surv-reporting/case-definitions.html" TargetMode="External"/><Relationship Id="rId4" Type="http://schemas.openxmlformats.org/officeDocument/2006/relationships/webSettings" Target="webSettings.xml"/><Relationship Id="rId9" Type="http://schemas.openxmlformats.org/officeDocument/2006/relationships/hyperlink" Target="https://www.cdc.gov/legionella/health-depts/healthcare-resources/healthcare-facilit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733</Words>
  <Characters>4181</Characters>
  <Application>Microsoft Office Word</Application>
  <DocSecurity>0</DocSecurity>
  <Lines>34</Lines>
  <Paragraphs>9</Paragraphs>
  <ScaleCrop>false</ScaleCrop>
  <Company>Washington State Department of Health</Company>
  <LinksUpToDate>false</LinksUpToDate>
  <CharactersWithSpaces>4905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Hawkins, Vivian  (DOH)</dc:creator>
  <cp:keywords/>
  <dc:description/>
  <cp:lastModifiedBy>Hawkins, Vivian  (DOH)</cp:lastModifiedBy>
  <cp:revision>2</cp:revision>
  <dcterms:created xsi:type="dcterms:W3CDTF">2018-08-23T16:32:00Z</dcterms:created>
  <dcterms:modified xsi:type="dcterms:W3CDTF">2018-08-23T16:37:00Z</dcterms:modified>
</cp:coreProperties>
</file>