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0E7" w:rsidRDefault="003B20E7" w:rsidP="003B20E7"/>
    <w:p w:rsidR="003B20E7" w:rsidRDefault="003B20E7" w:rsidP="003B20E7">
      <w:pPr>
        <w:rPr>
          <w:b/>
        </w:rPr>
      </w:pPr>
      <w:r>
        <w:rPr>
          <w:b/>
        </w:rPr>
        <w:t>Incubation period small group, notes from 9/6/18 courtesy of Liz Hannapel</w:t>
      </w:r>
    </w:p>
    <w:p w:rsidR="003B20E7" w:rsidRPr="003B20E7" w:rsidRDefault="003B20E7" w:rsidP="003B20E7">
      <w:pPr>
        <w:rPr>
          <w:b/>
        </w:rPr>
      </w:pPr>
      <w:bookmarkStart w:id="0" w:name="_GoBack"/>
      <w:bookmarkEnd w:id="0"/>
    </w:p>
    <w:p w:rsidR="003B20E7" w:rsidRDefault="003B20E7" w:rsidP="003B20E7">
      <w:r>
        <w:t>Recommendations from the IP subgroup:</w:t>
      </w:r>
    </w:p>
    <w:p w:rsidR="003B20E7" w:rsidRDefault="003B20E7" w:rsidP="003B20E7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Use a consistent cutoff date for exposure history per incubation period (i.e. not 10 days for routine surveillance and 14 days for outbreak investigations) </w:t>
      </w:r>
    </w:p>
    <w:p w:rsidR="003B20E7" w:rsidRDefault="003B20E7" w:rsidP="003B20E7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Often not practical to re-contact prior cases over extended time period (e.g. 12 months) once possible cluster identified;  better to get all exposure history on the front end</w:t>
      </w:r>
    </w:p>
    <w:p w:rsidR="003B20E7" w:rsidRDefault="003B20E7" w:rsidP="003B20E7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More consistent data collection (i.e. some jurisdictions only gather extended exposure period for certain variables, e.g. travel and healthcare)</w:t>
      </w:r>
    </w:p>
    <w:p w:rsidR="003B20E7" w:rsidRDefault="003B20E7" w:rsidP="003B20E7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More consistent reporting across jurisdictions (e.g. CDC may only be reporting travel for 10 days although other jurisdictions investigate over a different time period)</w:t>
      </w:r>
    </w:p>
    <w:p w:rsidR="003B20E7" w:rsidRDefault="003B20E7" w:rsidP="003B20E7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Consider using 14 days rather than 10 days </w:t>
      </w:r>
    </w:p>
    <w:p w:rsidR="003B20E7" w:rsidRDefault="003B20E7" w:rsidP="003B20E7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1977: Range 2-26 days with all but two in 2-10 days (n=72, Fraser et. al.)</w:t>
      </w:r>
    </w:p>
    <w:p w:rsidR="003B20E7" w:rsidRDefault="003B20E7" w:rsidP="003B20E7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1999: 16% of cases had onset &gt;10 days; range 2-19 days (n=136, Den Boer et. al.)</w:t>
      </w:r>
    </w:p>
    <w:p w:rsidR="003B20E7" w:rsidRDefault="003B20E7" w:rsidP="003B20E7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2011: Only ~90% of cases have onset from days 0-10 (Al Barskey using modeling from Egan et. al. based on </w:t>
      </w:r>
      <w:proofErr w:type="spellStart"/>
      <w:r>
        <w:rPr>
          <w:rFonts w:eastAsia="Times New Roman"/>
        </w:rPr>
        <w:t>Greig</w:t>
      </w:r>
      <w:proofErr w:type="spellEnd"/>
      <w:r>
        <w:rPr>
          <w:rFonts w:eastAsia="Times New Roman"/>
        </w:rPr>
        <w:t xml:space="preserve"> et. al.) </w:t>
      </w:r>
    </w:p>
    <w:p w:rsidR="003B20E7" w:rsidRDefault="003B20E7" w:rsidP="003B20E7">
      <w:pPr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Range 1-16 days (n=11, </w:t>
      </w:r>
      <w:proofErr w:type="spellStart"/>
      <w:r>
        <w:rPr>
          <w:rFonts w:eastAsia="Times New Roman"/>
        </w:rPr>
        <w:t>Greig</w:t>
      </w:r>
      <w:proofErr w:type="spellEnd"/>
      <w:r>
        <w:rPr>
          <w:rFonts w:eastAsia="Times New Roman"/>
        </w:rPr>
        <w:t xml:space="preserve"> et. al.)</w:t>
      </w:r>
    </w:p>
    <w:p w:rsidR="003B20E7" w:rsidRDefault="003B20E7" w:rsidP="003B20E7">
      <w:pPr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5532120" cy="2819400"/>
            <wp:effectExtent l="0" t="0" r="0" b="0"/>
            <wp:docPr id="1" name="Picture 1" descr="cid:image001.png@01D445E2.5C13BD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 1" descr="cid:image001.png@01D445E2.5C13BD7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12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2718" w:type="dxa"/>
        <w:tblInd w:w="27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8"/>
        <w:gridCol w:w="1260"/>
      </w:tblGrid>
      <w:tr w:rsidR="003B20E7" w:rsidTr="003B20E7">
        <w:trPr>
          <w:trHeight w:val="900"/>
        </w:trPr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r>
              <w:rPr>
                <w:color w:val="000000"/>
              </w:rPr>
              <w:t>Length of Incubation Period (Days)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r>
              <w:rPr>
                <w:color w:val="000000"/>
              </w:rPr>
              <w:t>Cumulative probability (x 100)</w:t>
            </w:r>
          </w:p>
        </w:tc>
      </w:tr>
      <w:tr w:rsidR="003B20E7" w:rsidTr="003B20E7">
        <w:trPr>
          <w:trHeight w:val="300"/>
        </w:trPr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0.14</w:t>
            </w:r>
          </w:p>
        </w:tc>
      </w:tr>
      <w:tr w:rsidR="003B20E7" w:rsidTr="003B20E7">
        <w:trPr>
          <w:trHeight w:val="300"/>
        </w:trPr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2.35</w:t>
            </w:r>
          </w:p>
        </w:tc>
      </w:tr>
      <w:tr w:rsidR="003B20E7" w:rsidTr="003B20E7">
        <w:trPr>
          <w:trHeight w:val="300"/>
        </w:trPr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9.46</w:t>
            </w:r>
          </w:p>
        </w:tc>
      </w:tr>
      <w:tr w:rsidR="003B20E7" w:rsidTr="003B20E7">
        <w:trPr>
          <w:trHeight w:val="300"/>
        </w:trPr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21.62</w:t>
            </w:r>
          </w:p>
        </w:tc>
      </w:tr>
      <w:tr w:rsidR="003B20E7" w:rsidTr="003B20E7">
        <w:trPr>
          <w:trHeight w:val="300"/>
        </w:trPr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36.60</w:t>
            </w:r>
          </w:p>
        </w:tc>
      </w:tr>
      <w:tr w:rsidR="003B20E7" w:rsidTr="003B20E7">
        <w:trPr>
          <w:trHeight w:val="300"/>
        </w:trPr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51.73</w:t>
            </w:r>
          </w:p>
        </w:tc>
      </w:tr>
      <w:tr w:rsidR="003B20E7" w:rsidTr="003B20E7">
        <w:trPr>
          <w:trHeight w:val="300"/>
        </w:trPr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65.10</w:t>
            </w:r>
          </w:p>
        </w:tc>
      </w:tr>
      <w:tr w:rsidR="003B20E7" w:rsidTr="003B20E7">
        <w:trPr>
          <w:trHeight w:val="300"/>
        </w:trPr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75.86</w:t>
            </w:r>
          </w:p>
        </w:tc>
      </w:tr>
      <w:tr w:rsidR="003B20E7" w:rsidTr="003B20E7">
        <w:trPr>
          <w:trHeight w:val="300"/>
        </w:trPr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lastRenderedPageBreak/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83.90</w:t>
            </w:r>
          </w:p>
        </w:tc>
      </w:tr>
      <w:tr w:rsidR="003B20E7" w:rsidTr="003B20E7">
        <w:trPr>
          <w:trHeight w:val="300"/>
        </w:trPr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89.60</w:t>
            </w:r>
          </w:p>
        </w:tc>
      </w:tr>
      <w:tr w:rsidR="003B20E7" w:rsidTr="003B20E7">
        <w:trPr>
          <w:trHeight w:val="300"/>
        </w:trPr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93.46</w:t>
            </w:r>
          </w:p>
        </w:tc>
      </w:tr>
      <w:tr w:rsidR="003B20E7" w:rsidTr="003B20E7">
        <w:trPr>
          <w:trHeight w:val="300"/>
        </w:trPr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95.99</w:t>
            </w:r>
          </w:p>
        </w:tc>
      </w:tr>
      <w:tr w:rsidR="003B20E7" w:rsidTr="003B20E7">
        <w:trPr>
          <w:trHeight w:val="300"/>
        </w:trPr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97.58</w:t>
            </w:r>
          </w:p>
        </w:tc>
      </w:tr>
      <w:tr w:rsidR="003B20E7" w:rsidTr="003B20E7">
        <w:trPr>
          <w:trHeight w:val="300"/>
        </w:trPr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98.57</w:t>
            </w:r>
          </w:p>
        </w:tc>
      </w:tr>
      <w:tr w:rsidR="003B20E7" w:rsidTr="003B20E7">
        <w:trPr>
          <w:trHeight w:val="300"/>
        </w:trPr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99.17</w:t>
            </w:r>
          </w:p>
        </w:tc>
      </w:tr>
      <w:tr w:rsidR="003B20E7" w:rsidTr="003B20E7">
        <w:trPr>
          <w:trHeight w:val="300"/>
        </w:trPr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99.52</w:t>
            </w:r>
          </w:p>
        </w:tc>
      </w:tr>
      <w:tr w:rsidR="003B20E7" w:rsidTr="003B20E7">
        <w:trPr>
          <w:trHeight w:val="300"/>
        </w:trPr>
        <w:tc>
          <w:tcPr>
            <w:tcW w:w="1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20E7" w:rsidRDefault="003B20E7">
            <w:pPr>
              <w:jc w:val="right"/>
            </w:pPr>
            <w:r>
              <w:rPr>
                <w:color w:val="000000"/>
              </w:rPr>
              <w:t>99.73</w:t>
            </w:r>
          </w:p>
        </w:tc>
      </w:tr>
    </w:tbl>
    <w:p w:rsidR="003B20E7" w:rsidRDefault="003B20E7" w:rsidP="003B20E7">
      <w:pPr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</w:rPr>
        <w:t>14 vs 10 because otherwise missing actual exposure for ~7% of cases</w:t>
      </w:r>
    </w:p>
    <w:p w:rsidR="003B20E7" w:rsidRDefault="003B20E7" w:rsidP="003B20E7">
      <w:pPr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</w:rPr>
        <w:t>14 vs 12 because easier to recall exposure for 7-day increments</w:t>
      </w:r>
    </w:p>
    <w:p w:rsidR="003B20E7" w:rsidRDefault="003B20E7" w:rsidP="003B20E7">
      <w:pPr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</w:rPr>
        <w:t>14 vs 16 because increasing noise without much increase in relevant exposures (e.g. 2 days of irrelevant exposures for all but 0.56% of people)</w:t>
      </w:r>
    </w:p>
    <w:p w:rsidR="003B20E7" w:rsidRDefault="003B20E7" w:rsidP="003B20E7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Differentiate between incubation period for Legionnaires’ Disease and Pontiac Fever </w:t>
      </w:r>
    </w:p>
    <w:p w:rsidR="003B20E7" w:rsidRDefault="003B20E7" w:rsidP="003B20E7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  <w:i/>
          <w:iCs/>
        </w:rPr>
        <w:t>This is something the sub group is planning to work on in the near future</w:t>
      </w:r>
    </w:p>
    <w:p w:rsidR="003B20E7" w:rsidRDefault="003B20E7" w:rsidP="003B20E7">
      <w:r>
        <w:t> </w:t>
      </w:r>
    </w:p>
    <w:p w:rsidR="003B20E7" w:rsidRDefault="003B20E7" w:rsidP="003B20E7">
      <w:r>
        <w:t>*Resources cited are in Basecamp:</w:t>
      </w:r>
    </w:p>
    <w:p w:rsidR="003B20E7" w:rsidRDefault="003B20E7" w:rsidP="003B20E7">
      <w:r>
        <w:t>                CSTE LD Surveillance Workgroup &gt; Docs &amp; Files &gt; LD Case Definition Subgroup &gt; IP Resources</w:t>
      </w:r>
    </w:p>
    <w:p w:rsidR="003B20E7" w:rsidRDefault="003B20E7" w:rsidP="003B20E7">
      <w:r>
        <w:t> </w:t>
      </w:r>
    </w:p>
    <w:p w:rsidR="006157BC" w:rsidRDefault="006157BC"/>
    <w:sectPr w:rsidR="006157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AD05A1"/>
    <w:multiLevelType w:val="hybridMultilevel"/>
    <w:tmpl w:val="50B6D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0E7"/>
    <w:rsid w:val="003B20E7"/>
    <w:rsid w:val="0061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591855-AA20-4990-97AD-C02EDEF4D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0E7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3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445E2.5C13BD7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Health</Company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Hawkins, Vivian  (DOH)</dc:creator>
  <cp:keywords/>
  <dc:description/>
  <cp:lastModifiedBy>Hawkins, Vivian  (DOH)</cp:lastModifiedBy>
  <cp:revision>1</cp:revision>
  <dcterms:created xsi:type="dcterms:W3CDTF">2018-09-06T19:14:00Z</dcterms:created>
  <dcterms:modified xsi:type="dcterms:W3CDTF">2018-09-06T19:15:00Z</dcterms:modified>
</cp:coreProperties>
</file>