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AC3" w:rsidRPr="009C1AC3" w:rsidRDefault="009C1AC3" w:rsidP="009C1A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 w:rsidRPr="009C1AC3">
        <w:rPr>
          <w:rFonts w:ascii="Times New Roman" w:eastAsia="Times New Roman" w:hAnsi="Times New Roman" w:cs="Times New Roman"/>
          <w:color w:val="283C46"/>
          <w:sz w:val="24"/>
          <w:szCs w:val="24"/>
        </w:rPr>
        <w:t>How to use public health data systems to track investments in health care</w:t>
      </w:r>
    </w:p>
    <w:p w:rsidR="009C1AC3" w:rsidRPr="009C1AC3" w:rsidRDefault="009C1AC3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9C1AC3" w:rsidRPr="009C1AC3" w:rsidRDefault="009C1AC3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9C1AC3" w:rsidRPr="009C1AC3" w:rsidRDefault="009C1AC3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83C46"/>
          <w:sz w:val="24"/>
          <w:szCs w:val="24"/>
        </w:rPr>
      </w:pPr>
      <w:r w:rsidRPr="009C1AC3">
        <w:rPr>
          <w:rFonts w:ascii="Times New Roman" w:eastAsia="Times New Roman" w:hAnsi="Times New Roman" w:cs="Times New Roman"/>
          <w:b/>
          <w:color w:val="283C46"/>
          <w:sz w:val="24"/>
          <w:szCs w:val="24"/>
        </w:rPr>
        <w:t>I. Measuring Impacts of the Affordable Care Act:</w:t>
      </w:r>
    </w:p>
    <w:p w:rsidR="009C1AC3" w:rsidRPr="009C1AC3" w:rsidRDefault="009C1AC3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6B3920" w:rsidRDefault="006B3920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>Overview of milestones of the ACA</w:t>
      </w:r>
    </w:p>
    <w:tbl>
      <w:tblPr>
        <w:tblStyle w:val="TableGrid"/>
        <w:tblW w:w="0" w:type="auto"/>
        <w:tblInd w:w="-725" w:type="dxa"/>
        <w:tblLook w:val="04A0" w:firstRow="1" w:lastRow="0" w:firstColumn="1" w:lastColumn="0" w:noHBand="0" w:noVBand="1"/>
      </w:tblPr>
      <w:tblGrid>
        <w:gridCol w:w="4172"/>
        <w:gridCol w:w="3928"/>
        <w:gridCol w:w="3150"/>
        <w:gridCol w:w="2425"/>
      </w:tblGrid>
      <w:tr w:rsidR="006B3920" w:rsidTr="006B3920">
        <w:tc>
          <w:tcPr>
            <w:tcW w:w="4172" w:type="dxa"/>
          </w:tcPr>
          <w:p w:rsidR="006B3920" w:rsidRPr="006B3920" w:rsidRDefault="006B3920" w:rsidP="00356C00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 w:rsidRPr="006B3920"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Milestone</w:t>
            </w:r>
          </w:p>
        </w:tc>
        <w:tc>
          <w:tcPr>
            <w:tcW w:w="3928" w:type="dxa"/>
          </w:tcPr>
          <w:p w:rsidR="006B3920" w:rsidRPr="006B3920" w:rsidRDefault="006B3920" w:rsidP="00356C00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 w:rsidRPr="006B3920"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Possible impact</w:t>
            </w:r>
          </w:p>
        </w:tc>
        <w:tc>
          <w:tcPr>
            <w:tcW w:w="3150" w:type="dxa"/>
          </w:tcPr>
          <w:p w:rsidR="006B3920" w:rsidRPr="006B3920" w:rsidRDefault="006B3920" w:rsidP="00356C00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 w:rsidRPr="006B3920"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PH surveillance data</w:t>
            </w:r>
          </w:p>
        </w:tc>
        <w:tc>
          <w:tcPr>
            <w:tcW w:w="2425" w:type="dxa"/>
          </w:tcPr>
          <w:p w:rsidR="006B3920" w:rsidRPr="006B3920" w:rsidRDefault="006B3920" w:rsidP="00356C00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Possible public health impact</w:t>
            </w:r>
          </w:p>
        </w:tc>
      </w:tr>
      <w:tr w:rsidR="006B3920" w:rsidTr="006B3920">
        <w:tc>
          <w:tcPr>
            <w:tcW w:w="4172" w:type="dxa"/>
          </w:tcPr>
          <w:p w:rsidR="006B3920" w:rsidRDefault="006B3920" w:rsidP="006B392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March 23, 2010</w:t>
            </w:r>
          </w:p>
          <w:p w:rsidR="006B3920" w:rsidRPr="009C1AC3" w:rsidRDefault="006B3920" w:rsidP="006B392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Grandfathered health plans: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Anyone who had an individually purchased health insurance plan in place had a health insurance plan with “grandfathered status,” which meant that, </w:t>
            </w:r>
            <w:proofErr w:type="gramStart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by-in-large</w:t>
            </w:r>
            <w:proofErr w:type="gramEnd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the plan could stay the same as long as their insurer continued to offer that plan.</w:t>
            </w:r>
          </w:p>
          <w:p w:rsidR="006B3920" w:rsidRDefault="006B3920" w:rsidP="006B392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Non-grandfathered health plans: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Anyone who bought a health insurance plan after March 23, 2010 would eventually have to enroll in a new plan that met all of the new standards of the Affordable Care Act. The original deadline for this transition was January 1, 2014 or on a plan’s renewal date within the 2014 plan year.</w:t>
            </w:r>
          </w:p>
        </w:tc>
        <w:tc>
          <w:tcPr>
            <w:tcW w:w="3928" w:type="dxa"/>
          </w:tcPr>
          <w:p w:rsidR="006B3920" w:rsidRDefault="006B3920" w:rsidP="006B392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  <w:t xml:space="preserve">Some people </w:t>
            </w:r>
            <w:proofErr w:type="gramStart"/>
            <w: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  <w:t>were forced</w:t>
            </w:r>
            <w:proofErr w:type="gramEnd"/>
            <w: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  <w:t xml:space="preserve"> to enroll in a different health plan because their current plan did not meet minimum standards of coverage defined by the ACA. </w:t>
            </w:r>
          </w:p>
          <w:p w:rsidR="006B3920" w:rsidRDefault="006B3920" w:rsidP="006B392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  <w:p w:rsidR="006B3920" w:rsidRDefault="006B3920" w:rsidP="006B392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3150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2425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</w:tr>
      <w:tr w:rsidR="006B3920" w:rsidTr="006B3920">
        <w:tc>
          <w:tcPr>
            <w:tcW w:w="4172" w:type="dxa"/>
          </w:tcPr>
          <w:p w:rsidR="006B3920" w:rsidRPr="006B3920" w:rsidRDefault="006B3920" w:rsidP="00356C00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 w:rsidRPr="006B3920"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June 2010</w:t>
            </w:r>
          </w:p>
          <w:p w:rsidR="006B3920" w:rsidRPr="009C1AC3" w:rsidRDefault="006B3920" w:rsidP="006B392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Small business tax </w:t>
            </w:r>
            <w:proofErr w:type="spellStart"/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credits</w:t>
            </w:r>
            <w:proofErr w:type="gramStart"/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</w:t>
            </w:r>
            <w:proofErr w:type="spellEnd"/>
            <w:proofErr w:type="gramEnd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certain small businesses, there are tax credits of up to 35% of premiums.</w:t>
            </w:r>
          </w:p>
          <w:p w:rsidR="006B3920" w:rsidRPr="009C1AC3" w:rsidRDefault="006B3920" w:rsidP="006B392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Access to the federal high-risk pool for the uninsured with pre-existing conditions: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There are $5 billion allocated for individuals who cannot qualify for insurance. These funds allow them to buy insurance from the government; </w:t>
            </w:r>
            <w:proofErr w:type="gramStart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but,</w:t>
            </w:r>
            <w:proofErr w:type="gramEnd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this coverage is not free.</w:t>
            </w:r>
          </w:p>
          <w:p w:rsidR="006B3920" w:rsidRDefault="006B3920" w:rsidP="006B392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Reinsurance for retiree health benefit plans: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This </w:t>
            </w:r>
            <w:proofErr w:type="gramStart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 a temporary reinsurance program that</w:t>
            </w:r>
            <w:proofErr w:type="gramEnd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provides reimbursement to participating employment-based plans for a portion of the cost of providing health insurance coverage to early retirees.</w:t>
            </w:r>
            <w:r w:rsidRPr="009C1A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28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  <w:lastRenderedPageBreak/>
              <w:t>People with pre-existing conditions or people kicked off or denied coverage would finally have health insurance</w:t>
            </w:r>
            <w:r w:rsidR="00F03D64"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  <w:t>, but only</w:t>
            </w:r>
            <w: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  <w:t xml:space="preserve"> if they could afford it.</w:t>
            </w:r>
          </w:p>
        </w:tc>
        <w:tc>
          <w:tcPr>
            <w:tcW w:w="3150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2425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</w:tr>
      <w:tr w:rsidR="006B3920" w:rsidTr="006B3920">
        <w:tc>
          <w:tcPr>
            <w:tcW w:w="4172" w:type="dxa"/>
          </w:tcPr>
          <w:p w:rsidR="006B3920" w:rsidRDefault="00F03D64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  <w:t>July 2010</w:t>
            </w:r>
          </w:p>
          <w:p w:rsidR="00F03D64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 w:rsidRPr="00F03D64">
              <w:rPr>
                <w:rStyle w:val="Stro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Pre-Existing Condition Insurance Plan (PCIP):</w:t>
            </w:r>
            <w:r w:rsidRPr="00F03D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This program </w:t>
            </w:r>
            <w:proofErr w:type="gramStart"/>
            <w:r w:rsidRPr="00F03D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is designed</w:t>
            </w:r>
            <w:proofErr w:type="gramEnd"/>
            <w:r w:rsidRPr="00F03D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to make health insurance available to those that have been denied coverage by private insurance companies because of a pre-existing condition.</w:t>
            </w:r>
          </w:p>
        </w:tc>
        <w:tc>
          <w:tcPr>
            <w:tcW w:w="3928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3150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2425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</w:tr>
      <w:tr w:rsidR="006B3920" w:rsidTr="006B3920">
        <w:tc>
          <w:tcPr>
            <w:tcW w:w="4172" w:type="dxa"/>
          </w:tcPr>
          <w:p w:rsidR="006B3920" w:rsidRDefault="00F03D64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  <w:t>September 2010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Closing the coverage gap in </w:t>
            </w:r>
            <w:hyperlink r:id="rId7" w:tgtFrame="_blank" w:history="1">
              <w:r w:rsidRPr="009C1AC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Medicare Part D </w:t>
              </w:r>
            </w:hyperlink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(prescription drug </w:t>
            </w: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coverage): 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Seniors are entitled to receive a $250 rebate to close the coverage gap.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Health insurance consumer information: 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government website </w:t>
            </w:r>
            <w:proofErr w:type="gramStart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 created</w:t>
            </w:r>
            <w:proofErr w:type="gramEnd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 allow people to search for information about health insurance companies, available plans, and so on.</w:t>
            </w:r>
          </w:p>
          <w:p w:rsidR="00F03D64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No pre-existing conditions coverage exclusions for </w:t>
            </w:r>
            <w:proofErr w:type="spellStart"/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children</w:t>
            </w:r>
            <w:proofErr w:type="gramStart"/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proofErr w:type="spellEnd"/>
            <w:proofErr w:type="gramEnd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law indicates that insurers are not permitted to exclude pre-existing conditions from coverage.</w:t>
            </w:r>
          </w:p>
        </w:tc>
        <w:tc>
          <w:tcPr>
            <w:tcW w:w="3928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3150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2425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</w:tr>
      <w:tr w:rsidR="006B3920" w:rsidTr="006B3920">
        <w:tc>
          <w:tcPr>
            <w:tcW w:w="4172" w:type="dxa"/>
          </w:tcPr>
          <w:p w:rsidR="006B3920" w:rsidRDefault="00F03D64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  <w:t>2011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Patient protections for all new plans: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This provision protects patients’ choice of doctors by allowing plan members to pick any participating primary care provider, prohibiting insurers from requiring prior authorization before a woman sees an obstetrician/gynecologist (</w:t>
            </w:r>
            <w:proofErr w:type="spellStart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</w:t>
            </w:r>
            <w:proofErr w:type="spellEnd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gyn</w:t>
            </w:r>
            <w:proofErr w:type="spellEnd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and ensuring access to emergency care.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Extension of dependent coverage for young adults: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Young adults can stay on 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their parents’ insurance until age 26, even if they are not full-time students. This extension applies to all new plans.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“First-dollar” prevention benefits: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All new health insurance policies must cover preventive care and pay a portion of all preventive care visits.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 lifetime limits on coverage: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This eliminates any maximum dollar amount that a health insurance company agrees to pay on behalf of a member for covered services during the course of his or her lifetime.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Restricted annual limits on coverage: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This eliminates any limits or maximum payouts from the health insurance company.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Prohibits rescission: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The ACA prohibits rescission when </w:t>
            </w:r>
            <w:proofErr w:type="gramStart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claim is filed, except in the case of fraud or misrepresentation by the consumer</w:t>
            </w:r>
            <w:proofErr w:type="gramEnd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03D64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Appeals process: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When a consumer has a problem with his or her coverage, the insurance company must provide a process for customers to make an appeal.</w:t>
            </w:r>
            <w:r w:rsidRPr="009C1A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28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3150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2425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</w:tr>
      <w:tr w:rsidR="006B3920" w:rsidTr="006B3920">
        <w:tc>
          <w:tcPr>
            <w:tcW w:w="4172" w:type="dxa"/>
          </w:tcPr>
          <w:p w:rsidR="006B3920" w:rsidRPr="00F03D64" w:rsidRDefault="00F03D64" w:rsidP="00356C00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 w:rsidRPr="00F03D64"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2014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October 1, 2013: Health insurance exchanges scheduled to open for 2014 enrollment: 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Begin writing policies that go into effect January 1 of the coming year.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January 2014: Federal subsidies for health insurance coverage: 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People buying insurance on their own get subsidies to help them pay their monthly insurance</w:t>
            </w: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premiums. Premiums </w:t>
            </w:r>
            <w:proofErr w:type="gramStart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are allocated</w:t>
            </w:r>
            <w:proofErr w:type="gramEnd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 a sliding scale, as determined by income. Any individual earning over 400% of the poverty level ($43,320 in 2009) </w:t>
            </w:r>
            <w:proofErr w:type="gramStart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doesn’t</w:t>
            </w:r>
            <w:proofErr w:type="gramEnd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qualify for subsidies.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January 2014: Small business tax credits: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When health insurance exchanges are operational, tax credits are up to 50% of premiums.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January 2014: No restrictions on pre-existing conditions: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Insurance companies are required to provide health insurance to any adult aged 19 to 64 who applies for coverage.</w:t>
            </w:r>
          </w:p>
          <w:p w:rsidR="00F03D64" w:rsidRPr="009C1AC3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January 2014: Requirement to buy health insurance: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To prevent people from waiting until they get sick to buy health insurance, the ACA requires all 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Americans to buy health insurance or pay a fine. The fine starts at $95 for an individual in 2014 and goes up each year until 2016, when the fine is the largest of the following two</w:t>
            </w:r>
            <w:proofErr w:type="gramStart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:$</w:t>
            </w:r>
            <w:proofErr w:type="gramEnd"/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695 or 2.5% of a person’s annual income.</w:t>
            </w:r>
          </w:p>
          <w:p w:rsidR="00F03D64" w:rsidRDefault="00F03D64" w:rsidP="00F03D6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 w:rsidRPr="009C1A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January 2014: High-Risk Insurance Pools Expire: </w:t>
            </w:r>
            <w:r w:rsidRPr="009C1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Pre-Existing Condition Insurance Plans (PCIPs), established in 2010 are scheduled to expire on January 1, 2014 once all of the major ACA reforms were in effect.</w:t>
            </w:r>
          </w:p>
        </w:tc>
        <w:tc>
          <w:tcPr>
            <w:tcW w:w="3928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3150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2425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</w:tr>
      <w:tr w:rsidR="006B3920" w:rsidTr="006B3920">
        <w:tc>
          <w:tcPr>
            <w:tcW w:w="4172" w:type="dxa"/>
          </w:tcPr>
          <w:p w:rsidR="00F03D64" w:rsidRDefault="00F03D64" w:rsidP="00F03D64">
            <w:pPr>
              <w:shd w:val="clear" w:color="auto" w:fill="FFFFFF"/>
              <w:rPr>
                <w:rStyle w:val="Stro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2016</w:t>
            </w:r>
          </w:p>
          <w:p w:rsidR="00F03D64" w:rsidRPr="00F03D64" w:rsidRDefault="00F03D64" w:rsidP="00F03D64">
            <w:pPr>
              <w:shd w:val="clear" w:color="auto" w:fill="FFFFFF"/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 w:rsidRPr="00F03D64">
              <w:rPr>
                <w:rStyle w:val="Stro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January 1, 2016: </w:t>
            </w:r>
            <w:r w:rsidRPr="00F03D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The threshold for itemizing medical expenses on taxes increases from 7.5% to 10% for seniors.</w:t>
            </w:r>
          </w:p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3928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3150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2425" w:type="dxa"/>
          </w:tcPr>
          <w:p w:rsidR="006B3920" w:rsidRDefault="006B3920" w:rsidP="00356C00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</w:tr>
    </w:tbl>
    <w:p w:rsidR="009C1AC3" w:rsidRPr="009C1AC3" w:rsidRDefault="009C1AC3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9C1AC3" w:rsidRPr="009C1AC3" w:rsidRDefault="009C1AC3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6B3920" w:rsidRDefault="006B3920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>Discussion questions:</w:t>
      </w:r>
    </w:p>
    <w:p w:rsidR="006B3920" w:rsidRDefault="006B3920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6B3920" w:rsidRDefault="006B3920" w:rsidP="006B3920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>What public health surveillance systems would capture information about health insurance coverage?</w:t>
      </w:r>
    </w:p>
    <w:p w:rsidR="006B3920" w:rsidRDefault="00F03D64" w:rsidP="006B3920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>What effect does health insurance coverage have on health behaviors?</w:t>
      </w:r>
    </w:p>
    <w:p w:rsidR="00F03D64" w:rsidRDefault="00F03D64" w:rsidP="003D488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D488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D488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D488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D488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D488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D488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D488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D488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D488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6B3920" w:rsidRDefault="006B3920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6B3920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 xml:space="preserve">II. </w:t>
      </w:r>
      <w:r w:rsidRPr="003D488C">
        <w:rPr>
          <w:rFonts w:ascii="Times New Roman" w:eastAsia="Times New Roman" w:hAnsi="Times New Roman" w:cs="Times New Roman"/>
          <w:b/>
          <w:color w:val="283C46"/>
          <w:sz w:val="24"/>
          <w:szCs w:val="24"/>
        </w:rPr>
        <w:t xml:space="preserve">Measuring </w:t>
      </w:r>
      <w:proofErr w:type="gramStart"/>
      <w:r w:rsidRPr="003D488C">
        <w:rPr>
          <w:rFonts w:ascii="Times New Roman" w:eastAsia="Times New Roman" w:hAnsi="Times New Roman" w:cs="Times New Roman"/>
          <w:b/>
          <w:color w:val="283C46"/>
          <w:sz w:val="24"/>
          <w:szCs w:val="24"/>
        </w:rPr>
        <w:t>impacts</w:t>
      </w:r>
      <w:proofErr w:type="gramEnd"/>
      <w:r w:rsidRPr="003D488C">
        <w:rPr>
          <w:rFonts w:ascii="Times New Roman" w:eastAsia="Times New Roman" w:hAnsi="Times New Roman" w:cs="Times New Roman"/>
          <w:b/>
          <w:color w:val="283C46"/>
          <w:sz w:val="24"/>
          <w:szCs w:val="24"/>
        </w:rPr>
        <w:t xml:space="preserve"> of investments in primary care</w:t>
      </w:r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tbl>
      <w:tblPr>
        <w:tblStyle w:val="TableGrid"/>
        <w:tblW w:w="0" w:type="auto"/>
        <w:tblInd w:w="-725" w:type="dxa"/>
        <w:tblLook w:val="04A0" w:firstRow="1" w:lastRow="0" w:firstColumn="1" w:lastColumn="0" w:noHBand="0" w:noVBand="1"/>
      </w:tblPr>
      <w:tblGrid>
        <w:gridCol w:w="4172"/>
        <w:gridCol w:w="3928"/>
        <w:gridCol w:w="3150"/>
        <w:gridCol w:w="2425"/>
      </w:tblGrid>
      <w:tr w:rsidR="003D488C" w:rsidRPr="006B3920" w:rsidTr="00FE0F56">
        <w:tc>
          <w:tcPr>
            <w:tcW w:w="4172" w:type="dxa"/>
          </w:tcPr>
          <w:p w:rsidR="003D488C" w:rsidRPr="006B3920" w:rsidRDefault="003D488C" w:rsidP="00FE0F56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 w:rsidRPr="006B3920"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Milestone</w:t>
            </w:r>
          </w:p>
        </w:tc>
        <w:tc>
          <w:tcPr>
            <w:tcW w:w="3928" w:type="dxa"/>
          </w:tcPr>
          <w:p w:rsidR="003D488C" w:rsidRPr="006B3920" w:rsidRDefault="003D488C" w:rsidP="00FE0F56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 w:rsidRPr="006B3920"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Possible impact</w:t>
            </w:r>
          </w:p>
        </w:tc>
        <w:tc>
          <w:tcPr>
            <w:tcW w:w="3150" w:type="dxa"/>
          </w:tcPr>
          <w:p w:rsidR="003D488C" w:rsidRPr="006B3920" w:rsidRDefault="003D488C" w:rsidP="00FE0F56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 w:rsidRPr="006B3920"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PH surveillance data</w:t>
            </w:r>
          </w:p>
        </w:tc>
        <w:tc>
          <w:tcPr>
            <w:tcW w:w="2425" w:type="dxa"/>
          </w:tcPr>
          <w:p w:rsidR="003D488C" w:rsidRPr="006B3920" w:rsidRDefault="003D488C" w:rsidP="00FE0F56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Possible public health impact</w:t>
            </w:r>
          </w:p>
        </w:tc>
      </w:tr>
      <w:tr w:rsidR="003D488C" w:rsidTr="00FE0F56">
        <w:tc>
          <w:tcPr>
            <w:tcW w:w="4172" w:type="dxa"/>
          </w:tcPr>
          <w:p w:rsidR="003D488C" w:rsidRDefault="003D488C" w:rsidP="00FE0F56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  <w:t>Increased state investment in primary care</w:t>
            </w:r>
          </w:p>
        </w:tc>
        <w:tc>
          <w:tcPr>
            <w:tcW w:w="3928" w:type="dxa"/>
          </w:tcPr>
          <w:p w:rsidR="003D488C" w:rsidRDefault="003D488C" w:rsidP="00FE0F56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  <w:t>Increase access to primary care (increase in number of providers, increase in coverage of primary care services)</w:t>
            </w:r>
          </w:p>
          <w:p w:rsidR="003D488C" w:rsidRDefault="003D488C" w:rsidP="00FE0F56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3150" w:type="dxa"/>
          </w:tcPr>
          <w:p w:rsidR="003D488C" w:rsidRDefault="003D488C" w:rsidP="00FE0F56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2425" w:type="dxa"/>
          </w:tcPr>
          <w:p w:rsidR="003D488C" w:rsidRDefault="003D488C" w:rsidP="00FE0F56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</w:tr>
    </w:tbl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6B3920" w:rsidRDefault="006B3920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6B3920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>Discussion questions:</w:t>
      </w:r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9C1AC3" w:rsidRPr="009C1AC3" w:rsidRDefault="00356C00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83C46"/>
          <w:sz w:val="24"/>
          <w:szCs w:val="24"/>
        </w:rPr>
      </w:pPr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>Currently, what public health data and surveillance systems capture health outcomes tied to access to primary care? (</w:t>
      </w:r>
      <w:proofErr w:type="gramStart"/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>please</w:t>
      </w:r>
      <w:proofErr w:type="gramEnd"/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 xml:space="preserve"> refer to the January presentation for a definition of primary care) - </w:t>
      </w:r>
      <w:r w:rsidRPr="009C1AC3">
        <w:rPr>
          <w:rFonts w:ascii="Times New Roman" w:eastAsia="Times New Roman" w:hAnsi="Times New Roman" w:cs="Times New Roman"/>
          <w:b/>
          <w:bCs/>
          <w:color w:val="283C46"/>
          <w:sz w:val="24"/>
          <w:szCs w:val="24"/>
        </w:rPr>
        <w:t>ED visits</w:t>
      </w:r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> for ambulatory sensitive conditions, influenza </w:t>
      </w:r>
      <w:r w:rsidRPr="009C1AC3">
        <w:rPr>
          <w:rFonts w:ascii="Times New Roman" w:eastAsia="Times New Roman" w:hAnsi="Times New Roman" w:cs="Times New Roman"/>
          <w:b/>
          <w:bCs/>
          <w:color w:val="283C46"/>
          <w:sz w:val="24"/>
          <w:szCs w:val="24"/>
        </w:rPr>
        <w:t>hospitalizations</w:t>
      </w:r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 xml:space="preserve">, </w:t>
      </w:r>
      <w:proofErr w:type="gramStart"/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>maternal</w:t>
      </w:r>
      <w:proofErr w:type="gramEnd"/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> </w:t>
      </w:r>
      <w:r w:rsidRPr="009C1AC3">
        <w:rPr>
          <w:rFonts w:ascii="Times New Roman" w:eastAsia="Times New Roman" w:hAnsi="Times New Roman" w:cs="Times New Roman"/>
          <w:b/>
          <w:bCs/>
          <w:color w:val="283C46"/>
          <w:sz w:val="24"/>
          <w:szCs w:val="24"/>
        </w:rPr>
        <w:t>mortality</w:t>
      </w:r>
    </w:p>
    <w:p w:rsidR="009C1AC3" w:rsidRPr="009C1AC3" w:rsidRDefault="009C1AC3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83C46"/>
          <w:sz w:val="24"/>
          <w:szCs w:val="24"/>
        </w:rPr>
      </w:pPr>
    </w:p>
    <w:p w:rsidR="00356C00" w:rsidRPr="00356C00" w:rsidRDefault="00356C00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 xml:space="preserve">What conditions (chronic, injury, acute) </w:t>
      </w:r>
      <w:proofErr w:type="gramStart"/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>will be most affected</w:t>
      </w:r>
      <w:proofErr w:type="gramEnd"/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 xml:space="preserve"> by increases in primary care spending or access? - </w:t>
      </w:r>
      <w:proofErr w:type="gramStart"/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>prevention</w:t>
      </w:r>
      <w:proofErr w:type="gramEnd"/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 xml:space="preserve"> of chronic conditions like diabetes, heart disease</w:t>
      </w:r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br/>
      </w:r>
    </w:p>
    <w:p w:rsidR="00356C00" w:rsidRPr="00356C00" w:rsidRDefault="00356C00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t xml:space="preserve"> What population subgroups would benefit the most by increases in access to primary care providers? - low income, no insurance</w:t>
      </w:r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br/>
      </w:r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br/>
        <w:t>How can state and local health departments present public health data in a way that shows how primary care spending impacts public health?</w:t>
      </w:r>
      <w:r w:rsidRPr="00356C00">
        <w:rPr>
          <w:rFonts w:ascii="Times New Roman" w:eastAsia="Times New Roman" w:hAnsi="Times New Roman" w:cs="Times New Roman"/>
          <w:color w:val="283C46"/>
          <w:sz w:val="24"/>
          <w:szCs w:val="24"/>
        </w:rPr>
        <w:br/>
      </w:r>
    </w:p>
    <w:p w:rsidR="003D488C" w:rsidRP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83C46"/>
          <w:sz w:val="24"/>
          <w:szCs w:val="24"/>
        </w:rPr>
      </w:pPr>
    </w:p>
    <w:p w:rsidR="003D488C" w:rsidRP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83C46"/>
          <w:sz w:val="24"/>
          <w:szCs w:val="24"/>
        </w:rPr>
        <w:t>III. Measuring impact</w:t>
      </w:r>
      <w:r w:rsidRPr="003D488C">
        <w:rPr>
          <w:rFonts w:ascii="Times New Roman" w:eastAsia="Times New Roman" w:hAnsi="Times New Roman" w:cs="Times New Roman"/>
          <w:b/>
          <w:color w:val="283C46"/>
          <w:sz w:val="24"/>
          <w:szCs w:val="24"/>
        </w:rPr>
        <w:t xml:space="preserve"> of hospital closures in rural areas</w:t>
      </w:r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tbl>
      <w:tblPr>
        <w:tblStyle w:val="TableGrid"/>
        <w:tblW w:w="0" w:type="auto"/>
        <w:tblInd w:w="-725" w:type="dxa"/>
        <w:tblLook w:val="04A0" w:firstRow="1" w:lastRow="0" w:firstColumn="1" w:lastColumn="0" w:noHBand="0" w:noVBand="1"/>
      </w:tblPr>
      <w:tblGrid>
        <w:gridCol w:w="4172"/>
        <w:gridCol w:w="3928"/>
        <w:gridCol w:w="3150"/>
        <w:gridCol w:w="2425"/>
      </w:tblGrid>
      <w:tr w:rsidR="003D488C" w:rsidRPr="006B3920" w:rsidTr="00FE0F56">
        <w:tc>
          <w:tcPr>
            <w:tcW w:w="4172" w:type="dxa"/>
          </w:tcPr>
          <w:p w:rsidR="003D488C" w:rsidRPr="006B3920" w:rsidRDefault="003D488C" w:rsidP="00FE0F56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Event or activity</w:t>
            </w:r>
          </w:p>
        </w:tc>
        <w:tc>
          <w:tcPr>
            <w:tcW w:w="3928" w:type="dxa"/>
          </w:tcPr>
          <w:p w:rsidR="003D488C" w:rsidRPr="006B3920" w:rsidRDefault="003D488C" w:rsidP="00FE0F56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 w:rsidRPr="006B3920"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Possible impact</w:t>
            </w:r>
          </w:p>
        </w:tc>
        <w:tc>
          <w:tcPr>
            <w:tcW w:w="3150" w:type="dxa"/>
          </w:tcPr>
          <w:p w:rsidR="003D488C" w:rsidRPr="006B3920" w:rsidRDefault="003D488C" w:rsidP="00FE0F56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 w:rsidRPr="006B3920"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PH surveillance data</w:t>
            </w:r>
          </w:p>
        </w:tc>
        <w:tc>
          <w:tcPr>
            <w:tcW w:w="2425" w:type="dxa"/>
          </w:tcPr>
          <w:p w:rsidR="003D488C" w:rsidRPr="006B3920" w:rsidRDefault="003D488C" w:rsidP="00FE0F56">
            <w:pP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83C46"/>
                <w:sz w:val="24"/>
                <w:szCs w:val="24"/>
              </w:rPr>
              <w:t>Possible public health impact</w:t>
            </w:r>
          </w:p>
        </w:tc>
      </w:tr>
      <w:tr w:rsidR="003D488C" w:rsidTr="00FE0F56">
        <w:tc>
          <w:tcPr>
            <w:tcW w:w="4172" w:type="dxa"/>
          </w:tcPr>
          <w:p w:rsidR="003D488C" w:rsidRDefault="003D488C" w:rsidP="00FE0F56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3928" w:type="dxa"/>
          </w:tcPr>
          <w:p w:rsidR="003D488C" w:rsidRDefault="003D488C" w:rsidP="00FE0F56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3150" w:type="dxa"/>
          </w:tcPr>
          <w:p w:rsidR="003D488C" w:rsidRDefault="003D488C" w:rsidP="00FE0F56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  <w:tc>
          <w:tcPr>
            <w:tcW w:w="2425" w:type="dxa"/>
          </w:tcPr>
          <w:p w:rsidR="003D488C" w:rsidRDefault="003D488C" w:rsidP="00FE0F56">
            <w:pPr>
              <w:rPr>
                <w:rFonts w:ascii="Times New Roman" w:eastAsia="Times New Roman" w:hAnsi="Times New Roman" w:cs="Times New Roman"/>
                <w:color w:val="283C46"/>
                <w:sz w:val="24"/>
                <w:szCs w:val="24"/>
              </w:rPr>
            </w:pPr>
          </w:p>
        </w:tc>
      </w:tr>
    </w:tbl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>IV. Measuring the impact of lower insulin costs</w:t>
      </w:r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 xml:space="preserve">V.  Measuring impact of coverage of </w:t>
      </w:r>
      <w:proofErr w:type="spellStart"/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>Hep</w:t>
      </w:r>
      <w:proofErr w:type="spellEnd"/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 xml:space="preserve"> C medications</w:t>
      </w:r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 xml:space="preserve">What approach is most beneficial for PHHC for </w:t>
      </w:r>
      <w:proofErr w:type="gramStart"/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>members:</w:t>
      </w:r>
      <w:proofErr w:type="gramEnd"/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3D488C" w:rsidRDefault="003D488C" w:rsidP="003D488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>Putting together articles that highlight measurements of impacts of health care system changes – lit reviews, resource list</w:t>
      </w:r>
    </w:p>
    <w:p w:rsidR="003D488C" w:rsidRDefault="003D488C" w:rsidP="003D488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 xml:space="preserve">Group project </w:t>
      </w:r>
      <w:r w:rsidR="00752A3C">
        <w:rPr>
          <w:rFonts w:ascii="Times New Roman" w:eastAsia="Times New Roman" w:hAnsi="Times New Roman" w:cs="Times New Roman"/>
          <w:color w:val="283C46"/>
          <w:sz w:val="24"/>
          <w:szCs w:val="24"/>
        </w:rPr>
        <w:t>on a particular topic area</w:t>
      </w:r>
    </w:p>
    <w:p w:rsidR="00752A3C" w:rsidRDefault="00752A3C" w:rsidP="003D488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r>
        <w:rPr>
          <w:rFonts w:ascii="Times New Roman" w:eastAsia="Times New Roman" w:hAnsi="Times New Roman" w:cs="Times New Roman"/>
          <w:color w:val="283C46"/>
          <w:sz w:val="24"/>
          <w:szCs w:val="24"/>
        </w:rPr>
        <w:t>Presentations from guest speakers who have done analyses examining the impact of health care system changes using public health data</w:t>
      </w:r>
    </w:p>
    <w:p w:rsidR="00752A3C" w:rsidRDefault="00752A3C" w:rsidP="00752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752A3C" w:rsidRPr="00752A3C" w:rsidRDefault="00752A3C" w:rsidP="00752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  <w:bookmarkStart w:id="0" w:name="_GoBack"/>
      <w:bookmarkEnd w:id="0"/>
    </w:p>
    <w:p w:rsidR="003D488C" w:rsidRDefault="003D488C" w:rsidP="00356C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3C46"/>
          <w:sz w:val="24"/>
          <w:szCs w:val="24"/>
        </w:rPr>
      </w:pPr>
    </w:p>
    <w:p w:rsidR="00614483" w:rsidRPr="009C1AC3" w:rsidRDefault="00614483">
      <w:pPr>
        <w:rPr>
          <w:rFonts w:ascii="Times New Roman" w:hAnsi="Times New Roman" w:cs="Times New Roman"/>
        </w:rPr>
      </w:pPr>
    </w:p>
    <w:p w:rsidR="009C1AC3" w:rsidRPr="009C1AC3" w:rsidRDefault="009C1AC3">
      <w:pPr>
        <w:rPr>
          <w:rFonts w:ascii="Times New Roman" w:hAnsi="Times New Roman" w:cs="Times New Roman"/>
        </w:rPr>
      </w:pPr>
    </w:p>
    <w:sectPr w:rsidR="009C1AC3" w:rsidRPr="009C1AC3" w:rsidSect="006B3920">
      <w:headerReference w:type="default" r:id="rId8"/>
      <w:pgSz w:w="15840" w:h="12240" w:orient="landscape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AC3" w:rsidRDefault="009C1AC3" w:rsidP="009C1AC3">
      <w:pPr>
        <w:spacing w:after="0" w:line="240" w:lineRule="auto"/>
      </w:pPr>
      <w:r>
        <w:separator/>
      </w:r>
    </w:p>
  </w:endnote>
  <w:endnote w:type="continuationSeparator" w:id="0">
    <w:p w:rsidR="009C1AC3" w:rsidRDefault="009C1AC3" w:rsidP="009C1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AC3" w:rsidRDefault="009C1AC3" w:rsidP="009C1AC3">
      <w:pPr>
        <w:spacing w:after="0" w:line="240" w:lineRule="auto"/>
      </w:pPr>
      <w:r>
        <w:separator/>
      </w:r>
    </w:p>
  </w:footnote>
  <w:footnote w:type="continuationSeparator" w:id="0">
    <w:p w:rsidR="009C1AC3" w:rsidRDefault="009C1AC3" w:rsidP="009C1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AC3" w:rsidRDefault="009C1AC3">
    <w:pPr>
      <w:pStyle w:val="Header"/>
    </w:pPr>
    <w:r>
      <w:t>PHHC call 2/13/2020</w:t>
    </w:r>
  </w:p>
  <w:p w:rsidR="009C1AC3" w:rsidRDefault="009C1A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E5A37"/>
    <w:multiLevelType w:val="hybridMultilevel"/>
    <w:tmpl w:val="903E2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D061C"/>
    <w:multiLevelType w:val="multilevel"/>
    <w:tmpl w:val="0040E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C3EFF"/>
    <w:multiLevelType w:val="hybridMultilevel"/>
    <w:tmpl w:val="1BA8507E"/>
    <w:lvl w:ilvl="0" w:tplc="95A8DF96">
      <w:start w:val="9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3C1315"/>
    <w:multiLevelType w:val="multilevel"/>
    <w:tmpl w:val="6DE2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2C3B49"/>
    <w:multiLevelType w:val="multilevel"/>
    <w:tmpl w:val="24DC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C252B"/>
    <w:multiLevelType w:val="multilevel"/>
    <w:tmpl w:val="2B5C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9505A6"/>
    <w:multiLevelType w:val="multilevel"/>
    <w:tmpl w:val="A38EF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CE4D3D"/>
    <w:multiLevelType w:val="hybridMultilevel"/>
    <w:tmpl w:val="EA2C2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9414F"/>
    <w:multiLevelType w:val="hybridMultilevel"/>
    <w:tmpl w:val="73A623B0"/>
    <w:lvl w:ilvl="0" w:tplc="5AF26BA8">
      <w:start w:val="2010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C00"/>
    <w:rsid w:val="00356C00"/>
    <w:rsid w:val="003D488C"/>
    <w:rsid w:val="00614483"/>
    <w:rsid w:val="006B3920"/>
    <w:rsid w:val="00752A3C"/>
    <w:rsid w:val="009C1AC3"/>
    <w:rsid w:val="00E81A1A"/>
    <w:rsid w:val="00F0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40421"/>
  <w15:chartTrackingRefBased/>
  <w15:docId w15:val="{68ACF8F9-CC57-47B3-983A-A6B07DE6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56C0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C1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AC3"/>
  </w:style>
  <w:style w:type="paragraph" w:styleId="Footer">
    <w:name w:val="footer"/>
    <w:basedOn w:val="Normal"/>
    <w:link w:val="FooterChar"/>
    <w:uiPriority w:val="99"/>
    <w:unhideWhenUsed/>
    <w:rsid w:val="009C1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AC3"/>
  </w:style>
  <w:style w:type="paragraph" w:styleId="ListParagraph">
    <w:name w:val="List Paragraph"/>
    <w:basedOn w:val="Normal"/>
    <w:uiPriority w:val="34"/>
    <w:qFormat/>
    <w:rsid w:val="009C1AC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C1AC3"/>
    <w:rPr>
      <w:i/>
      <w:iCs/>
    </w:rPr>
  </w:style>
  <w:style w:type="table" w:styleId="TableGrid">
    <w:name w:val="Table Grid"/>
    <w:basedOn w:val="TableNormal"/>
    <w:uiPriority w:val="39"/>
    <w:rsid w:val="006B3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healthmedicare.com/medicare-part-d-prescrip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8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Technology Solutions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Stahre</dc:creator>
  <cp:keywords/>
  <dc:description/>
  <cp:lastModifiedBy>Mandy Stahre</cp:lastModifiedBy>
  <cp:revision>2</cp:revision>
  <dcterms:created xsi:type="dcterms:W3CDTF">2020-02-10T22:55:00Z</dcterms:created>
  <dcterms:modified xsi:type="dcterms:W3CDTF">2020-02-12T19:19:00Z</dcterms:modified>
</cp:coreProperties>
</file>