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7335C" w14:textId="77777777" w:rsidR="00B108D8" w:rsidRPr="00A43B06" w:rsidRDefault="00B108D8" w:rsidP="00B108D8">
      <w:pPr>
        <w:rPr>
          <w:rFonts w:cs="Arial"/>
          <w:b/>
          <w:bCs/>
          <w:sz w:val="20"/>
          <w:u w:val="single"/>
        </w:rPr>
      </w:pPr>
      <w:r w:rsidRPr="00A43B06">
        <w:rPr>
          <w:rFonts w:cs="Arial"/>
          <w:b/>
          <w:bCs/>
          <w:sz w:val="20"/>
          <w:u w:val="single"/>
        </w:rPr>
        <w:t>VII. Case Definition for Case Classification</w:t>
      </w:r>
    </w:p>
    <w:p w14:paraId="5D8A0552" w14:textId="77777777" w:rsidR="00B108D8" w:rsidRPr="001B23EE" w:rsidRDefault="00B108D8" w:rsidP="00B108D8">
      <w:pPr>
        <w:rPr>
          <w:b/>
          <w:sz w:val="20"/>
        </w:rPr>
      </w:pPr>
    </w:p>
    <w:p w14:paraId="12FAFDC6" w14:textId="77777777" w:rsidR="00B108D8" w:rsidRPr="001B23EE" w:rsidRDefault="00B108D8" w:rsidP="00B108D8">
      <w:pPr>
        <w:rPr>
          <w:b/>
          <w:sz w:val="20"/>
        </w:rPr>
      </w:pPr>
      <w:r w:rsidRPr="001B23EE">
        <w:rPr>
          <w:b/>
          <w:sz w:val="20"/>
        </w:rPr>
        <w:t>A. Narrative:</w:t>
      </w:r>
      <w:r w:rsidRPr="001B23EE">
        <w:rPr>
          <w:rFonts w:cs="Arial"/>
          <w:b/>
          <w:bCs/>
          <w:sz w:val="20"/>
        </w:rPr>
        <w:t xml:space="preserve"> Description of criteria to determine how a case should be classified.</w:t>
      </w:r>
    </w:p>
    <w:p w14:paraId="41E65D63" w14:textId="77777777" w:rsidR="00B108D8" w:rsidRPr="006B239F" w:rsidRDefault="00B108D8" w:rsidP="00B108D8">
      <w:pPr>
        <w:rPr>
          <w:color w:val="0000FF"/>
          <w:sz w:val="16"/>
        </w:rPr>
      </w:pPr>
      <w:r w:rsidRPr="006B239F">
        <w:rPr>
          <w:color w:val="0000FF"/>
          <w:sz w:val="16"/>
        </w:rPr>
        <w:t>Describe the criteria to be used in the case definition in</w:t>
      </w:r>
      <w:r>
        <w:rPr>
          <w:color w:val="0000FF"/>
          <w:sz w:val="16"/>
        </w:rPr>
        <w:t xml:space="preserve"> the</w:t>
      </w:r>
      <w:r w:rsidRPr="006B239F">
        <w:rPr>
          <w:color w:val="0000FF"/>
          <w:sz w:val="16"/>
        </w:rPr>
        <w:t xml:space="preserve"> separately labeled sections</w:t>
      </w:r>
      <w:r>
        <w:rPr>
          <w:color w:val="0000FF"/>
          <w:sz w:val="16"/>
        </w:rPr>
        <w:t xml:space="preserve"> below.</w:t>
      </w:r>
      <w:r w:rsidRPr="007E5D8F">
        <w:rPr>
          <w:color w:val="0000FF"/>
          <w:sz w:val="16"/>
        </w:rPr>
        <w:t xml:space="preserve"> </w:t>
      </w:r>
      <w:r w:rsidRPr="006B239F">
        <w:rPr>
          <w:color w:val="0000FF"/>
          <w:sz w:val="16"/>
        </w:rPr>
        <w:t>Stratify as appropriate, providing criteria for: complete clinical presentation vs. a “clinically compatible” case; laboratory confirmed vs. supportive laboratory results</w:t>
      </w:r>
      <w:proofErr w:type="gramStart"/>
      <w:r w:rsidRPr="006B239F">
        <w:rPr>
          <w:color w:val="0000FF"/>
          <w:sz w:val="16"/>
        </w:rPr>
        <w:t>;</w:t>
      </w:r>
      <w:proofErr w:type="gramEnd"/>
      <w:r w:rsidRPr="006B239F">
        <w:rPr>
          <w:color w:val="0000FF"/>
          <w:sz w:val="16"/>
        </w:rPr>
        <w:t xml:space="preserve"> epidemiologic linkage to a laboratory-confirmed case vs. epidemiologic linkage to any other case.</w:t>
      </w:r>
      <w:r>
        <w:rPr>
          <w:color w:val="0000FF"/>
          <w:sz w:val="16"/>
        </w:rPr>
        <w:t xml:space="preserve"> </w:t>
      </w:r>
    </w:p>
    <w:p w14:paraId="3D996B3E" w14:textId="77777777" w:rsidR="00B108D8" w:rsidRPr="00AE5947" w:rsidRDefault="00B108D8" w:rsidP="00B108D8">
      <w:pPr>
        <w:rPr>
          <w:rFonts w:cs="Arial"/>
          <w:b/>
          <w:bCs/>
          <w:sz w:val="20"/>
        </w:rPr>
      </w:pPr>
    </w:p>
    <w:p w14:paraId="41B3FFEA" w14:textId="77777777" w:rsidR="00B108D8" w:rsidRPr="00AE5947" w:rsidRDefault="00B108D8" w:rsidP="00B108D8">
      <w:pPr>
        <w:rPr>
          <w:rFonts w:cs="Arial"/>
          <w:b/>
          <w:bCs/>
          <w:sz w:val="20"/>
        </w:rPr>
      </w:pPr>
      <w:r w:rsidRPr="00AE5947">
        <w:rPr>
          <w:rFonts w:cs="Arial"/>
          <w:b/>
          <w:bCs/>
          <w:sz w:val="20"/>
        </w:rPr>
        <w:t>Clinical Criteria</w:t>
      </w:r>
    </w:p>
    <w:p w14:paraId="316D9E68" w14:textId="584BA140" w:rsidR="00B108D8" w:rsidRDefault="00B108D8" w:rsidP="00B108D8">
      <w:r w:rsidRPr="005A165D">
        <w:t xml:space="preserve">Any reported fever and </w:t>
      </w:r>
      <w:r>
        <w:t>two</w:t>
      </w:r>
      <w:r w:rsidRPr="005A165D">
        <w:t xml:space="preserve"> or more of the following</w:t>
      </w:r>
      <w:r>
        <w:t xml:space="preserve">: </w:t>
      </w:r>
      <w:r w:rsidRPr="005A165D">
        <w:t xml:space="preserve">rash, </w:t>
      </w:r>
      <w:proofErr w:type="spellStart"/>
      <w:r w:rsidRPr="005A165D">
        <w:t>eschar</w:t>
      </w:r>
      <w:proofErr w:type="spellEnd"/>
      <w:r w:rsidRPr="005A165D">
        <w:t>, headache, myalgia</w:t>
      </w:r>
      <w:r>
        <w:t xml:space="preserve">, </w:t>
      </w:r>
      <w:r w:rsidRPr="001A3F3D">
        <w:rPr>
          <w:b/>
        </w:rPr>
        <w:t>nausea, vomiting</w:t>
      </w:r>
      <w:r>
        <w:t xml:space="preserve">, </w:t>
      </w:r>
      <w:r w:rsidRPr="001A3F3D">
        <w:rPr>
          <w:b/>
        </w:rPr>
        <w:t>lack of appetite</w:t>
      </w:r>
      <w:r>
        <w:rPr>
          <w:b/>
        </w:rPr>
        <w:t>,</w:t>
      </w:r>
      <w:r>
        <w:t xml:space="preserve"> </w:t>
      </w:r>
      <w:r w:rsidRPr="001A3F3D">
        <w:rPr>
          <w:b/>
        </w:rPr>
        <w:t>malaise, fatigue, lethargy</w:t>
      </w:r>
      <w:r>
        <w:t xml:space="preserve">, </w:t>
      </w:r>
      <w:r w:rsidRPr="005A165D">
        <w:t>anemia,</w:t>
      </w:r>
      <w:r>
        <w:t xml:space="preserve"> </w:t>
      </w:r>
      <w:r w:rsidRPr="001A3F3D">
        <w:rPr>
          <w:b/>
        </w:rPr>
        <w:t>acute renal failure</w:t>
      </w:r>
      <w:r>
        <w:t xml:space="preserve">, </w:t>
      </w:r>
      <w:proofErr w:type="spellStart"/>
      <w:r w:rsidR="00847545" w:rsidRPr="00847545">
        <w:rPr>
          <w:b/>
          <w:highlight w:val="yellow"/>
        </w:rPr>
        <w:t>hyponatremia</w:t>
      </w:r>
      <w:proofErr w:type="spellEnd"/>
      <w:r w:rsidR="00847545">
        <w:t xml:space="preserve">, </w:t>
      </w:r>
      <w:r w:rsidRPr="005A165D">
        <w:t xml:space="preserve">thrombocytopenia, </w:t>
      </w:r>
      <w:r w:rsidRPr="001A3F3D">
        <w:rPr>
          <w:b/>
        </w:rPr>
        <w:t>leukopenia</w:t>
      </w:r>
      <w:r>
        <w:t xml:space="preserve">, </w:t>
      </w:r>
      <w:r w:rsidRPr="005A165D">
        <w:t>or any hepatic transaminase elevation.</w:t>
      </w:r>
      <w:r w:rsidR="00B45B57">
        <w:t xml:space="preserve"> </w:t>
      </w:r>
    </w:p>
    <w:p w14:paraId="5562D2EC" w14:textId="77777777" w:rsidR="00B108D8" w:rsidRPr="0012164C" w:rsidRDefault="00B108D8" w:rsidP="00B108D8">
      <w:pPr>
        <w:rPr>
          <w:rFonts w:cs="Arial"/>
          <w:b/>
          <w:bCs/>
          <w:sz w:val="20"/>
        </w:rPr>
      </w:pPr>
    </w:p>
    <w:p w14:paraId="4B428B17" w14:textId="77777777" w:rsidR="00B108D8" w:rsidRPr="0012164C" w:rsidRDefault="00B108D8" w:rsidP="00B108D8">
      <w:pPr>
        <w:rPr>
          <w:rFonts w:cs="Arial"/>
          <w:b/>
          <w:bCs/>
          <w:sz w:val="20"/>
        </w:rPr>
      </w:pPr>
      <w:r w:rsidRPr="0012164C">
        <w:rPr>
          <w:rFonts w:cs="Arial"/>
          <w:b/>
          <w:bCs/>
          <w:sz w:val="20"/>
        </w:rPr>
        <w:t>Laboratory Criteria</w:t>
      </w:r>
    </w:p>
    <w:p w14:paraId="52DEC5A6" w14:textId="77777777" w:rsidR="00B108D8" w:rsidRDefault="00B108D8" w:rsidP="00B108D8">
      <w:pPr>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47515868" w14:textId="77777777" w:rsidR="00B108D8" w:rsidRDefault="00B108D8" w:rsidP="00B108D8">
      <w:pPr>
        <w:pStyle w:val="ListParagraph"/>
        <w:numPr>
          <w:ilvl w:val="0"/>
          <w:numId w:val="1"/>
        </w:numPr>
        <w:spacing w:after="160" w:line="259" w:lineRule="auto"/>
      </w:pPr>
      <w:r>
        <w:t xml:space="preserve">Serological evidence of a fourfold </w:t>
      </w:r>
      <w:r w:rsidRPr="00BA57E7">
        <w:t xml:space="preserve">increase </w:t>
      </w:r>
      <w:r>
        <w:t>in immunoglobulin G (</w:t>
      </w:r>
      <w:proofErr w:type="spellStart"/>
      <w:r>
        <w:t>IgG</w:t>
      </w:r>
      <w:proofErr w:type="spellEnd"/>
      <w:r>
        <w:t xml:space="preserve">)-specific antibody titer reactive with spotted fever group </w:t>
      </w:r>
      <w:r w:rsidRPr="0047465E">
        <w:rPr>
          <w:i/>
        </w:rPr>
        <w:t>Rickettsia</w:t>
      </w:r>
      <w:r>
        <w:rPr>
          <w:i/>
        </w:rPr>
        <w:t>,</w:t>
      </w:r>
      <w:r w:rsidRPr="0047465E">
        <w:rPr>
          <w:i/>
        </w:rPr>
        <w:t xml:space="preserve"> </w:t>
      </w:r>
      <w:r>
        <w:t xml:space="preserve">including </w:t>
      </w:r>
      <w:r>
        <w:rPr>
          <w:i/>
        </w:rPr>
        <w:t xml:space="preserve">R. </w:t>
      </w:r>
      <w:proofErr w:type="spellStart"/>
      <w:r w:rsidRPr="0047465E">
        <w:rPr>
          <w:i/>
        </w:rPr>
        <w:t>rickettsii</w:t>
      </w:r>
      <w:proofErr w:type="spellEnd"/>
      <w:r>
        <w:rPr>
          <w:i/>
        </w:rPr>
        <w:t>,</w:t>
      </w:r>
      <w:r>
        <w:t xml:space="preserve"> antigen by indirect immunofluorescence assay (IFA) between paired serum specimens (one taken in the first week of illness and a second 2–4 weeks later), or </w:t>
      </w:r>
    </w:p>
    <w:p w14:paraId="16B9653A" w14:textId="77777777" w:rsidR="00B108D8" w:rsidRDefault="00B108D8" w:rsidP="00B108D8">
      <w:pPr>
        <w:pStyle w:val="ListParagraph"/>
        <w:numPr>
          <w:ilvl w:val="0"/>
          <w:numId w:val="1"/>
        </w:numPr>
        <w:spacing w:after="160" w:line="259" w:lineRule="auto"/>
      </w:pPr>
      <w:r>
        <w:t xml:space="preserve">Detection of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DNA in a clinical specimen via amplification of a species-specific target by PCR assay, or </w:t>
      </w:r>
    </w:p>
    <w:p w14:paraId="616D1492" w14:textId="77777777" w:rsidR="00B108D8" w:rsidRDefault="00B108D8" w:rsidP="00B108D8">
      <w:pPr>
        <w:pStyle w:val="ListParagraph"/>
        <w:numPr>
          <w:ilvl w:val="0"/>
          <w:numId w:val="1"/>
        </w:numPr>
        <w:spacing w:after="160" w:line="259" w:lineRule="auto"/>
      </w:pPr>
      <w:r>
        <w:t>Demonstration of spotted fever group antigen in a biopsy or autopsy specimen by IHC, or</w:t>
      </w:r>
    </w:p>
    <w:p w14:paraId="30BB0F37" w14:textId="248509CA" w:rsidR="00B108D8" w:rsidRPr="00882FFD" w:rsidRDefault="00B108D8" w:rsidP="00B108D8">
      <w:pPr>
        <w:pStyle w:val="ListParagraph"/>
        <w:numPr>
          <w:ilvl w:val="0"/>
          <w:numId w:val="1"/>
        </w:numPr>
        <w:spacing w:after="160" w:line="259" w:lineRule="auto"/>
      </w:pPr>
      <w:r>
        <w:t xml:space="preserve">Isolation of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from a clinical specimen in cell culture and molecular confirmation (e.g., PCR or sequence).</w:t>
      </w:r>
      <w:r w:rsidR="00AE7809">
        <w:t xml:space="preserve"> </w:t>
      </w:r>
    </w:p>
    <w:p w14:paraId="13437338" w14:textId="77777777" w:rsidR="00B108D8" w:rsidRDefault="00B108D8" w:rsidP="00B108D8">
      <w:pPr>
        <w:rPr>
          <w:color w:val="0000FF"/>
          <w:sz w:val="16"/>
          <w:szCs w:val="16"/>
        </w:rPr>
      </w:pPr>
      <w:r w:rsidRPr="00DA48AE">
        <w:rPr>
          <w:color w:val="0000FF"/>
          <w:sz w:val="16"/>
          <w:szCs w:val="16"/>
        </w:rPr>
        <w:t>Specified laboratory results that are consistent with the diagnosis and are part of the confirmed case classification. These are specified in the laboratory criteria for case classification section of each case definition.</w:t>
      </w:r>
    </w:p>
    <w:p w14:paraId="1DA7F4B3" w14:textId="77777777" w:rsidR="00B108D8" w:rsidRPr="0012164C" w:rsidRDefault="00B108D8" w:rsidP="00B108D8">
      <w:pPr>
        <w:rPr>
          <w:rFonts w:cs="Arial"/>
          <w:color w:val="000080"/>
          <w:sz w:val="20"/>
        </w:rPr>
      </w:pPr>
    </w:p>
    <w:p w14:paraId="4F634A32" w14:textId="77777777" w:rsidR="00B108D8" w:rsidRDefault="00B108D8" w:rsidP="00B108D8">
      <w:pPr>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2F2251D5" w14:textId="77777777" w:rsidR="00B108D8" w:rsidRPr="00882FFD" w:rsidRDefault="00B108D8" w:rsidP="00B108D8">
      <w:pPr>
        <w:pStyle w:val="ListParagraph"/>
        <w:numPr>
          <w:ilvl w:val="0"/>
          <w:numId w:val="2"/>
        </w:numPr>
        <w:spacing w:after="160" w:line="259" w:lineRule="auto"/>
      </w:pPr>
      <w:r>
        <w:t xml:space="preserve">Has serologic evidence of elevated </w:t>
      </w:r>
      <w:proofErr w:type="spellStart"/>
      <w:r>
        <w:t>IgG</w:t>
      </w:r>
      <w:proofErr w:type="spellEnd"/>
      <w:r>
        <w:t xml:space="preserve"> antibody at a titer ≥1</w:t>
      </w:r>
      <w:proofErr w:type="gramStart"/>
      <w:r>
        <w:t>:128</w:t>
      </w:r>
      <w:proofErr w:type="gramEnd"/>
      <w:r>
        <w:t xml:space="preserve"> reactive with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antigen by IFA.</w:t>
      </w:r>
      <w:bookmarkStart w:id="0" w:name="_GoBack"/>
      <w:bookmarkEnd w:id="0"/>
    </w:p>
    <w:p w14:paraId="52AA20E9" w14:textId="77777777" w:rsidR="00B108D8" w:rsidRPr="00DA48AE" w:rsidRDefault="00B108D8" w:rsidP="00B108D8">
      <w:pPr>
        <w:pStyle w:val="CommentText"/>
        <w:rPr>
          <w:color w:val="0000FF"/>
          <w:sz w:val="16"/>
          <w:szCs w:val="16"/>
        </w:rPr>
      </w:pPr>
      <w:r w:rsidRPr="00DA48AE">
        <w:rPr>
          <w:color w:val="0000FF"/>
          <w:sz w:val="16"/>
          <w:szCs w:val="16"/>
        </w:rPr>
        <w:t>Specified laboratory results that are consistent with the diagnosis and are part of the probable case classification. These are specified in the laboratory criteria for case classification section of each case definition.</w:t>
      </w:r>
    </w:p>
    <w:p w14:paraId="63BD5DE3" w14:textId="77777777" w:rsidR="00B108D8" w:rsidRPr="0012164C" w:rsidRDefault="00B108D8" w:rsidP="00B108D8">
      <w:pPr>
        <w:rPr>
          <w:rFonts w:cs="Arial"/>
          <w:color w:val="000080"/>
          <w:sz w:val="20"/>
        </w:rPr>
      </w:pPr>
    </w:p>
    <w:p w14:paraId="72C7C619" w14:textId="77777777" w:rsidR="00B108D8" w:rsidRDefault="00B108D8" w:rsidP="00B108D8">
      <w:pPr>
        <w:rPr>
          <w:rFonts w:cs="Arial"/>
          <w:color w:val="000080"/>
          <w:sz w:val="20"/>
        </w:rPr>
      </w:pPr>
      <w:r w:rsidRPr="0012164C">
        <w:rPr>
          <w:rFonts w:cs="Arial"/>
          <w:i/>
          <w:color w:val="000080"/>
          <w:sz w:val="20"/>
        </w:rPr>
        <w:t>Supportive laboratory evidence</w:t>
      </w:r>
      <w:r w:rsidRPr="0012164C">
        <w:rPr>
          <w:rFonts w:cs="Arial"/>
          <w:color w:val="000080"/>
          <w:sz w:val="20"/>
        </w:rPr>
        <w:t xml:space="preserve">: </w:t>
      </w:r>
    </w:p>
    <w:p w14:paraId="750797DA" w14:textId="77777777" w:rsidR="00B108D8" w:rsidRPr="00780F2C" w:rsidRDefault="00B108D8" w:rsidP="00B108D8">
      <w:pPr>
        <w:pStyle w:val="ListParagraph"/>
        <w:numPr>
          <w:ilvl w:val="0"/>
          <w:numId w:val="2"/>
        </w:numPr>
        <w:spacing w:after="160" w:line="259" w:lineRule="auto"/>
      </w:pPr>
      <w:r>
        <w:t xml:space="preserve">Has serologic evidence of elevated </w:t>
      </w:r>
      <w:proofErr w:type="spellStart"/>
      <w:r>
        <w:t>IgG</w:t>
      </w:r>
      <w:proofErr w:type="spellEnd"/>
      <w:r>
        <w:t xml:space="preserve"> antibody at a titer &lt;1:128 reactive with spotted fever group </w:t>
      </w:r>
      <w:r>
        <w:rPr>
          <w:i/>
        </w:rPr>
        <w:t xml:space="preserve">Rickettsia, </w:t>
      </w:r>
      <w:r>
        <w:t xml:space="preserve">including </w:t>
      </w:r>
      <w:r w:rsidRPr="0047465E">
        <w:rPr>
          <w:i/>
        </w:rPr>
        <w:t xml:space="preserve">R. </w:t>
      </w:r>
      <w:proofErr w:type="spellStart"/>
      <w:r w:rsidRPr="0047465E">
        <w:rPr>
          <w:i/>
        </w:rPr>
        <w:t>rickettsii</w:t>
      </w:r>
      <w:proofErr w:type="spellEnd"/>
      <w:r>
        <w:rPr>
          <w:i/>
        </w:rPr>
        <w:t>,</w:t>
      </w:r>
      <w:r>
        <w:t xml:space="preserve"> antigen by IFA.</w:t>
      </w:r>
    </w:p>
    <w:p w14:paraId="3F598041" w14:textId="77777777" w:rsidR="00B108D8" w:rsidRDefault="00B108D8" w:rsidP="00B108D8">
      <w:pPr>
        <w:pStyle w:val="CommentText"/>
        <w:rPr>
          <w:color w:val="0000FF"/>
          <w:sz w:val="16"/>
          <w:szCs w:val="16"/>
        </w:rPr>
      </w:pPr>
      <w:r w:rsidRPr="00DA48AE">
        <w:rPr>
          <w:color w:val="0000FF"/>
          <w:sz w:val="16"/>
          <w:szCs w:val="16"/>
        </w:rPr>
        <w:t>Specified laboratory results that are consistent with the diagnosis and are part of the suspect case classification. These are specified in the laboratory criteria for case classification section of each case definition.</w:t>
      </w:r>
    </w:p>
    <w:p w14:paraId="679A1367" w14:textId="77777777" w:rsidR="00B108D8" w:rsidRPr="00DA48AE" w:rsidRDefault="00B108D8" w:rsidP="00B108D8">
      <w:pPr>
        <w:pStyle w:val="CommentText"/>
        <w:rPr>
          <w:color w:val="0000FF"/>
          <w:sz w:val="16"/>
          <w:szCs w:val="16"/>
        </w:rPr>
      </w:pPr>
    </w:p>
    <w:p w14:paraId="1CE755CC" w14:textId="77777777" w:rsidR="00B108D8" w:rsidRPr="00DA48AE" w:rsidRDefault="00B108D8" w:rsidP="00B108D8">
      <w:pPr>
        <w:pStyle w:val="CommentText"/>
        <w:rPr>
          <w:color w:val="0000FF"/>
          <w:sz w:val="16"/>
          <w:szCs w:val="16"/>
        </w:rPr>
      </w:pPr>
      <w:r w:rsidRPr="00DA48AE">
        <w:rPr>
          <w:color w:val="0000FF"/>
          <w:sz w:val="16"/>
          <w:szCs w:val="16"/>
        </w:rPr>
        <w:t xml:space="preserve">If any type 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explicitly</w:t>
      </w:r>
      <w:r>
        <w:rPr>
          <w:color w:val="0000FF"/>
          <w:sz w:val="16"/>
          <w:szCs w:val="16"/>
        </w:rPr>
        <w:t>.</w:t>
      </w:r>
    </w:p>
    <w:p w14:paraId="71D344DA" w14:textId="77777777" w:rsidR="00B108D8" w:rsidRPr="0012164C" w:rsidRDefault="00B108D8" w:rsidP="00B108D8">
      <w:pPr>
        <w:rPr>
          <w:rFonts w:cs="Arial"/>
          <w:b/>
          <w:bCs/>
          <w:sz w:val="20"/>
        </w:rPr>
      </w:pPr>
    </w:p>
    <w:p w14:paraId="510565EA" w14:textId="77777777" w:rsidR="00B108D8" w:rsidRDefault="00B108D8" w:rsidP="00B108D8">
      <w:pPr>
        <w:rPr>
          <w:rFonts w:cs="Arial"/>
          <w:b/>
          <w:bCs/>
          <w:sz w:val="20"/>
        </w:rPr>
      </w:pPr>
      <w:r w:rsidRPr="0012164C">
        <w:rPr>
          <w:rFonts w:cs="Arial"/>
          <w:b/>
          <w:bCs/>
          <w:sz w:val="20"/>
        </w:rPr>
        <w:t>Epidemiologic Linkage</w:t>
      </w:r>
    </w:p>
    <w:p w14:paraId="5723B2A0" w14:textId="77777777" w:rsidR="00B108D8" w:rsidRDefault="00B108D8" w:rsidP="00B108D8">
      <w:r>
        <w:t xml:space="preserve">None required for case classification. </w:t>
      </w:r>
    </w:p>
    <w:p w14:paraId="0F887E31" w14:textId="77777777" w:rsidR="00B108D8" w:rsidRDefault="00B108D8" w:rsidP="00B108D8">
      <w:pPr>
        <w:rPr>
          <w:rFonts w:cs="Arial"/>
          <w:b/>
          <w:bCs/>
          <w:sz w:val="20"/>
        </w:rPr>
      </w:pPr>
    </w:p>
    <w:p w14:paraId="025DDE05" w14:textId="77777777" w:rsidR="00B108D8" w:rsidRPr="0012164C" w:rsidRDefault="00B108D8" w:rsidP="00B108D8">
      <w:pPr>
        <w:rPr>
          <w:rFonts w:cs="Arial"/>
          <w:bCs/>
          <w:sz w:val="20"/>
        </w:rPr>
      </w:pPr>
      <w:r w:rsidRPr="0012164C">
        <w:rPr>
          <w:rFonts w:cs="Arial"/>
          <w:b/>
          <w:bCs/>
          <w:sz w:val="20"/>
        </w:rPr>
        <w:t>Case Classifications</w:t>
      </w:r>
    </w:p>
    <w:p w14:paraId="661B0C7A" w14:textId="77777777" w:rsidR="00B108D8" w:rsidRPr="0012164C" w:rsidRDefault="00B108D8" w:rsidP="00B108D8">
      <w:pPr>
        <w:rPr>
          <w:rFonts w:cs="Arial"/>
          <w:bCs/>
          <w:sz w:val="20"/>
        </w:rPr>
      </w:pPr>
      <w:r w:rsidRPr="0012164C">
        <w:rPr>
          <w:rFonts w:cs="Arial"/>
          <w:bCs/>
          <w:i/>
          <w:sz w:val="20"/>
        </w:rPr>
        <w:t xml:space="preserve">Confirmed: </w:t>
      </w:r>
      <w:r>
        <w:t>A clinically compatible case (meets clinical evidence criteria) that is laboratory confirmed.</w:t>
      </w:r>
    </w:p>
    <w:p w14:paraId="36BA9A09" w14:textId="77777777" w:rsidR="00B108D8" w:rsidRPr="0012164C" w:rsidRDefault="00B108D8" w:rsidP="00B108D8">
      <w:pPr>
        <w:rPr>
          <w:rFonts w:cs="Arial"/>
          <w:bCs/>
          <w:sz w:val="20"/>
        </w:rPr>
      </w:pPr>
    </w:p>
    <w:p w14:paraId="2FB42376" w14:textId="77777777" w:rsidR="00B108D8" w:rsidRPr="0012164C" w:rsidRDefault="00B108D8" w:rsidP="00B108D8">
      <w:pPr>
        <w:rPr>
          <w:rFonts w:cs="Arial"/>
          <w:bCs/>
          <w:sz w:val="20"/>
        </w:rPr>
      </w:pPr>
      <w:r w:rsidRPr="0012164C">
        <w:rPr>
          <w:rFonts w:cs="Arial"/>
          <w:bCs/>
          <w:i/>
          <w:sz w:val="20"/>
        </w:rPr>
        <w:t>Probable</w:t>
      </w:r>
      <w:r w:rsidRPr="0012164C">
        <w:rPr>
          <w:rFonts w:cs="Arial"/>
          <w:bCs/>
          <w:sz w:val="20"/>
        </w:rPr>
        <w:t xml:space="preserve">: </w:t>
      </w:r>
      <w:r>
        <w:t>A clinically compatible case (meets clinical evidence criteria) that has presumptive laboratory evidence.</w:t>
      </w:r>
    </w:p>
    <w:p w14:paraId="1ED53DF0" w14:textId="77777777" w:rsidR="00AE7809" w:rsidRDefault="00AE7809">
      <w:pPr>
        <w:rPr>
          <w:rFonts w:cs="Arial"/>
          <w:bCs/>
          <w:i/>
          <w:sz w:val="20"/>
        </w:rPr>
      </w:pPr>
    </w:p>
    <w:p w14:paraId="4D025C70" w14:textId="08287C7D" w:rsidR="003A01F9" w:rsidRDefault="00B108D8">
      <w:r w:rsidRPr="0012164C">
        <w:rPr>
          <w:rFonts w:cs="Arial"/>
          <w:bCs/>
          <w:i/>
          <w:sz w:val="20"/>
        </w:rPr>
        <w:lastRenderedPageBreak/>
        <w:t>Suspect</w:t>
      </w:r>
      <w:r w:rsidRPr="0012164C">
        <w:rPr>
          <w:rFonts w:cs="Arial"/>
          <w:bCs/>
          <w:sz w:val="20"/>
        </w:rPr>
        <w:t xml:space="preserve">: </w:t>
      </w:r>
      <w:r>
        <w:t xml:space="preserve">A case with laboratory evidence of past or present infection but no clinical information available (e.g. a laboratory report) or a clinically compatible case that has supportive laboratory evidence. </w:t>
      </w:r>
    </w:p>
    <w:sectPr w:rsidR="003A01F9" w:rsidSect="00D51B59">
      <w:type w:val="continuous"/>
      <w:pgSz w:w="12240" w:h="15840"/>
      <w:pgMar w:top="720" w:right="1440" w:bottom="9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41709"/>
    <w:multiLevelType w:val="hybridMultilevel"/>
    <w:tmpl w:val="D6BA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6105AA9"/>
    <w:multiLevelType w:val="hybridMultilevel"/>
    <w:tmpl w:val="E0AA5D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8D8"/>
    <w:rsid w:val="000F7FE7"/>
    <w:rsid w:val="003A01F9"/>
    <w:rsid w:val="00485E8D"/>
    <w:rsid w:val="004B0AC7"/>
    <w:rsid w:val="00750EAE"/>
    <w:rsid w:val="00847545"/>
    <w:rsid w:val="00AE7809"/>
    <w:rsid w:val="00B108D8"/>
    <w:rsid w:val="00B45B57"/>
    <w:rsid w:val="00D51B59"/>
    <w:rsid w:val="00F04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1D200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8D8"/>
    <w:rPr>
      <w:rFonts w:ascii="Arial" w:eastAsia="Times New Roman" w:hAnsi="Arial"/>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108D8"/>
    <w:rPr>
      <w:sz w:val="16"/>
      <w:szCs w:val="16"/>
    </w:rPr>
  </w:style>
  <w:style w:type="paragraph" w:styleId="CommentText">
    <w:name w:val="annotation text"/>
    <w:basedOn w:val="Normal"/>
    <w:link w:val="CommentTextChar"/>
    <w:uiPriority w:val="99"/>
    <w:rsid w:val="00B108D8"/>
    <w:rPr>
      <w:sz w:val="20"/>
    </w:rPr>
  </w:style>
  <w:style w:type="character" w:customStyle="1" w:styleId="CommentTextChar">
    <w:name w:val="Comment Text Char"/>
    <w:basedOn w:val="DefaultParagraphFont"/>
    <w:link w:val="CommentText"/>
    <w:uiPriority w:val="99"/>
    <w:rsid w:val="00B108D8"/>
    <w:rPr>
      <w:rFonts w:ascii="Arial" w:eastAsia="Times New Roman" w:hAnsi="Arial"/>
      <w:snapToGrid w:val="0"/>
      <w:lang w:eastAsia="en-US"/>
    </w:rPr>
  </w:style>
  <w:style w:type="paragraph" w:styleId="ListParagraph">
    <w:name w:val="List Paragraph"/>
    <w:basedOn w:val="Normal"/>
    <w:uiPriority w:val="34"/>
    <w:qFormat/>
    <w:rsid w:val="00B108D8"/>
    <w:pPr>
      <w:ind w:left="720"/>
      <w:contextualSpacing/>
    </w:pPr>
  </w:style>
  <w:style w:type="paragraph" w:styleId="BalloonText">
    <w:name w:val="Balloon Text"/>
    <w:basedOn w:val="Normal"/>
    <w:link w:val="BalloonTextChar"/>
    <w:uiPriority w:val="99"/>
    <w:semiHidden/>
    <w:unhideWhenUsed/>
    <w:rsid w:val="00B108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8D8"/>
    <w:rPr>
      <w:rFonts w:ascii="Lucida Grande" w:eastAsia="Times New Roman" w:hAnsi="Lucida Grande" w:cs="Lucida Grande"/>
      <w:snapToGrid w:val="0"/>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8D8"/>
    <w:rPr>
      <w:rFonts w:ascii="Arial" w:eastAsia="Times New Roman" w:hAnsi="Arial"/>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108D8"/>
    <w:rPr>
      <w:sz w:val="16"/>
      <w:szCs w:val="16"/>
    </w:rPr>
  </w:style>
  <w:style w:type="paragraph" w:styleId="CommentText">
    <w:name w:val="annotation text"/>
    <w:basedOn w:val="Normal"/>
    <w:link w:val="CommentTextChar"/>
    <w:uiPriority w:val="99"/>
    <w:rsid w:val="00B108D8"/>
    <w:rPr>
      <w:sz w:val="20"/>
    </w:rPr>
  </w:style>
  <w:style w:type="character" w:customStyle="1" w:styleId="CommentTextChar">
    <w:name w:val="Comment Text Char"/>
    <w:basedOn w:val="DefaultParagraphFont"/>
    <w:link w:val="CommentText"/>
    <w:uiPriority w:val="99"/>
    <w:rsid w:val="00B108D8"/>
    <w:rPr>
      <w:rFonts w:ascii="Arial" w:eastAsia="Times New Roman" w:hAnsi="Arial"/>
      <w:snapToGrid w:val="0"/>
      <w:lang w:eastAsia="en-US"/>
    </w:rPr>
  </w:style>
  <w:style w:type="paragraph" w:styleId="ListParagraph">
    <w:name w:val="List Paragraph"/>
    <w:basedOn w:val="Normal"/>
    <w:uiPriority w:val="34"/>
    <w:qFormat/>
    <w:rsid w:val="00B108D8"/>
    <w:pPr>
      <w:ind w:left="720"/>
      <w:contextualSpacing/>
    </w:pPr>
  </w:style>
  <w:style w:type="paragraph" w:styleId="BalloonText">
    <w:name w:val="Balloon Text"/>
    <w:basedOn w:val="Normal"/>
    <w:link w:val="BalloonTextChar"/>
    <w:uiPriority w:val="99"/>
    <w:semiHidden/>
    <w:unhideWhenUsed/>
    <w:rsid w:val="00B108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8D8"/>
    <w:rPr>
      <w:rFonts w:ascii="Lucida Grande" w:eastAsia="Times New Roman" w:hAnsi="Lucida Grande" w:cs="Lucida Grande"/>
      <w:snapToGrid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478</Words>
  <Characters>2726</Characters>
  <Application>Microsoft Macintosh Word</Application>
  <DocSecurity>0</DocSecurity>
  <Lines>22</Lines>
  <Paragraphs>6</Paragraphs>
  <ScaleCrop>false</ScaleCrop>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Abelardo Moncayo</dc:creator>
  <cp:keywords/>
  <dc:description/>
  <cp:lastModifiedBy>Abelardo Moncayo</cp:lastModifiedBy>
  <cp:revision>5</cp:revision>
  <dcterms:created xsi:type="dcterms:W3CDTF">2018-10-17T15:32:00Z</dcterms:created>
  <dcterms:modified xsi:type="dcterms:W3CDTF">2018-10-18T20:48:00Z</dcterms:modified>
</cp:coreProperties>
</file>