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73788" w14:textId="77777777" w:rsidR="004C1C80" w:rsidRDefault="004C1C80" w:rsidP="004C1C80"/>
    <w:p w14:paraId="6CCA1D97" w14:textId="1D96BA74" w:rsidR="0047465E" w:rsidRDefault="0047465E" w:rsidP="004C1C80">
      <w:pPr>
        <w:rPr>
          <w:b/>
        </w:rPr>
      </w:pPr>
      <w:commentRangeStart w:id="0"/>
      <w:r>
        <w:rPr>
          <w:b/>
        </w:rPr>
        <w:t>VII. Case Definition for Case Classification</w:t>
      </w:r>
      <w:commentRangeEnd w:id="0"/>
      <w:r>
        <w:rPr>
          <w:rStyle w:val="CommentReference"/>
        </w:rPr>
        <w:commentReference w:id="0"/>
      </w:r>
      <w:r w:rsidR="00EC7E8C">
        <w:rPr>
          <w:b/>
        </w:rPr>
        <w:t xml:space="preserve"> for Spotted Fever Rickettsiosis</w:t>
      </w:r>
    </w:p>
    <w:p w14:paraId="467F33D1" w14:textId="291DE8CB" w:rsidR="005A165D" w:rsidRPr="005A165D" w:rsidRDefault="004C1C80" w:rsidP="004C1C80">
      <w:pPr>
        <w:rPr>
          <w:b/>
        </w:rPr>
      </w:pPr>
      <w:r w:rsidRPr="004C1C80">
        <w:rPr>
          <w:b/>
        </w:rPr>
        <w:t>Narrative description of criteria to determine whether a case should be classified as confirmed, probable (presump</w:t>
      </w:r>
      <w:r w:rsidR="005A165D">
        <w:rPr>
          <w:b/>
        </w:rPr>
        <w:t xml:space="preserve">tive), or suspected (possible) </w:t>
      </w:r>
    </w:p>
    <w:p w14:paraId="14360241" w14:textId="6732D1E4" w:rsidR="005A165D" w:rsidRPr="005A165D" w:rsidRDefault="005A165D" w:rsidP="005A165D">
      <w:pPr>
        <w:rPr>
          <w:i/>
          <w:iCs/>
        </w:rPr>
      </w:pPr>
      <w:r w:rsidRPr="005A165D">
        <w:rPr>
          <w:i/>
          <w:iCs/>
        </w:rPr>
        <w:t>Clinical evidence</w:t>
      </w:r>
    </w:p>
    <w:p w14:paraId="24628FB7" w14:textId="49FD1947" w:rsidR="005A165D" w:rsidRDefault="005A165D" w:rsidP="005A165D">
      <w:r w:rsidRPr="005A165D">
        <w:t>Any reported fever and one or more of the following: rash, eschar, headache, myalgia, anemia,</w:t>
      </w:r>
      <w:r>
        <w:t xml:space="preserve"> </w:t>
      </w:r>
      <w:r w:rsidRPr="005A165D">
        <w:t>thrombocytopenia, or any hepatic transaminase elevation.</w:t>
      </w:r>
    </w:p>
    <w:p w14:paraId="054FDCAD" w14:textId="77777777" w:rsidR="005A165D" w:rsidRPr="005A165D" w:rsidRDefault="005A165D" w:rsidP="005A165D">
      <w:pPr>
        <w:rPr>
          <w:i/>
          <w:iCs/>
        </w:rPr>
      </w:pPr>
      <w:r w:rsidRPr="005A165D">
        <w:rPr>
          <w:i/>
          <w:iCs/>
        </w:rPr>
        <w:t>Epidemiologic evidence</w:t>
      </w:r>
    </w:p>
    <w:p w14:paraId="5876F6DD" w14:textId="6A5A7D74" w:rsidR="005A165D" w:rsidRDefault="005A165D" w:rsidP="005A165D">
      <w:r w:rsidRPr="005A165D">
        <w:t xml:space="preserve">Tick exposure in past </w:t>
      </w:r>
      <w:r w:rsidR="00BC24AE">
        <w:t>two</w:t>
      </w:r>
      <w:r w:rsidRPr="005A165D">
        <w:t xml:space="preserve"> weeks; a tick bite is not required. List occupation if relevant to exposure.</w:t>
      </w:r>
      <w:r>
        <w:t xml:space="preserve"> </w:t>
      </w:r>
      <w:r w:rsidR="00BC24AE">
        <w:t>Travel in past two</w:t>
      </w:r>
      <w:r w:rsidRPr="005A165D">
        <w:t xml:space="preserve"> weeks; location of travel</w:t>
      </w:r>
      <w:r>
        <w:t xml:space="preserve">. </w:t>
      </w:r>
    </w:p>
    <w:p w14:paraId="6BA190E9" w14:textId="6C55A22E" w:rsidR="005A165D" w:rsidRDefault="005A165D" w:rsidP="005A165D">
      <w:pPr>
        <w:rPr>
          <w:i/>
          <w:iCs/>
        </w:rPr>
      </w:pPr>
      <w:r w:rsidRPr="005A165D">
        <w:rPr>
          <w:i/>
          <w:iCs/>
        </w:rPr>
        <w:t>Laboratory evidence</w:t>
      </w:r>
    </w:p>
    <w:p w14:paraId="2C3BBA45" w14:textId="7A716FF6" w:rsidR="00D831A6" w:rsidRPr="00D831A6" w:rsidRDefault="00D831A6" w:rsidP="005A165D">
      <w:pPr>
        <w:rPr>
          <w:iCs/>
        </w:rPr>
      </w:pPr>
      <w:r w:rsidRPr="00D831A6">
        <w:rPr>
          <w:iCs/>
          <w:highlight w:val="yellow"/>
        </w:rPr>
        <w:t>WILL ADD DESCRIPTION ONCE DECIDED.</w:t>
      </w:r>
    </w:p>
    <w:p w14:paraId="06289164" w14:textId="3E379579" w:rsidR="004C1C80" w:rsidRDefault="004C1C80" w:rsidP="004C1C80">
      <w:r>
        <w:t xml:space="preserve">For the purposes of surveillance, </w:t>
      </w:r>
    </w:p>
    <w:p w14:paraId="5D5E4FFD" w14:textId="77777777" w:rsidR="004C1C80" w:rsidRPr="004C1C80" w:rsidRDefault="004C1C80" w:rsidP="004C1C80">
      <w:commentRangeStart w:id="1"/>
      <w:commentRangeStart w:id="2"/>
      <w:r w:rsidRPr="004C1C80">
        <w:t>Laboratory confirmed:</w:t>
      </w:r>
      <w:commentRangeEnd w:id="1"/>
      <w:r w:rsidR="00275183">
        <w:rPr>
          <w:rStyle w:val="CommentReference"/>
        </w:rPr>
        <w:commentReference w:id="1"/>
      </w:r>
    </w:p>
    <w:p w14:paraId="062F92A0" w14:textId="28059C87" w:rsidR="004C1C80" w:rsidRDefault="004C1C80" w:rsidP="004C1C80">
      <w:pPr>
        <w:pStyle w:val="ListParagraph"/>
        <w:numPr>
          <w:ilvl w:val="0"/>
          <w:numId w:val="1"/>
        </w:numPr>
      </w:pPr>
      <w:r>
        <w:t xml:space="preserve">Serological evidence of a </w:t>
      </w:r>
      <w:commentRangeStart w:id="3"/>
      <w:r>
        <w:t xml:space="preserve">fourfold </w:t>
      </w:r>
      <w:r w:rsidR="0047465E" w:rsidRPr="00BA57E7">
        <w:t>increase</w:t>
      </w:r>
      <w:r w:rsidRPr="00BA57E7">
        <w:t xml:space="preserve"> </w:t>
      </w:r>
      <w:commentRangeEnd w:id="3"/>
      <w:r w:rsidR="00700C47" w:rsidRPr="00BA57E7">
        <w:rPr>
          <w:rStyle w:val="CommentReference"/>
        </w:rPr>
        <w:commentReference w:id="3"/>
      </w:r>
      <w:r>
        <w:t xml:space="preserve">in immunoglobulin G (IgG)-specific antibody titer reactive with </w:t>
      </w:r>
      <w:r w:rsidR="009A746B">
        <w:t xml:space="preserve">spotted fever group </w:t>
      </w:r>
      <w:r w:rsidRPr="0047465E">
        <w:rPr>
          <w:i/>
        </w:rPr>
        <w:t>Rickettsia</w:t>
      </w:r>
      <w:r w:rsidR="00554CA1">
        <w:rPr>
          <w:i/>
        </w:rPr>
        <w:t>,</w:t>
      </w:r>
      <w:r w:rsidRPr="0047465E">
        <w:rPr>
          <w:i/>
        </w:rPr>
        <w:t xml:space="preserve"> </w:t>
      </w:r>
      <w:r w:rsidR="009A746B">
        <w:t xml:space="preserve">including </w:t>
      </w:r>
      <w:r w:rsidR="009A746B">
        <w:rPr>
          <w:i/>
        </w:rPr>
        <w:t xml:space="preserve">R. </w:t>
      </w:r>
      <w:r w:rsidRPr="0047465E">
        <w:rPr>
          <w:i/>
        </w:rPr>
        <w:t>rickettsii</w:t>
      </w:r>
      <w:r w:rsidR="00554CA1">
        <w:rPr>
          <w:i/>
        </w:rPr>
        <w:t>,</w:t>
      </w:r>
      <w:r>
        <w:t xml:space="preserve"> antigen by indirect immunofluorescence assay (IFA) between paired serum specimens (one taken in the first week of illness and a second 2</w:t>
      </w:r>
      <w:r w:rsidR="0047465E">
        <w:t>–</w:t>
      </w:r>
      <w:r>
        <w:t xml:space="preserve">4 weeks later), or </w:t>
      </w:r>
    </w:p>
    <w:p w14:paraId="6A18C54F" w14:textId="4F4F02DB" w:rsidR="004C1C80" w:rsidRDefault="004C1C80" w:rsidP="004C1C80">
      <w:pPr>
        <w:pStyle w:val="ListParagraph"/>
        <w:numPr>
          <w:ilvl w:val="0"/>
          <w:numId w:val="1"/>
        </w:numPr>
      </w:pPr>
      <w:r>
        <w:t xml:space="preserve">Detection of </w:t>
      </w:r>
      <w:r w:rsidR="009A746B">
        <w:t xml:space="preserve">spotted fever group </w:t>
      </w:r>
      <w:r w:rsidR="009A746B">
        <w:rPr>
          <w:i/>
        </w:rPr>
        <w:t>Rickettsia</w:t>
      </w:r>
      <w:r w:rsidR="00554CA1">
        <w:rPr>
          <w:i/>
        </w:rPr>
        <w:t>,</w:t>
      </w:r>
      <w:r w:rsidR="009A746B">
        <w:rPr>
          <w:i/>
        </w:rPr>
        <w:t xml:space="preserve"> </w:t>
      </w:r>
      <w:r w:rsidR="009A746B">
        <w:t xml:space="preserve">including </w:t>
      </w:r>
      <w:r w:rsidRPr="0047465E">
        <w:rPr>
          <w:i/>
        </w:rPr>
        <w:t>R. rickettsii</w:t>
      </w:r>
      <w:r w:rsidR="00554CA1">
        <w:rPr>
          <w:i/>
        </w:rPr>
        <w:t>,</w:t>
      </w:r>
      <w:r>
        <w:t xml:space="preserve"> DNA in a clinical</w:t>
      </w:r>
      <w:r w:rsidR="009A746B">
        <w:t xml:space="preserve"> specimen via amplification of a species-</w:t>
      </w:r>
      <w:r>
        <w:t xml:space="preserve">specific target by PCR assay, or </w:t>
      </w:r>
    </w:p>
    <w:p w14:paraId="535668F3" w14:textId="77777777" w:rsidR="004C1C80" w:rsidRDefault="004C1C80" w:rsidP="004C1C80">
      <w:pPr>
        <w:pStyle w:val="ListParagraph"/>
        <w:numPr>
          <w:ilvl w:val="0"/>
          <w:numId w:val="1"/>
        </w:numPr>
      </w:pPr>
      <w:r>
        <w:t>Demonstration of spotted fever group antigen in a biopsy or autopsy specimen by IHC, or</w:t>
      </w:r>
    </w:p>
    <w:p w14:paraId="350518C8" w14:textId="5C04AFCA" w:rsidR="004C1C80" w:rsidRDefault="004C1C80" w:rsidP="004C1C80">
      <w:pPr>
        <w:pStyle w:val="ListParagraph"/>
        <w:numPr>
          <w:ilvl w:val="0"/>
          <w:numId w:val="1"/>
        </w:numPr>
      </w:pPr>
      <w:r>
        <w:t>Isolation of</w:t>
      </w:r>
      <w:r w:rsidR="009A746B">
        <w:t xml:space="preserve"> spotted fever group </w:t>
      </w:r>
      <w:r w:rsidR="009A746B">
        <w:rPr>
          <w:i/>
        </w:rPr>
        <w:t>Rickettsia</w:t>
      </w:r>
      <w:r w:rsidR="00554CA1">
        <w:rPr>
          <w:i/>
        </w:rPr>
        <w:t>,</w:t>
      </w:r>
      <w:r w:rsidR="009A746B">
        <w:rPr>
          <w:i/>
        </w:rPr>
        <w:t xml:space="preserve"> </w:t>
      </w:r>
      <w:r w:rsidR="009A746B">
        <w:t>including</w:t>
      </w:r>
      <w:r>
        <w:t xml:space="preserve"> </w:t>
      </w:r>
      <w:r w:rsidRPr="0047465E">
        <w:rPr>
          <w:i/>
        </w:rPr>
        <w:t>R. rickettsii</w:t>
      </w:r>
      <w:r w:rsidR="00554CA1">
        <w:rPr>
          <w:i/>
        </w:rPr>
        <w:t>,</w:t>
      </w:r>
      <w:r>
        <w:t xml:space="preserve"> from a clinical specimen in cell culture</w:t>
      </w:r>
      <w:r w:rsidR="009A746B">
        <w:t xml:space="preserve"> and molecular confirmation (e.g., PCR or sequence)</w:t>
      </w:r>
      <w:r>
        <w:t>.</w:t>
      </w:r>
    </w:p>
    <w:p w14:paraId="1F9476B7" w14:textId="77777777" w:rsidR="004C1C80" w:rsidRPr="004C1C80" w:rsidRDefault="004C1C80" w:rsidP="004C1C80">
      <w:commentRangeStart w:id="4"/>
      <w:r w:rsidRPr="004C1C80">
        <w:t>Laboratory supportive:</w:t>
      </w:r>
    </w:p>
    <w:p w14:paraId="1D9B1DF4" w14:textId="63E96494" w:rsidR="004C1C80" w:rsidRDefault="004C1C80" w:rsidP="004C1C80">
      <w:pPr>
        <w:pStyle w:val="ListParagraph"/>
        <w:numPr>
          <w:ilvl w:val="0"/>
          <w:numId w:val="2"/>
        </w:numPr>
      </w:pPr>
      <w:commentRangeStart w:id="5"/>
      <w:r>
        <w:t xml:space="preserve">Has serologic evidence of elevated IgG antibody </w:t>
      </w:r>
      <w:r w:rsidR="00C4741B">
        <w:t xml:space="preserve">at a titer ≥1:64 </w:t>
      </w:r>
      <w:r>
        <w:t>reactive with</w:t>
      </w:r>
      <w:r w:rsidR="00554CA1">
        <w:t xml:space="preserve"> spotted fever group </w:t>
      </w:r>
      <w:r w:rsidR="00554CA1">
        <w:rPr>
          <w:i/>
        </w:rPr>
        <w:t xml:space="preserve">Rickettsia, </w:t>
      </w:r>
      <w:r w:rsidR="00554CA1">
        <w:t>including</w:t>
      </w:r>
      <w:r>
        <w:t xml:space="preserve"> </w:t>
      </w:r>
      <w:r w:rsidRPr="0047465E">
        <w:rPr>
          <w:i/>
        </w:rPr>
        <w:t>R. rickettsii</w:t>
      </w:r>
      <w:r w:rsidR="00554CA1">
        <w:rPr>
          <w:i/>
        </w:rPr>
        <w:t>,</w:t>
      </w:r>
      <w:r w:rsidR="0047465E">
        <w:t xml:space="preserve"> antigen by IFA</w:t>
      </w:r>
      <w:r>
        <w:t>.</w:t>
      </w:r>
      <w:commentRangeEnd w:id="5"/>
      <w:r w:rsidR="00700C47">
        <w:rPr>
          <w:rStyle w:val="CommentReference"/>
        </w:rPr>
        <w:commentReference w:id="5"/>
      </w:r>
      <w:commentRangeEnd w:id="2"/>
      <w:r w:rsidR="00807898">
        <w:rPr>
          <w:rStyle w:val="CommentReference"/>
        </w:rPr>
        <w:commentReference w:id="2"/>
      </w:r>
      <w:commentRangeEnd w:id="4"/>
      <w:r w:rsidR="00C83618">
        <w:rPr>
          <w:rStyle w:val="CommentReference"/>
        </w:rPr>
        <w:commentReference w:id="4"/>
      </w:r>
    </w:p>
    <w:p w14:paraId="3BDF13ED" w14:textId="77777777" w:rsidR="00AF033D" w:rsidRDefault="00AF033D" w:rsidP="004C1C80">
      <w:pPr>
        <w:rPr>
          <w:b/>
        </w:rPr>
      </w:pPr>
    </w:p>
    <w:p w14:paraId="3441728D" w14:textId="0F11E085" w:rsidR="004C1C80" w:rsidRPr="0047465E" w:rsidRDefault="004C1C80" w:rsidP="004C1C80">
      <w:pPr>
        <w:rPr>
          <w:b/>
        </w:rPr>
      </w:pPr>
      <w:r w:rsidRPr="0047465E">
        <w:rPr>
          <w:b/>
        </w:rPr>
        <w:t>Exposure</w:t>
      </w:r>
    </w:p>
    <w:p w14:paraId="4DD45FF7" w14:textId="77777777" w:rsidR="004C1C80" w:rsidRDefault="004C1C80" w:rsidP="004C1C80">
      <w:r>
        <w:t>Exposure is defined as having been in potential tick habitats within the past 14 days before onset of symptoms. Occupation should be recorded if relevant to exposure. A history of a tick bite is not required.</w:t>
      </w:r>
    </w:p>
    <w:p w14:paraId="67727147" w14:textId="77777777" w:rsidR="00700C47" w:rsidRDefault="00700C47" w:rsidP="004C1C80">
      <w:pPr>
        <w:rPr>
          <w:b/>
        </w:rPr>
      </w:pPr>
    </w:p>
    <w:p w14:paraId="2C7095DF" w14:textId="77777777" w:rsidR="004C1C80" w:rsidRPr="0047465E" w:rsidRDefault="004C1C80" w:rsidP="004C1C80">
      <w:pPr>
        <w:rPr>
          <w:b/>
        </w:rPr>
      </w:pPr>
      <w:r w:rsidRPr="0047465E">
        <w:rPr>
          <w:b/>
        </w:rPr>
        <w:t>Case Classification</w:t>
      </w:r>
      <w:r w:rsidR="009D3056">
        <w:rPr>
          <w:b/>
        </w:rPr>
        <w:t xml:space="preserve"> (current)</w:t>
      </w:r>
    </w:p>
    <w:p w14:paraId="7632671F" w14:textId="77777777" w:rsidR="004C1C80" w:rsidRDefault="004C1C80" w:rsidP="004C1C80">
      <w:r w:rsidRPr="004C1C80">
        <w:rPr>
          <w:b/>
        </w:rPr>
        <w:t>Confirmed</w:t>
      </w:r>
      <w:r>
        <w:t>: A clinically compatible case (meets clinical evidence criteria) that is laboratory</w:t>
      </w:r>
      <w:r w:rsidR="0047465E">
        <w:t xml:space="preserve"> </w:t>
      </w:r>
      <w:r>
        <w:t>confirmed.</w:t>
      </w:r>
    </w:p>
    <w:p w14:paraId="06AB0BAC" w14:textId="77777777" w:rsidR="004C1C80" w:rsidRDefault="004C1C80" w:rsidP="004C1C80">
      <w:r w:rsidRPr="004C1C80">
        <w:rPr>
          <w:b/>
        </w:rPr>
        <w:t>Probable</w:t>
      </w:r>
      <w:r>
        <w:t>: A clinically compatible case (meets clinical evidence criteria) that has supportive</w:t>
      </w:r>
      <w:r w:rsidR="0047465E">
        <w:t xml:space="preserve"> </w:t>
      </w:r>
      <w:r>
        <w:t>laboratory results.</w:t>
      </w:r>
    </w:p>
    <w:p w14:paraId="6AEB7F40" w14:textId="77777777" w:rsidR="004C1C80" w:rsidRDefault="004C1C80" w:rsidP="004C1C80">
      <w:r w:rsidRPr="004C1C80">
        <w:rPr>
          <w:b/>
        </w:rPr>
        <w:t>Suspect</w:t>
      </w:r>
      <w:r>
        <w:t>: A case with laboratory evidence of past or present infection but no clinical information</w:t>
      </w:r>
      <w:r w:rsidR="0047465E">
        <w:t xml:space="preserve"> </w:t>
      </w:r>
      <w:r>
        <w:t>available (e.g. a laboratory report).</w:t>
      </w:r>
    </w:p>
    <w:p w14:paraId="677DBC2C" w14:textId="77777777" w:rsidR="00BF268E" w:rsidRDefault="00BF268E" w:rsidP="004C1C80"/>
    <w:p w14:paraId="5DA8E2FD" w14:textId="77777777" w:rsidR="009D3056" w:rsidRDefault="009D3056" w:rsidP="004C1C80">
      <w:pPr>
        <w:rPr>
          <w:b/>
        </w:rPr>
      </w:pPr>
      <w:commentRangeStart w:id="7"/>
      <w:r>
        <w:rPr>
          <w:b/>
        </w:rPr>
        <w:t>Possible alternat</w:t>
      </w:r>
      <w:r w:rsidR="00DC54B3">
        <w:rPr>
          <w:b/>
        </w:rPr>
        <w:t>ive</w:t>
      </w:r>
      <w:r>
        <w:rPr>
          <w:b/>
        </w:rPr>
        <w:t xml:space="preserve"> case classifications:</w:t>
      </w:r>
      <w:commentRangeEnd w:id="7"/>
      <w:r w:rsidR="00275183">
        <w:rPr>
          <w:rStyle w:val="CommentReference"/>
        </w:rPr>
        <w:commentReference w:id="7"/>
      </w:r>
    </w:p>
    <w:p w14:paraId="3318D92E" w14:textId="7AA938D0" w:rsidR="009D3056" w:rsidRDefault="00DC54B3" w:rsidP="004C1C80">
      <w:r>
        <w:rPr>
          <w:b/>
        </w:rPr>
        <w:t xml:space="preserve">Confirmed </w:t>
      </w:r>
      <w:r w:rsidRPr="00DC54B3">
        <w:t>(</w:t>
      </w:r>
      <w:r w:rsidR="008C6172">
        <w:t xml:space="preserve">report only confirmed cases; </w:t>
      </w:r>
      <w:r w:rsidRPr="00DC54B3">
        <w:t>investigation only after laboratory confirmed evidence received):</w:t>
      </w:r>
      <w:r w:rsidR="009D3056">
        <w:rPr>
          <w:b/>
        </w:rPr>
        <w:t xml:space="preserve"> </w:t>
      </w:r>
      <w:r w:rsidR="009D3056">
        <w:t>A clinically compatible case (meets clinical evidence criteria) that is laboratory confirmed.</w:t>
      </w:r>
    </w:p>
    <w:p w14:paraId="3B8A2D4B" w14:textId="77777777" w:rsidR="009D3056" w:rsidRDefault="009D3056" w:rsidP="004C1C80"/>
    <w:p w14:paraId="3EF873FB" w14:textId="79D683E4" w:rsidR="00BF268E" w:rsidRDefault="00311F64" w:rsidP="004C1C80">
      <w:pPr>
        <w:rPr>
          <w:b/>
        </w:rPr>
      </w:pPr>
      <w:commentRangeStart w:id="8"/>
      <w:r>
        <w:rPr>
          <w:b/>
        </w:rPr>
        <w:t xml:space="preserve">Possible alternative </w:t>
      </w:r>
      <w:r w:rsidR="002D768F">
        <w:rPr>
          <w:b/>
        </w:rPr>
        <w:t>r</w:t>
      </w:r>
      <w:r w:rsidR="00BF268E">
        <w:rPr>
          <w:b/>
        </w:rPr>
        <w:t>eporting groups</w:t>
      </w:r>
      <w:commentRangeEnd w:id="8"/>
      <w:r w:rsidR="00275183">
        <w:rPr>
          <w:rStyle w:val="CommentReference"/>
        </w:rPr>
        <w:commentReference w:id="8"/>
      </w:r>
      <w:r w:rsidR="009D3056">
        <w:rPr>
          <w:b/>
        </w:rPr>
        <w:t xml:space="preserve">: </w:t>
      </w:r>
      <w:r w:rsidR="009D3056">
        <w:t xml:space="preserve">(if </w:t>
      </w:r>
      <w:r w:rsidR="00882C0B">
        <w:t>changing</w:t>
      </w:r>
      <w:r w:rsidR="009D3056">
        <w:t xml:space="preserve"> from the general “Spotted fever </w:t>
      </w:r>
      <w:r w:rsidR="00513812">
        <w:t>rickettsiosis</w:t>
      </w:r>
      <w:r w:rsidR="009D3056">
        <w:t>”)</w:t>
      </w:r>
    </w:p>
    <w:p w14:paraId="5C8646F0" w14:textId="77777777" w:rsidR="00BF268E" w:rsidRPr="00700C47" w:rsidRDefault="00BF268E" w:rsidP="00700C47">
      <w:pPr>
        <w:pStyle w:val="ListParagraph"/>
        <w:numPr>
          <w:ilvl w:val="0"/>
          <w:numId w:val="2"/>
        </w:numPr>
        <w:rPr>
          <w:b/>
        </w:rPr>
      </w:pPr>
      <w:r w:rsidRPr="00700C47">
        <w:rPr>
          <w:b/>
        </w:rPr>
        <w:t>Rocky Mountain spotted fever</w:t>
      </w:r>
    </w:p>
    <w:p w14:paraId="7194F071" w14:textId="77777777" w:rsidR="00F72317" w:rsidRPr="00F72317" w:rsidRDefault="009D3056" w:rsidP="00700C47">
      <w:pPr>
        <w:pStyle w:val="ListParagraph"/>
        <w:numPr>
          <w:ilvl w:val="1"/>
          <w:numId w:val="2"/>
        </w:numPr>
        <w:rPr>
          <w:b/>
        </w:rPr>
      </w:pPr>
      <w:r>
        <w:t xml:space="preserve">Laboratory </w:t>
      </w:r>
      <w:commentRangeStart w:id="9"/>
      <w:r>
        <w:t>confirmed</w:t>
      </w:r>
      <w:commentRangeEnd w:id="9"/>
      <w:r w:rsidR="00916FA8">
        <w:rPr>
          <w:rStyle w:val="CommentReference"/>
        </w:rPr>
        <w:commentReference w:id="9"/>
      </w:r>
      <w:r w:rsidR="00F72317">
        <w:t xml:space="preserve">: </w:t>
      </w:r>
    </w:p>
    <w:p w14:paraId="699A0C26" w14:textId="46BABE87" w:rsidR="00F72317" w:rsidRPr="00F72317" w:rsidRDefault="00F72317" w:rsidP="00F72317">
      <w:pPr>
        <w:pStyle w:val="ListParagraph"/>
        <w:numPr>
          <w:ilvl w:val="2"/>
          <w:numId w:val="2"/>
        </w:numPr>
        <w:rPr>
          <w:b/>
        </w:rPr>
      </w:pPr>
      <w:r>
        <w:t xml:space="preserve">Detection of </w:t>
      </w:r>
      <w:r w:rsidR="007F1296" w:rsidRPr="00807DD5">
        <w:rPr>
          <w:i/>
        </w:rPr>
        <w:t>R. rickettsii</w:t>
      </w:r>
      <w:r w:rsidR="007F1296">
        <w:t xml:space="preserve"> </w:t>
      </w:r>
      <w:r>
        <w:t xml:space="preserve">DNA in a clinical specimen via amplification of a </w:t>
      </w:r>
      <w:r w:rsidR="00882C0B">
        <w:t>species-</w:t>
      </w:r>
      <w:r>
        <w:t xml:space="preserve">specific target by PCR assay </w:t>
      </w:r>
    </w:p>
    <w:p w14:paraId="638B45F0" w14:textId="50F1F519" w:rsidR="00882C0B" w:rsidRPr="00882C0B" w:rsidRDefault="00F72317" w:rsidP="00882C0B">
      <w:pPr>
        <w:pStyle w:val="ListParagraph"/>
        <w:numPr>
          <w:ilvl w:val="2"/>
          <w:numId w:val="2"/>
        </w:numPr>
        <w:rPr>
          <w:b/>
        </w:rPr>
      </w:pPr>
      <w:r>
        <w:t xml:space="preserve">Isolation of </w:t>
      </w:r>
      <w:r w:rsidRPr="00882C0B">
        <w:rPr>
          <w:i/>
        </w:rPr>
        <w:t>R. rickettsii</w:t>
      </w:r>
      <w:r>
        <w:t xml:space="preserve"> from a clinical specimen in cell culture</w:t>
      </w:r>
      <w:r w:rsidR="00882C0B">
        <w:t xml:space="preserve"> and molecular confirmation (e.g., PCR or sequence)</w:t>
      </w:r>
    </w:p>
    <w:p w14:paraId="3E3AE693" w14:textId="7C1F9B07" w:rsidR="00BF268E" w:rsidRPr="00882C0B" w:rsidRDefault="00BF268E" w:rsidP="00234571">
      <w:pPr>
        <w:pStyle w:val="ListParagraph"/>
        <w:numPr>
          <w:ilvl w:val="0"/>
          <w:numId w:val="2"/>
        </w:numPr>
        <w:rPr>
          <w:b/>
        </w:rPr>
      </w:pPr>
      <w:r w:rsidRPr="00882C0B">
        <w:rPr>
          <w:b/>
          <w:i/>
        </w:rPr>
        <w:t xml:space="preserve">Rickettsia parkeri </w:t>
      </w:r>
      <w:r w:rsidRPr="00882C0B">
        <w:rPr>
          <w:b/>
        </w:rPr>
        <w:t>rickettsiosis</w:t>
      </w:r>
    </w:p>
    <w:p w14:paraId="18754B8F" w14:textId="5F70025D" w:rsidR="000E62D0" w:rsidRPr="00F72317" w:rsidRDefault="000E62D0" w:rsidP="000E62D0">
      <w:pPr>
        <w:pStyle w:val="ListParagraph"/>
        <w:numPr>
          <w:ilvl w:val="1"/>
          <w:numId w:val="2"/>
        </w:numPr>
        <w:rPr>
          <w:b/>
        </w:rPr>
      </w:pPr>
      <w:r>
        <w:t>Laboratory confirmed</w:t>
      </w:r>
      <w:r w:rsidR="005C3931">
        <w:t xml:space="preserve"> criteria</w:t>
      </w:r>
      <w:r>
        <w:t xml:space="preserve">: </w:t>
      </w:r>
    </w:p>
    <w:p w14:paraId="10AAB19A" w14:textId="77777777" w:rsidR="00882C0B" w:rsidRPr="00F72317" w:rsidRDefault="000E62D0" w:rsidP="00882C0B">
      <w:pPr>
        <w:pStyle w:val="ListParagraph"/>
        <w:numPr>
          <w:ilvl w:val="2"/>
          <w:numId w:val="2"/>
        </w:numPr>
        <w:rPr>
          <w:b/>
        </w:rPr>
      </w:pPr>
      <w:r>
        <w:t xml:space="preserve">Detection of </w:t>
      </w:r>
      <w:r w:rsidRPr="00882C0B">
        <w:rPr>
          <w:i/>
        </w:rPr>
        <w:t>R. parkeri</w:t>
      </w:r>
      <w:r>
        <w:t xml:space="preserve"> DNA in a clinical specimen via amplification of a </w:t>
      </w:r>
      <w:r w:rsidR="00882C0B">
        <w:t xml:space="preserve">species-specific target by PCR assay </w:t>
      </w:r>
    </w:p>
    <w:p w14:paraId="71F63248" w14:textId="1E5147A9" w:rsidR="00882C0B" w:rsidRPr="00882C0B" w:rsidRDefault="00882C0B" w:rsidP="00882C0B">
      <w:pPr>
        <w:pStyle w:val="ListParagraph"/>
        <w:numPr>
          <w:ilvl w:val="2"/>
          <w:numId w:val="2"/>
        </w:numPr>
        <w:rPr>
          <w:b/>
        </w:rPr>
      </w:pPr>
      <w:r>
        <w:t xml:space="preserve">Isolation </w:t>
      </w:r>
      <w:r w:rsidR="000E62D0">
        <w:t xml:space="preserve">of </w:t>
      </w:r>
      <w:r w:rsidR="000E62D0" w:rsidRPr="00882C0B">
        <w:rPr>
          <w:i/>
        </w:rPr>
        <w:t>R. parkeri</w:t>
      </w:r>
      <w:r w:rsidR="000E62D0">
        <w:t xml:space="preserve"> from a clinical specimen in cell culture</w:t>
      </w:r>
      <w:r w:rsidR="000E62D0">
        <w:rPr>
          <w:rStyle w:val="CommentReference"/>
        </w:rPr>
        <w:t xml:space="preserve"> </w:t>
      </w:r>
      <w:r>
        <w:t>and molecular confirmation (e.g., PCR or sequence)</w:t>
      </w:r>
    </w:p>
    <w:p w14:paraId="15657882" w14:textId="4A22EEE3" w:rsidR="00BF268E" w:rsidRDefault="00700C47" w:rsidP="000E62D0">
      <w:pPr>
        <w:pStyle w:val="ListParagraph"/>
        <w:numPr>
          <w:ilvl w:val="0"/>
          <w:numId w:val="2"/>
        </w:numPr>
        <w:rPr>
          <w:b/>
        </w:rPr>
      </w:pPr>
      <w:r>
        <w:rPr>
          <w:b/>
        </w:rPr>
        <w:t>Undetermined Spotted Feve</w:t>
      </w:r>
      <w:r w:rsidR="00EC7E8C">
        <w:rPr>
          <w:b/>
        </w:rPr>
        <w:t>r Rickettsiosi</w:t>
      </w:r>
      <w:r>
        <w:rPr>
          <w:b/>
        </w:rPr>
        <w:t>s</w:t>
      </w:r>
    </w:p>
    <w:p w14:paraId="224337C8" w14:textId="1E95FCFF" w:rsidR="005C3931" w:rsidRDefault="007F1296" w:rsidP="00700C47">
      <w:pPr>
        <w:pStyle w:val="ListParagraph"/>
        <w:numPr>
          <w:ilvl w:val="1"/>
          <w:numId w:val="2"/>
        </w:numPr>
      </w:pPr>
      <w:r w:rsidRPr="00085178">
        <w:t>Laboratory confirmed</w:t>
      </w:r>
      <w:r w:rsidR="005C3931">
        <w:t xml:space="preserve"> criteria:</w:t>
      </w:r>
    </w:p>
    <w:p w14:paraId="6C42B80A" w14:textId="470DED90" w:rsidR="005C3931" w:rsidRDefault="00882C0B" w:rsidP="005C3931">
      <w:pPr>
        <w:pStyle w:val="ListParagraph"/>
        <w:numPr>
          <w:ilvl w:val="2"/>
          <w:numId w:val="2"/>
        </w:numPr>
      </w:pPr>
      <w:r>
        <w:t xml:space="preserve">Serological evidence of a fourfold </w:t>
      </w:r>
      <w:r w:rsidRPr="00BA57E7">
        <w:t xml:space="preserve">increase </w:t>
      </w:r>
      <w:r>
        <w:t xml:space="preserve">in immunoglobulin G (IgG)-specific antibody titer reactive with spotted fever group </w:t>
      </w:r>
      <w:r w:rsidRPr="0047465E">
        <w:rPr>
          <w:i/>
        </w:rPr>
        <w:t>Rickettsia</w:t>
      </w:r>
      <w:r>
        <w:rPr>
          <w:i/>
        </w:rPr>
        <w:t>,</w:t>
      </w:r>
      <w:r w:rsidRPr="0047465E">
        <w:rPr>
          <w:i/>
        </w:rPr>
        <w:t xml:space="preserve"> </w:t>
      </w:r>
      <w:r>
        <w:t xml:space="preserve">including </w:t>
      </w:r>
      <w:r>
        <w:rPr>
          <w:i/>
        </w:rPr>
        <w:t xml:space="preserve">R. </w:t>
      </w:r>
      <w:r w:rsidRPr="0047465E">
        <w:rPr>
          <w:i/>
        </w:rPr>
        <w:t>rickettsii</w:t>
      </w:r>
      <w:r>
        <w:rPr>
          <w:i/>
        </w:rPr>
        <w:t>,</w:t>
      </w:r>
      <w:r>
        <w:t xml:space="preserve"> antigen </w:t>
      </w:r>
      <w:r w:rsidR="005C3931">
        <w:t xml:space="preserve">by indirect immunofluorescence assay (IFA) between paired serum specimens (one taken in the first week of illness and a second 2–4 weeks later), or </w:t>
      </w:r>
    </w:p>
    <w:p w14:paraId="569B3897" w14:textId="5EE0A747" w:rsidR="005C3931" w:rsidRDefault="005C3931" w:rsidP="005C3931">
      <w:pPr>
        <w:pStyle w:val="ListParagraph"/>
        <w:numPr>
          <w:ilvl w:val="2"/>
          <w:numId w:val="2"/>
        </w:numPr>
      </w:pPr>
      <w:r>
        <w:t xml:space="preserve">Detection of </w:t>
      </w:r>
      <w:r>
        <w:rPr>
          <w:i/>
        </w:rPr>
        <w:t>Rickettsia</w:t>
      </w:r>
      <w:r>
        <w:t xml:space="preserve"> DNA in a clinical specimen via amplification of a </w:t>
      </w:r>
      <w:r w:rsidR="00882C0B">
        <w:t>genus- or group-</w:t>
      </w:r>
      <w:r>
        <w:t xml:space="preserve">specific target by PCR assay, or </w:t>
      </w:r>
    </w:p>
    <w:p w14:paraId="1BD6D47F" w14:textId="77777777" w:rsidR="005C3931" w:rsidRDefault="005C3931" w:rsidP="005C3931">
      <w:pPr>
        <w:pStyle w:val="ListParagraph"/>
        <w:numPr>
          <w:ilvl w:val="2"/>
          <w:numId w:val="2"/>
        </w:numPr>
      </w:pPr>
      <w:r>
        <w:t>Demonstration of spotted fever group antigen in a biopsy or autopsy specimen by IHC, or</w:t>
      </w:r>
    </w:p>
    <w:p w14:paraId="1BA2C53C" w14:textId="493F9162" w:rsidR="005C3931" w:rsidRDefault="005C3931" w:rsidP="005C3931">
      <w:pPr>
        <w:pStyle w:val="ListParagraph"/>
        <w:numPr>
          <w:ilvl w:val="2"/>
          <w:numId w:val="2"/>
        </w:numPr>
      </w:pPr>
      <w:r>
        <w:t xml:space="preserve">Isolation of </w:t>
      </w:r>
      <w:r w:rsidR="00E45835">
        <w:rPr>
          <w:i/>
        </w:rPr>
        <w:t>Rickettsia</w:t>
      </w:r>
      <w:r>
        <w:t xml:space="preserve"> from a clinical specimen in cell culture</w:t>
      </w:r>
      <w:r w:rsidR="00882C0B">
        <w:t xml:space="preserve"> and molecular confirmation (e.g., PCR or sequence)</w:t>
      </w:r>
      <w:r>
        <w:t>.</w:t>
      </w:r>
    </w:p>
    <w:p w14:paraId="7F1D08F3" w14:textId="3B641B93" w:rsidR="00700C47" w:rsidRPr="005C3931" w:rsidRDefault="008C6172" w:rsidP="00700C47">
      <w:pPr>
        <w:pStyle w:val="ListParagraph"/>
        <w:numPr>
          <w:ilvl w:val="1"/>
          <w:numId w:val="2"/>
        </w:numPr>
        <w:rPr>
          <w:b/>
        </w:rPr>
      </w:pPr>
      <w:r>
        <w:t>Laboratory supportive</w:t>
      </w:r>
      <w:r w:rsidR="00700C47">
        <w:t xml:space="preserve"> criteria</w:t>
      </w:r>
      <w:r w:rsidR="005C3931">
        <w:t>:</w:t>
      </w:r>
    </w:p>
    <w:p w14:paraId="1AE65F20" w14:textId="0491A69D" w:rsidR="005C3931" w:rsidRPr="005C3931" w:rsidRDefault="005C3931" w:rsidP="005C3931">
      <w:pPr>
        <w:pStyle w:val="ListParagraph"/>
        <w:numPr>
          <w:ilvl w:val="2"/>
          <w:numId w:val="2"/>
        </w:numPr>
      </w:pPr>
      <w:r>
        <w:t xml:space="preserve">Has serologic evidence of elevated IgG antibody at a titer ≥1:64 reactive with </w:t>
      </w:r>
      <w:r w:rsidRPr="0047465E">
        <w:rPr>
          <w:i/>
        </w:rPr>
        <w:t>R. rickettsii</w:t>
      </w:r>
      <w:r>
        <w:t xml:space="preserve"> or other spotted fever group antigen by IFA.</w:t>
      </w:r>
    </w:p>
    <w:p w14:paraId="1838F682" w14:textId="60A25C05" w:rsidR="00E351F4" w:rsidRDefault="00E351F4" w:rsidP="00E351F4">
      <w:pPr>
        <w:rPr>
          <w:b/>
        </w:rPr>
      </w:pPr>
    </w:p>
    <w:p w14:paraId="4FB10535" w14:textId="77777777" w:rsidR="00E351F4" w:rsidRPr="00E351F4" w:rsidRDefault="00E351F4" w:rsidP="00E351F4">
      <w:pPr>
        <w:rPr>
          <w:b/>
        </w:rPr>
      </w:pPr>
    </w:p>
    <w:sectPr w:rsidR="00E351F4" w:rsidRPr="00E351F4"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Nichols Heitman, Kristen M. (CDC/OID/NCEZID)" w:date="2018-08-09T13:02:00Z" w:initials="NHKM(">
    <w:p w14:paraId="06B0085D" w14:textId="77777777" w:rsidR="00E45835" w:rsidRDefault="00E45835">
      <w:pPr>
        <w:pStyle w:val="CommentText"/>
      </w:pPr>
      <w:r>
        <w:t xml:space="preserve">Taken from current position statement and edited: </w:t>
      </w:r>
      <w:r>
        <w:rPr>
          <w:rStyle w:val="CommentReference"/>
        </w:rPr>
        <w:annotationRef/>
      </w:r>
      <w:hyperlink r:id="rId1" w:history="1">
        <w:r w:rsidRPr="00AA28A0">
          <w:rPr>
            <w:rStyle w:val="Hyperlink"/>
          </w:rPr>
          <w:t>https://c.ymcdn.com/sites/www.cste.org/resource/resmgr/PS/09-ID-16.pdf</w:t>
        </w:r>
      </w:hyperlink>
      <w:r>
        <w:t xml:space="preserve"> </w:t>
      </w:r>
    </w:p>
  </w:comment>
  <w:comment w:id="1" w:author="Nichols Heitman, Kristen M. (CDC/OID/NCEZID)" w:date="2018-08-15T12:25:00Z" w:initials="NHKM(">
    <w:p w14:paraId="0678002F" w14:textId="2033FE0D" w:rsidR="00E45835" w:rsidRDefault="00E45835">
      <w:pPr>
        <w:pStyle w:val="CommentText"/>
      </w:pPr>
      <w:r>
        <w:rPr>
          <w:rStyle w:val="CommentReference"/>
        </w:rPr>
        <w:annotationRef/>
      </w:r>
      <w:r>
        <w:t>The changes made below represent a more conservative approach to changing the current case definition.</w:t>
      </w:r>
    </w:p>
  </w:comment>
  <w:comment w:id="3" w:author="Nichols Heitman, Kristen M. (CDC/OID/NCEZID)" w:date="2018-08-13T12:21:00Z" w:initials="NHKM(">
    <w:p w14:paraId="2A3D9C92" w14:textId="77777777" w:rsidR="00E45835" w:rsidRDefault="00E45835">
      <w:pPr>
        <w:pStyle w:val="CommentText"/>
      </w:pPr>
      <w:r>
        <w:rPr>
          <w:rStyle w:val="CommentReference"/>
        </w:rPr>
        <w:annotationRef/>
      </w:r>
      <w:r>
        <w:t>- Changed “fourfold change” to “fourfold increase”</w:t>
      </w:r>
    </w:p>
  </w:comment>
  <w:comment w:id="5" w:author="Nichols Heitman, Kristen M. (CDC/OID/NCEZID)" w:date="2018-08-13T12:21:00Z" w:initials="NHKM(">
    <w:p w14:paraId="277DE839" w14:textId="0B21143B" w:rsidR="00E45835" w:rsidRDefault="00E45835">
      <w:pPr>
        <w:pStyle w:val="CommentText"/>
      </w:pPr>
      <w:r>
        <w:rPr>
          <w:rStyle w:val="CommentReference"/>
        </w:rPr>
        <w:annotationRef/>
      </w:r>
      <w:r>
        <w:t>- Specified cut-off titer of &gt;=1:64 (based on the current cut-off used by CDC Reference Diagnostic Laboratory; this should be discussed in the next working group call)</w:t>
      </w:r>
    </w:p>
    <w:p w14:paraId="2442AAC0" w14:textId="77777777" w:rsidR="00E45835" w:rsidRDefault="00E45835">
      <w:pPr>
        <w:pStyle w:val="CommentText"/>
      </w:pPr>
      <w:r>
        <w:t>- Removed IgM, ELISA/EIA, latex agglutination</w:t>
      </w:r>
    </w:p>
  </w:comment>
  <w:comment w:id="2" w:author="Gaines, David (VDH)" w:date="2018-08-16T15:36:00Z" w:initials="GD(">
    <w:p w14:paraId="12FB0E8E" w14:textId="57D0D271" w:rsidR="00807898" w:rsidRDefault="00807898">
      <w:pPr>
        <w:pStyle w:val="CommentText"/>
      </w:pPr>
      <w:r>
        <w:rPr>
          <w:rStyle w:val="CommentReference"/>
        </w:rPr>
        <w:annotationRef/>
      </w:r>
      <w:r w:rsidR="00C83618">
        <w:t xml:space="preserve">A significant portion </w:t>
      </w:r>
      <w:r w:rsidR="00175AAF">
        <w:t>(&gt;</w:t>
      </w:r>
      <w:r w:rsidR="00175AAF">
        <w:t xml:space="preserve"> 50%</w:t>
      </w:r>
      <w:r w:rsidR="00175AAF">
        <w:t>)</w:t>
      </w:r>
      <w:r w:rsidR="00175AAF">
        <w:t xml:space="preserve"> </w:t>
      </w:r>
      <w:r w:rsidR="00C83618">
        <w:t xml:space="preserve">of the SFR patients we count </w:t>
      </w:r>
      <w:r w:rsidR="00EC6039">
        <w:t xml:space="preserve">in Virginia </w:t>
      </w:r>
      <w:r w:rsidR="00C83618">
        <w:t xml:space="preserve">each year have been tested for RMSF by serology </w:t>
      </w:r>
      <w:r w:rsidR="00170E4A">
        <w:t>o</w:t>
      </w:r>
      <w:r w:rsidR="00C83618">
        <w:t xml:space="preserve">n both an acute and </w:t>
      </w:r>
      <w:r w:rsidR="00170E4A">
        <w:t xml:space="preserve">a </w:t>
      </w:r>
      <w:r w:rsidR="00C83618">
        <w:t>convalescent serum specimen</w:t>
      </w:r>
      <w:r w:rsidR="00170E4A">
        <w:t>,</w:t>
      </w:r>
      <w:r w:rsidR="00C83618">
        <w:t xml:space="preserve"> and these assays have not shown a four-fold rise in titer for SFR exposure</w:t>
      </w:r>
      <w:proofErr w:type="gramStart"/>
      <w:r w:rsidR="00C83618">
        <w:t>..</w:t>
      </w:r>
      <w:proofErr w:type="gramEnd"/>
      <w:r w:rsidR="00C83618">
        <w:t xml:space="preserve"> </w:t>
      </w:r>
      <w:r w:rsidR="00175AAF">
        <w:t>Therefore, i</w:t>
      </w:r>
      <w:r w:rsidR="00C83618">
        <w:t>t would seem to me that all of these cases could be discarded from the outset and this would greatly reduce the burden of local epidemiologists investigating SFR cases.  Therefore I recommend that you have a case definition category called “Not a Case” and all patients who have been tested by an appropriate</w:t>
      </w:r>
      <w:r w:rsidR="00175AAF">
        <w:t>ly timed (acute and convalescent</w:t>
      </w:r>
      <w:proofErr w:type="gramStart"/>
      <w:r w:rsidR="00175AAF">
        <w:t xml:space="preserve">) </w:t>
      </w:r>
      <w:r w:rsidR="00C83618">
        <w:t xml:space="preserve"> quantitative</w:t>
      </w:r>
      <w:proofErr w:type="gramEnd"/>
      <w:r w:rsidR="00C83618">
        <w:t xml:space="preserve"> IFA assay for IgG, without a four</w:t>
      </w:r>
      <w:r w:rsidR="00170E4A">
        <w:t>-</w:t>
      </w:r>
      <w:r w:rsidR="00C83618">
        <w:t xml:space="preserve">fold rise in titer be discounted as </w:t>
      </w:r>
      <w:r w:rsidR="00170E4A">
        <w:t>“</w:t>
      </w:r>
      <w:r w:rsidR="00C83618">
        <w:t>Not a Case</w:t>
      </w:r>
      <w:r w:rsidR="00170E4A">
        <w:t>”</w:t>
      </w:r>
      <w:r w:rsidR="00C83618">
        <w:t>.</w:t>
      </w:r>
      <w:r w:rsidR="00175AAF">
        <w:t xml:space="preserve">  That is unless you can give me a good reason for counting these cases?</w:t>
      </w:r>
    </w:p>
  </w:comment>
  <w:comment w:id="4" w:author="Gaines, David (VDH)" w:date="2018-08-16T17:18:00Z" w:initials="GD(">
    <w:p w14:paraId="39762335" w14:textId="5919B5D9" w:rsidR="00C83618" w:rsidRDefault="00C83618">
      <w:pPr>
        <w:pStyle w:val="CommentText"/>
      </w:pPr>
      <w:r>
        <w:rPr>
          <w:rStyle w:val="CommentReference"/>
        </w:rPr>
        <w:annotationRef/>
      </w:r>
      <w:r>
        <w:t xml:space="preserve">Another large percentage of the cases we see every year </w:t>
      </w:r>
      <w:r w:rsidR="00EC6039">
        <w:t xml:space="preserve">in Virginia </w:t>
      </w:r>
      <w:r>
        <w:t>(up to 39%</w:t>
      </w:r>
      <w:r w:rsidR="00EC6039">
        <w:t xml:space="preserve"> over a period</w:t>
      </w:r>
      <w:r>
        <w:t xml:space="preserve"> of </w:t>
      </w:r>
      <w:r w:rsidR="00175AAF">
        <w:t xml:space="preserve">three </w:t>
      </w:r>
      <w:r>
        <w:t>consecutive years</w:t>
      </w:r>
      <w:r w:rsidR="00EC6039">
        <w:t>)</w:t>
      </w:r>
      <w:r>
        <w:t xml:space="preserve"> had </w:t>
      </w:r>
      <w:r w:rsidR="00175AAF">
        <w:t xml:space="preserve">only </w:t>
      </w:r>
      <w:r>
        <w:t>an acute serum specimen</w:t>
      </w:r>
      <w:r w:rsidR="00175AAF">
        <w:t xml:space="preserve"> drawn (&lt; 7 days after onset of illness) </w:t>
      </w:r>
      <w:r w:rsidR="00671F77">
        <w:t>which</w:t>
      </w:r>
      <w:r>
        <w:t xml:space="preserve"> tested </w:t>
      </w:r>
      <w:r w:rsidR="00175AAF">
        <w:t xml:space="preserve">positive </w:t>
      </w:r>
      <w:r>
        <w:t xml:space="preserve">with an appropriate quantitative IFA </w:t>
      </w:r>
      <w:r w:rsidR="00175AAF">
        <w:t>a</w:t>
      </w:r>
      <w:r>
        <w:t xml:space="preserve">ssay for </w:t>
      </w:r>
      <w:r w:rsidR="00671F77">
        <w:t>I</w:t>
      </w:r>
      <w:r>
        <w:t xml:space="preserve">gG.  Although these patients were </w:t>
      </w:r>
      <w:r w:rsidR="00170E4A">
        <w:t xml:space="preserve">all </w:t>
      </w:r>
      <w:bookmarkStart w:id="6" w:name="_GoBack"/>
      <w:bookmarkEnd w:id="6"/>
      <w:r>
        <w:t>tested too early in the</w:t>
      </w:r>
      <w:r w:rsidR="00671F77">
        <w:t>ir</w:t>
      </w:r>
      <w:r>
        <w:t xml:space="preserve"> course of illness to</w:t>
      </w:r>
      <w:r w:rsidR="00EC6039">
        <w:t xml:space="preserve"> have been able to develop a </w:t>
      </w:r>
      <w:r w:rsidR="00671F77">
        <w:t xml:space="preserve">valid </w:t>
      </w:r>
      <w:r w:rsidR="00EC6039">
        <w:t>detectable immune response</w:t>
      </w:r>
      <w:r w:rsidR="00671F77">
        <w:t>,</w:t>
      </w:r>
      <w:r w:rsidR="00EC6039">
        <w:t xml:space="preserve"> they </w:t>
      </w:r>
      <w:r w:rsidR="00671F77">
        <w:t xml:space="preserve">were considered by their </w:t>
      </w:r>
      <w:r w:rsidR="00170E4A">
        <w:t>doctor</w:t>
      </w:r>
      <w:r w:rsidR="00671F77">
        <w:t>s as potential SFR illness</w:t>
      </w:r>
      <w:r w:rsidR="00170E4A">
        <w:t>es</w:t>
      </w:r>
      <w:r w:rsidR="00671F77">
        <w:t>.  Therefore</w:t>
      </w:r>
      <w:r w:rsidR="00170E4A">
        <w:t>,</w:t>
      </w:r>
      <w:r w:rsidR="00671F77">
        <w:t xml:space="preserve"> although we may never really know if these were real SFR cases, </w:t>
      </w:r>
      <w:r w:rsidR="00EC6039">
        <w:t>if these patients ha</w:t>
      </w:r>
      <w:r w:rsidR="00671F77">
        <w:t>d</w:t>
      </w:r>
      <w:r w:rsidR="00EC6039">
        <w:t xml:space="preserve"> an SFR compatible clinical picture, they might be counted as “Suspect Cases</w:t>
      </w:r>
      <w:r w:rsidR="00671F77">
        <w:t>.</w:t>
      </w:r>
      <w:r w:rsidR="00EC6039">
        <w:t>”</w:t>
      </w:r>
      <w:r w:rsidR="00671F77">
        <w:t>.</w:t>
      </w:r>
      <w:r>
        <w:t xml:space="preserve"> </w:t>
      </w:r>
      <w:r w:rsidR="00671F77">
        <w:t xml:space="preserve"> Otherwise, to be counted as “Probable” cases, their single positive serum sample should have been drawn at least 7 days after their onset of illness.</w:t>
      </w:r>
      <w:r w:rsidR="00175AAF">
        <w:t xml:space="preserve">  </w:t>
      </w:r>
    </w:p>
  </w:comment>
  <w:comment w:id="7" w:author="Nichols Heitman, Kristen M. (CDC/OID/NCEZID)" w:date="2018-08-15T12:26:00Z" w:initials="NHKM(">
    <w:p w14:paraId="05A5F81E" w14:textId="3F8B7589" w:rsidR="00E45835" w:rsidRDefault="00E45835">
      <w:pPr>
        <w:pStyle w:val="CommentText"/>
      </w:pPr>
      <w:r>
        <w:rPr>
          <w:rStyle w:val="CommentReference"/>
        </w:rPr>
        <w:annotationRef/>
      </w:r>
      <w:r>
        <w:t>The changes made below represent the more aggressive approach to changing the case definition</w:t>
      </w:r>
      <w:r w:rsidR="009A746B">
        <w:t xml:space="preserve"> and include</w:t>
      </w:r>
      <w:r w:rsidR="00882C0B">
        <w:t xml:space="preserve"> the</w:t>
      </w:r>
      <w:r w:rsidR="009A746B">
        <w:t xml:space="preserve"> strict</w:t>
      </w:r>
      <w:r w:rsidR="00882C0B">
        <w:t>est</w:t>
      </w:r>
      <w:r w:rsidR="009A746B">
        <w:t xml:space="preserve"> criteria for meeting the case definition</w:t>
      </w:r>
      <w:r>
        <w:t>.</w:t>
      </w:r>
    </w:p>
  </w:comment>
  <w:comment w:id="8" w:author="Nichols Heitman, Kristen M. (CDC/OID/NCEZID)" w:date="2018-08-15T12:26:00Z" w:initials="NHKM(">
    <w:p w14:paraId="3AFBE329" w14:textId="15B1E688" w:rsidR="00E45835" w:rsidRDefault="00E45835">
      <w:pPr>
        <w:pStyle w:val="CommentText"/>
      </w:pPr>
      <w:r>
        <w:rPr>
          <w:rStyle w:val="CommentReference"/>
        </w:rPr>
        <w:annotationRef/>
      </w:r>
      <w:r>
        <w:t>The following groups are suggestions. We can discuss further whether it makes sense to use all or just one or two based on what is decided on with changing the laboratory criteria.</w:t>
      </w:r>
    </w:p>
  </w:comment>
  <w:comment w:id="9" w:author="Nichols Heitman, Kristen M. (CDC/OID/NCEZID)" w:date="2018-08-16T11:42:00Z" w:initials="NHKM(">
    <w:p w14:paraId="492610C6" w14:textId="405E0BA3" w:rsidR="00916FA8" w:rsidRDefault="00916FA8">
      <w:pPr>
        <w:pStyle w:val="CommentText"/>
      </w:pPr>
      <w:r>
        <w:rPr>
          <w:rStyle w:val="CommentReference"/>
        </w:rPr>
        <w:annotationRef/>
      </w:r>
      <w:r>
        <w:t>Due to recent findings by RZB Reference Diagnostic Laboratory, IFA IgG serology for SFGR cannot definitively speciate due to cross-reactivity between different SFGR antigens and so we have left off seroconversion as a means of meeting the laboratory confirmed criteria for these species-specific reporting groups.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B0085D" w15:done="0"/>
  <w15:commentEx w15:paraId="0678002F" w15:done="0"/>
  <w15:commentEx w15:paraId="2A3D9C92" w15:done="0"/>
  <w15:commentEx w15:paraId="2442AAC0" w15:done="0"/>
  <w15:commentEx w15:paraId="12FB0E8E" w15:done="0"/>
  <w15:commentEx w15:paraId="39762335" w15:done="0"/>
  <w15:commentEx w15:paraId="05A5F81E" w15:done="0"/>
  <w15:commentEx w15:paraId="3AFBE329" w15:done="0"/>
  <w15:commentEx w15:paraId="492610C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41709"/>
    <w:multiLevelType w:val="hybridMultilevel"/>
    <w:tmpl w:val="D6BA3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105AA9"/>
    <w:multiLevelType w:val="hybridMultilevel"/>
    <w:tmpl w:val="E0AA5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hols Heitman, Kristen M. (CDC/OID/NCEZID)">
    <w15:presenceInfo w15:providerId="AD" w15:userId="S-1-5-21-1207783550-2075000910-922709458-379145"/>
  </w15:person>
  <w15:person w15:author="Gaines, David (VDH)">
    <w15:presenceInfo w15:providerId="AD" w15:userId="S-1-5-21-3102109963-2641124013-111641105-968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C80"/>
    <w:rsid w:val="00005B34"/>
    <w:rsid w:val="00085178"/>
    <w:rsid w:val="000A0FE3"/>
    <w:rsid w:val="000E62D0"/>
    <w:rsid w:val="00170E4A"/>
    <w:rsid w:val="00175AAF"/>
    <w:rsid w:val="00183D00"/>
    <w:rsid w:val="00275183"/>
    <w:rsid w:val="002D768F"/>
    <w:rsid w:val="00311F64"/>
    <w:rsid w:val="004313C4"/>
    <w:rsid w:val="0047465E"/>
    <w:rsid w:val="004C1C80"/>
    <w:rsid w:val="004C677E"/>
    <w:rsid w:val="00513812"/>
    <w:rsid w:val="00554CA1"/>
    <w:rsid w:val="0059603D"/>
    <w:rsid w:val="005A165D"/>
    <w:rsid w:val="005C3931"/>
    <w:rsid w:val="005C4F05"/>
    <w:rsid w:val="00671F77"/>
    <w:rsid w:val="006E2939"/>
    <w:rsid w:val="00700C47"/>
    <w:rsid w:val="007F1296"/>
    <w:rsid w:val="00807898"/>
    <w:rsid w:val="00807DD5"/>
    <w:rsid w:val="00882C0B"/>
    <w:rsid w:val="00895998"/>
    <w:rsid w:val="008C6172"/>
    <w:rsid w:val="00916FA8"/>
    <w:rsid w:val="009A746B"/>
    <w:rsid w:val="009D3056"/>
    <w:rsid w:val="00AF033D"/>
    <w:rsid w:val="00B05232"/>
    <w:rsid w:val="00BA57E7"/>
    <w:rsid w:val="00BC24AE"/>
    <w:rsid w:val="00BC3139"/>
    <w:rsid w:val="00BF268E"/>
    <w:rsid w:val="00C4741B"/>
    <w:rsid w:val="00C83618"/>
    <w:rsid w:val="00D26908"/>
    <w:rsid w:val="00D831A6"/>
    <w:rsid w:val="00D86E79"/>
    <w:rsid w:val="00DC54B3"/>
    <w:rsid w:val="00E0264E"/>
    <w:rsid w:val="00E351F4"/>
    <w:rsid w:val="00E45835"/>
    <w:rsid w:val="00EC6039"/>
    <w:rsid w:val="00EC7E8C"/>
    <w:rsid w:val="00F72317"/>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A41F"/>
  <w15:chartTrackingRefBased/>
  <w15:docId w15:val="{0A689F6D-E3D1-4563-9C80-EB668711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C80"/>
    <w:pPr>
      <w:ind w:left="720"/>
      <w:contextualSpacing/>
    </w:pPr>
  </w:style>
  <w:style w:type="character" w:styleId="CommentReference">
    <w:name w:val="annotation reference"/>
    <w:basedOn w:val="DefaultParagraphFont"/>
    <w:uiPriority w:val="99"/>
    <w:semiHidden/>
    <w:unhideWhenUsed/>
    <w:rsid w:val="0047465E"/>
    <w:rPr>
      <w:sz w:val="16"/>
      <w:szCs w:val="16"/>
    </w:rPr>
  </w:style>
  <w:style w:type="paragraph" w:styleId="CommentText">
    <w:name w:val="annotation text"/>
    <w:basedOn w:val="Normal"/>
    <w:link w:val="CommentTextChar"/>
    <w:uiPriority w:val="99"/>
    <w:unhideWhenUsed/>
    <w:rsid w:val="0047465E"/>
    <w:pPr>
      <w:spacing w:line="240" w:lineRule="auto"/>
    </w:pPr>
    <w:rPr>
      <w:sz w:val="20"/>
      <w:szCs w:val="20"/>
    </w:rPr>
  </w:style>
  <w:style w:type="character" w:customStyle="1" w:styleId="CommentTextChar">
    <w:name w:val="Comment Text Char"/>
    <w:basedOn w:val="DefaultParagraphFont"/>
    <w:link w:val="CommentText"/>
    <w:uiPriority w:val="99"/>
    <w:rsid w:val="0047465E"/>
    <w:rPr>
      <w:sz w:val="20"/>
      <w:szCs w:val="20"/>
    </w:rPr>
  </w:style>
  <w:style w:type="paragraph" w:styleId="CommentSubject">
    <w:name w:val="annotation subject"/>
    <w:basedOn w:val="CommentText"/>
    <w:next w:val="CommentText"/>
    <w:link w:val="CommentSubjectChar"/>
    <w:uiPriority w:val="99"/>
    <w:semiHidden/>
    <w:unhideWhenUsed/>
    <w:rsid w:val="0047465E"/>
    <w:rPr>
      <w:b/>
      <w:bCs/>
    </w:rPr>
  </w:style>
  <w:style w:type="character" w:customStyle="1" w:styleId="CommentSubjectChar">
    <w:name w:val="Comment Subject Char"/>
    <w:basedOn w:val="CommentTextChar"/>
    <w:link w:val="CommentSubject"/>
    <w:uiPriority w:val="99"/>
    <w:semiHidden/>
    <w:rsid w:val="0047465E"/>
    <w:rPr>
      <w:b/>
      <w:bCs/>
      <w:sz w:val="20"/>
      <w:szCs w:val="20"/>
    </w:rPr>
  </w:style>
  <w:style w:type="paragraph" w:styleId="BalloonText">
    <w:name w:val="Balloon Text"/>
    <w:basedOn w:val="Normal"/>
    <w:link w:val="BalloonTextChar"/>
    <w:uiPriority w:val="99"/>
    <w:semiHidden/>
    <w:unhideWhenUsed/>
    <w:rsid w:val="004746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65E"/>
    <w:rPr>
      <w:rFonts w:ascii="Segoe UI" w:hAnsi="Segoe UI" w:cs="Segoe UI"/>
      <w:sz w:val="18"/>
      <w:szCs w:val="18"/>
    </w:rPr>
  </w:style>
  <w:style w:type="character" w:styleId="Hyperlink">
    <w:name w:val="Hyperlink"/>
    <w:basedOn w:val="DefaultParagraphFont"/>
    <w:uiPriority w:val="99"/>
    <w:unhideWhenUsed/>
    <w:rsid w:val="0047465E"/>
    <w:rPr>
      <w:color w:val="0563C1" w:themeColor="hyperlink"/>
      <w:u w:val="single"/>
    </w:rPr>
  </w:style>
  <w:style w:type="character" w:styleId="FollowedHyperlink">
    <w:name w:val="FollowedHyperlink"/>
    <w:basedOn w:val="DefaultParagraphFont"/>
    <w:uiPriority w:val="99"/>
    <w:semiHidden/>
    <w:unhideWhenUsed/>
    <w:rsid w:val="00E02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45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ymcdn.com/sites/www.cste.org/resource/resmgr/PS/09-ID-16.pdf" TargetMode="External"/></Relationship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Heitman, Kristen M. (CDC/OID/NCEZID)</dc:creator>
  <cp:keywords/>
  <dc:description/>
  <cp:lastModifiedBy>Gaines, David (VDH)</cp:lastModifiedBy>
  <cp:revision>2</cp:revision>
  <dcterms:created xsi:type="dcterms:W3CDTF">2018-08-16T21:59:00Z</dcterms:created>
  <dcterms:modified xsi:type="dcterms:W3CDTF">2018-08-16T21:59:00Z</dcterms:modified>
</cp:coreProperties>
</file>