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3FBF2" w14:textId="77777777" w:rsidR="006156C3" w:rsidRDefault="006156C3" w:rsidP="006156C3">
      <w:pPr>
        <w:pStyle w:val="Heading1"/>
        <w:rPr>
          <w:rFonts w:cs="Times New Roman"/>
          <w:b w:val="0"/>
          <w:color w:val="3957B9"/>
          <w:sz w:val="52"/>
          <w:szCs w:val="52"/>
          <w:u w:val="single"/>
        </w:rPr>
      </w:pPr>
      <w:r>
        <w:rPr>
          <w:rFonts w:cs="Times New Roman"/>
          <w:b w:val="0"/>
          <w:color w:val="3957B9"/>
          <w:sz w:val="52"/>
          <w:szCs w:val="52"/>
          <w:u w:val="single"/>
        </w:rPr>
        <w:t>How to Analyze and Interpret the Data____</w:t>
      </w:r>
    </w:p>
    <w:p w14:paraId="46055C0A" w14:textId="77777777" w:rsidR="006156C3" w:rsidRDefault="006156C3" w:rsidP="006156C3">
      <w:pPr>
        <w:pStyle w:val="Heading3"/>
        <w:rPr>
          <w:b w:val="0"/>
          <w:sz w:val="28"/>
          <w:szCs w:val="28"/>
        </w:rPr>
      </w:pPr>
      <w:r>
        <w:rPr>
          <w:b w:val="0"/>
          <w:sz w:val="28"/>
          <w:szCs w:val="28"/>
        </w:rPr>
        <w:t>Data Entry</w:t>
      </w:r>
    </w:p>
    <w:p w14:paraId="56A8BF7A" w14:textId="77777777" w:rsidR="006156C3" w:rsidRPr="00D22E5D" w:rsidRDefault="006156C3" w:rsidP="006156C3">
      <w:pPr>
        <w:spacing w:after="160" w:line="360" w:lineRule="auto"/>
        <w:rPr>
          <w:rFonts w:eastAsia="Times New Roman"/>
          <w:sz w:val="24"/>
          <w:szCs w:val="24"/>
        </w:rPr>
      </w:pPr>
      <w:r w:rsidRPr="00D22E5D">
        <w:rPr>
          <w:rFonts w:eastAsia="Times New Roman"/>
          <w:sz w:val="24"/>
          <w:szCs w:val="24"/>
        </w:rPr>
        <w:t>Once the surveillance data has been gathered</w:t>
      </w:r>
      <w:r>
        <w:rPr>
          <w:rFonts w:eastAsia="Times New Roman"/>
          <w:sz w:val="24"/>
          <w:szCs w:val="24"/>
        </w:rPr>
        <w:t>,</w:t>
      </w:r>
      <w:r w:rsidRPr="00D22E5D">
        <w:rPr>
          <w:rFonts w:eastAsia="Times New Roman"/>
          <w:sz w:val="24"/>
          <w:szCs w:val="24"/>
        </w:rPr>
        <w:t xml:space="preserve"> it will need to be prepared for analysis. Data entry will depend on the method used to collect the data. The table below provides considerations for data entry</w:t>
      </w:r>
      <w:r>
        <w:rPr>
          <w:rFonts w:eastAsia="Times New Roman"/>
          <w:sz w:val="24"/>
          <w:szCs w:val="24"/>
        </w:rPr>
        <w:t>,</w:t>
      </w:r>
      <w:r w:rsidRPr="00D22E5D">
        <w:rPr>
          <w:rFonts w:eastAsia="Times New Roman"/>
          <w:sz w:val="24"/>
          <w:szCs w:val="24"/>
        </w:rPr>
        <w:t xml:space="preserve"> depending on whether paper or electronic formats were used.</w:t>
      </w:r>
    </w:p>
    <w:p w14:paraId="22C68EFA" w14:textId="77777777" w:rsidR="006156C3" w:rsidRDefault="006156C3" w:rsidP="006156C3">
      <w:pPr>
        <w:spacing w:after="160" w:line="360" w:lineRule="auto"/>
        <w:rPr>
          <w:rFonts w:eastAsia="Times New Roman"/>
          <w:b/>
        </w:rPr>
      </w:pPr>
      <w:r w:rsidRPr="002A34DF">
        <w:rPr>
          <w:rFonts w:eastAsia="Times New Roman"/>
          <w:b/>
        </w:rPr>
        <w:t>Table 1. Considerations for Data Entry</w:t>
      </w:r>
      <w:r>
        <w:rPr>
          <w:rStyle w:val="FootnoteReference"/>
          <w:rFonts w:eastAsia="Times New Roman"/>
          <w:b/>
        </w:rPr>
        <w:footnoteReference w:id="1"/>
      </w:r>
    </w:p>
    <w:tbl>
      <w:tblPr>
        <w:tblStyle w:val="LightList-Accent1"/>
        <w:tblW w:w="0" w:type="auto"/>
        <w:tblLook w:val="04A0" w:firstRow="1" w:lastRow="0" w:firstColumn="1" w:lastColumn="0" w:noHBand="0" w:noVBand="1"/>
      </w:tblPr>
      <w:tblGrid>
        <w:gridCol w:w="4617"/>
        <w:gridCol w:w="4723"/>
      </w:tblGrid>
      <w:tr w:rsidR="006156C3" w14:paraId="78EDE7F6" w14:textId="77777777" w:rsidTr="009E54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3667D6A0" w14:textId="77777777" w:rsidR="006156C3" w:rsidRPr="00FC6C6D" w:rsidRDefault="006156C3" w:rsidP="009E54F1">
            <w:pPr>
              <w:spacing w:after="160" w:line="252" w:lineRule="auto"/>
              <w:jc w:val="center"/>
              <w:rPr>
                <w:rFonts w:eastAsia="Times New Roman"/>
                <w:b w:val="0"/>
                <w:sz w:val="20"/>
                <w:szCs w:val="20"/>
              </w:rPr>
            </w:pPr>
            <w:r w:rsidRPr="00FC6C6D">
              <w:rPr>
                <w:rFonts w:eastAsia="Times New Roman"/>
                <w:sz w:val="20"/>
                <w:szCs w:val="20"/>
              </w:rPr>
              <w:t>Data Collection Format</w:t>
            </w:r>
          </w:p>
        </w:tc>
        <w:tc>
          <w:tcPr>
            <w:tcW w:w="5035" w:type="dxa"/>
          </w:tcPr>
          <w:p w14:paraId="48A18EBE" w14:textId="77777777" w:rsidR="006156C3" w:rsidRPr="00FC6C6D" w:rsidRDefault="006156C3" w:rsidP="009E54F1">
            <w:pPr>
              <w:spacing w:after="160" w:line="252"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sz w:val="20"/>
                <w:szCs w:val="20"/>
              </w:rPr>
            </w:pPr>
            <w:r w:rsidRPr="00FC6C6D">
              <w:rPr>
                <w:rFonts w:eastAsia="Times New Roman"/>
                <w:sz w:val="20"/>
                <w:szCs w:val="20"/>
              </w:rPr>
              <w:t>Data Entry</w:t>
            </w:r>
          </w:p>
        </w:tc>
      </w:tr>
      <w:tr w:rsidR="006156C3" w14:paraId="0DA25322"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tcPr>
          <w:p w14:paraId="59E8B982" w14:textId="77777777" w:rsidR="006156C3" w:rsidRPr="00FC6C6D" w:rsidRDefault="006156C3" w:rsidP="009E54F1">
            <w:pPr>
              <w:spacing w:after="160" w:line="252" w:lineRule="auto"/>
              <w:rPr>
                <w:rFonts w:eastAsia="Times New Roman"/>
                <w:sz w:val="20"/>
                <w:szCs w:val="20"/>
              </w:rPr>
            </w:pPr>
            <w:r w:rsidRPr="00FC6C6D">
              <w:rPr>
                <w:rFonts w:eastAsia="Times New Roman"/>
                <w:sz w:val="20"/>
                <w:szCs w:val="20"/>
              </w:rPr>
              <w:t>Paper Form Collection</w:t>
            </w:r>
          </w:p>
        </w:tc>
        <w:tc>
          <w:tcPr>
            <w:tcW w:w="5035" w:type="dxa"/>
          </w:tcPr>
          <w:p w14:paraId="502194DB" w14:textId="77777777" w:rsidR="006156C3" w:rsidRPr="00FC6C6D" w:rsidRDefault="006156C3" w:rsidP="006156C3">
            <w:pPr>
              <w:pStyle w:val="ListParagraph"/>
              <w:numPr>
                <w:ilvl w:val="0"/>
                <w:numId w:val="1"/>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 xml:space="preserve">Enter data into an electronic dataset using software that is familiar, easily accessible, and maintainable. </w:t>
            </w:r>
          </w:p>
          <w:p w14:paraId="33586D3A" w14:textId="77777777" w:rsidR="006156C3" w:rsidRPr="00FC6C6D" w:rsidRDefault="006156C3" w:rsidP="006156C3">
            <w:pPr>
              <w:pStyle w:val="ListParagraph"/>
              <w:numPr>
                <w:ilvl w:val="0"/>
                <w:numId w:val="1"/>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Build the data entry platform prior to conducting field work.</w:t>
            </w:r>
          </w:p>
          <w:p w14:paraId="6263117A" w14:textId="77777777" w:rsidR="006156C3" w:rsidRPr="00FC6C6D" w:rsidRDefault="006156C3" w:rsidP="006156C3">
            <w:pPr>
              <w:pStyle w:val="ListParagraph"/>
              <w:numPr>
                <w:ilvl w:val="0"/>
                <w:numId w:val="1"/>
              </w:numPr>
              <w:spacing w:after="160" w:line="252" w:lineRule="auto"/>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FC6C6D">
              <w:rPr>
                <w:rFonts w:eastAsia="Times New Roman"/>
                <w:sz w:val="20"/>
                <w:szCs w:val="20"/>
              </w:rPr>
              <w:t>Train data entry staff so they are familiar with the software and use proper techniques to promote quality and accuracy during entry.</w:t>
            </w:r>
          </w:p>
        </w:tc>
      </w:tr>
      <w:tr w:rsidR="006156C3" w14:paraId="41C86A26" w14:textId="77777777" w:rsidTr="009E54F1">
        <w:tc>
          <w:tcPr>
            <w:cnfStyle w:val="001000000000" w:firstRow="0" w:lastRow="0" w:firstColumn="1" w:lastColumn="0" w:oddVBand="0" w:evenVBand="0" w:oddHBand="0" w:evenHBand="0" w:firstRowFirstColumn="0" w:firstRowLastColumn="0" w:lastRowFirstColumn="0" w:lastRowLastColumn="0"/>
            <w:tcW w:w="5035" w:type="dxa"/>
          </w:tcPr>
          <w:p w14:paraId="275C02B7" w14:textId="77777777" w:rsidR="006156C3" w:rsidRPr="00FC6C6D" w:rsidRDefault="006156C3" w:rsidP="009E54F1">
            <w:pPr>
              <w:spacing w:after="160" w:line="252" w:lineRule="auto"/>
              <w:rPr>
                <w:rFonts w:eastAsia="Times New Roman"/>
                <w:sz w:val="20"/>
                <w:szCs w:val="20"/>
              </w:rPr>
            </w:pPr>
            <w:r w:rsidRPr="00FC6C6D">
              <w:rPr>
                <w:rFonts w:eastAsia="Times New Roman"/>
                <w:sz w:val="20"/>
                <w:szCs w:val="20"/>
              </w:rPr>
              <w:t>Electronic Device Collection</w:t>
            </w:r>
          </w:p>
        </w:tc>
        <w:tc>
          <w:tcPr>
            <w:tcW w:w="5035" w:type="dxa"/>
          </w:tcPr>
          <w:p w14:paraId="0FE0E546" w14:textId="77777777" w:rsidR="006156C3" w:rsidRPr="00FC6C6D" w:rsidRDefault="006156C3" w:rsidP="006156C3">
            <w:pPr>
              <w:pStyle w:val="ListParagraph"/>
              <w:numPr>
                <w:ilvl w:val="0"/>
                <w:numId w:val="2"/>
              </w:numPr>
              <w:spacing w:after="160" w:line="252" w:lineRule="auto"/>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FC6C6D">
              <w:rPr>
                <w:rFonts w:eastAsia="Times New Roman"/>
                <w:sz w:val="20"/>
                <w:szCs w:val="20"/>
              </w:rPr>
              <w:t>Merge collected data into a single file for analysis</w:t>
            </w:r>
          </w:p>
        </w:tc>
      </w:tr>
    </w:tbl>
    <w:p w14:paraId="409D04BA" w14:textId="77777777" w:rsidR="006156C3" w:rsidRPr="002A34DF" w:rsidRDefault="006156C3" w:rsidP="006156C3">
      <w:pPr>
        <w:spacing w:after="160" w:line="360" w:lineRule="auto"/>
        <w:rPr>
          <w:rFonts w:eastAsia="Times New Roman"/>
          <w:b/>
        </w:rPr>
      </w:pPr>
    </w:p>
    <w:p w14:paraId="62CB3400" w14:textId="77777777" w:rsidR="006156C3" w:rsidRDefault="006156C3" w:rsidP="006156C3">
      <w:pPr>
        <w:pStyle w:val="Heading3"/>
        <w:rPr>
          <w:b w:val="0"/>
          <w:sz w:val="28"/>
          <w:szCs w:val="28"/>
        </w:rPr>
      </w:pPr>
      <w:r>
        <w:rPr>
          <w:b w:val="0"/>
          <w:sz w:val="28"/>
          <w:szCs w:val="28"/>
        </w:rPr>
        <w:t>Analysis</w:t>
      </w:r>
    </w:p>
    <w:p w14:paraId="2896DB70" w14:textId="77777777" w:rsidR="006156C3" w:rsidRPr="00D22E5D" w:rsidRDefault="006156C3" w:rsidP="006156C3">
      <w:pPr>
        <w:spacing w:line="360" w:lineRule="auto"/>
        <w:rPr>
          <w:sz w:val="24"/>
          <w:szCs w:val="24"/>
          <w:vertAlign w:val="superscript"/>
        </w:rPr>
      </w:pPr>
      <w:commentRangeStart w:id="0"/>
      <w:r w:rsidRPr="00D22E5D">
        <w:rPr>
          <w:sz w:val="24"/>
          <w:szCs w:val="24"/>
        </w:rPr>
        <w:t>Determine the data analysis approach in the preparedness phase. Things to consider include the technical capacity for analysis available, how complex the analysis will be, and how</w:t>
      </w:r>
      <w:r>
        <w:rPr>
          <w:sz w:val="24"/>
          <w:szCs w:val="24"/>
        </w:rPr>
        <w:t xml:space="preserve"> </w:t>
      </w:r>
      <w:r w:rsidRPr="00D22E5D">
        <w:rPr>
          <w:sz w:val="24"/>
          <w:szCs w:val="24"/>
        </w:rPr>
        <w:lastRenderedPageBreak/>
        <w:t>frequently the data will be tabulated and analyzed.</w:t>
      </w:r>
      <w:r w:rsidRPr="00D22E5D">
        <w:rPr>
          <w:rStyle w:val="FootnoteReference"/>
          <w:sz w:val="24"/>
          <w:szCs w:val="24"/>
        </w:rPr>
        <w:footnoteReference w:id="2"/>
      </w:r>
      <w:r w:rsidRPr="00D22E5D">
        <w:rPr>
          <w:sz w:val="24"/>
          <w:szCs w:val="24"/>
          <w:vertAlign w:val="superscript"/>
        </w:rPr>
        <w:t>,</w:t>
      </w:r>
      <w:r w:rsidRPr="00D22E5D">
        <w:rPr>
          <w:rStyle w:val="FootnoteReference"/>
          <w:sz w:val="24"/>
          <w:szCs w:val="24"/>
        </w:rPr>
        <w:footnoteReference w:id="3"/>
      </w:r>
      <w:r w:rsidRPr="00D22E5D">
        <w:rPr>
          <w:sz w:val="24"/>
          <w:szCs w:val="24"/>
        </w:rPr>
        <w:t xml:space="preserve"> Incidence and prevalence are useful measures for analyzing the frequency of injury or illness.</w:t>
      </w:r>
      <w:r w:rsidRPr="00D22E5D">
        <w:rPr>
          <w:rStyle w:val="FootnoteReference"/>
          <w:sz w:val="24"/>
          <w:szCs w:val="24"/>
        </w:rPr>
        <w:footnoteReference w:id="4"/>
      </w:r>
      <w:r w:rsidRPr="00D22E5D">
        <w:rPr>
          <w:sz w:val="24"/>
          <w:szCs w:val="24"/>
          <w:vertAlign w:val="superscript"/>
        </w:rPr>
        <w:t>,</w:t>
      </w:r>
      <w:r w:rsidRPr="00D22E5D">
        <w:rPr>
          <w:rStyle w:val="FootnoteReference"/>
          <w:sz w:val="24"/>
          <w:szCs w:val="24"/>
        </w:rPr>
        <w:footnoteReference w:id="5"/>
      </w:r>
      <w:r>
        <w:rPr>
          <w:sz w:val="24"/>
          <w:szCs w:val="24"/>
          <w:vertAlign w:val="superscript"/>
        </w:rPr>
        <w:t xml:space="preserve"> </w:t>
      </w:r>
    </w:p>
    <w:p w14:paraId="3E6D1FB2" w14:textId="77777777" w:rsidR="006156C3" w:rsidRPr="00D22E5D" w:rsidRDefault="006156C3" w:rsidP="006156C3">
      <w:pPr>
        <w:spacing w:line="360" w:lineRule="auto"/>
        <w:rPr>
          <w:sz w:val="24"/>
          <w:szCs w:val="24"/>
          <w:vertAlign w:val="superscript"/>
        </w:rPr>
      </w:pPr>
      <w:r w:rsidRPr="00D22E5D">
        <w:rPr>
          <w:sz w:val="24"/>
          <w:szCs w:val="24"/>
        </w:rPr>
        <w:t>Incidence measures the occurrence of new cases of death, disease</w:t>
      </w:r>
      <w:r>
        <w:rPr>
          <w:sz w:val="24"/>
          <w:szCs w:val="24"/>
        </w:rPr>
        <w:t>,</w:t>
      </w:r>
      <w:r w:rsidRPr="00D22E5D">
        <w:rPr>
          <w:sz w:val="24"/>
          <w:szCs w:val="24"/>
        </w:rPr>
        <w:t xml:space="preserve"> or injury in a population. Prevalence measures the existing cases of death, disease, or injury.</w:t>
      </w:r>
      <w:r w:rsidRPr="00D22E5D">
        <w:rPr>
          <w:rStyle w:val="FootnoteReference"/>
          <w:sz w:val="24"/>
          <w:szCs w:val="24"/>
        </w:rPr>
        <w:footnoteReference w:id="6"/>
      </w:r>
      <w:r w:rsidRPr="00D22E5D">
        <w:rPr>
          <w:sz w:val="24"/>
          <w:szCs w:val="24"/>
          <w:vertAlign w:val="superscript"/>
        </w:rPr>
        <w:t>,</w:t>
      </w:r>
      <w:r w:rsidRPr="00D22E5D">
        <w:rPr>
          <w:rStyle w:val="FootnoteReference"/>
          <w:sz w:val="24"/>
          <w:szCs w:val="24"/>
        </w:rPr>
        <w:t>23</w:t>
      </w:r>
      <w:r w:rsidRPr="00D22E5D">
        <w:rPr>
          <w:sz w:val="24"/>
          <w:szCs w:val="24"/>
        </w:rPr>
        <w:t xml:space="preserve"> Incidence and prevalence are usually simple and easy to understand</w:t>
      </w:r>
      <w:r>
        <w:rPr>
          <w:sz w:val="24"/>
          <w:szCs w:val="24"/>
        </w:rPr>
        <w:t xml:space="preserve"> measures</w:t>
      </w:r>
      <w:r w:rsidRPr="00D22E5D">
        <w:rPr>
          <w:sz w:val="24"/>
          <w:szCs w:val="24"/>
        </w:rPr>
        <w:t>. They can identify clusters of disease</w:t>
      </w:r>
      <w:r>
        <w:rPr>
          <w:sz w:val="24"/>
          <w:szCs w:val="24"/>
        </w:rPr>
        <w:t>,</w:t>
      </w:r>
      <w:r w:rsidRPr="00D22E5D">
        <w:rPr>
          <w:sz w:val="24"/>
          <w:szCs w:val="24"/>
        </w:rPr>
        <w:t xml:space="preserve"> aid in health planning</w:t>
      </w:r>
      <w:r>
        <w:rPr>
          <w:sz w:val="24"/>
          <w:szCs w:val="24"/>
        </w:rPr>
        <w:t>,</w:t>
      </w:r>
      <w:r w:rsidRPr="00D22E5D">
        <w:rPr>
          <w:sz w:val="24"/>
          <w:szCs w:val="24"/>
        </w:rPr>
        <w:t xml:space="preserve"> and also may be useful for identifying the number of beds or doses of medication required in a shelter.</w:t>
      </w:r>
      <w:r w:rsidRPr="00D22E5D">
        <w:rPr>
          <w:rStyle w:val="FootnoteReference"/>
          <w:sz w:val="24"/>
          <w:szCs w:val="24"/>
        </w:rPr>
        <w:footnoteReference w:id="7"/>
      </w:r>
      <w:r w:rsidRPr="00D22E5D">
        <w:rPr>
          <w:sz w:val="24"/>
          <w:szCs w:val="24"/>
          <w:vertAlign w:val="superscript"/>
        </w:rPr>
        <w:t>,23</w:t>
      </w:r>
    </w:p>
    <w:p w14:paraId="7B65B87E" w14:textId="77777777" w:rsidR="006156C3" w:rsidRPr="00D22E5D" w:rsidRDefault="006156C3" w:rsidP="006156C3">
      <w:pPr>
        <w:spacing w:line="360" w:lineRule="auto"/>
        <w:rPr>
          <w:sz w:val="24"/>
          <w:szCs w:val="24"/>
        </w:rPr>
      </w:pPr>
      <w:r w:rsidRPr="00D22E5D">
        <w:rPr>
          <w:sz w:val="24"/>
          <w:szCs w:val="24"/>
        </w:rPr>
        <w:t>Rates are measures of risk that allow you to compare the frequency of morbidity and mortality in different places, times, or population groups.</w:t>
      </w:r>
      <w:r w:rsidRPr="00D22E5D">
        <w:rPr>
          <w:rStyle w:val="FootnoteReference"/>
          <w:sz w:val="24"/>
          <w:szCs w:val="24"/>
        </w:rPr>
        <w:footnoteReference w:id="8"/>
      </w:r>
      <w:r w:rsidRPr="00D22E5D">
        <w:rPr>
          <w:sz w:val="24"/>
          <w:szCs w:val="24"/>
        </w:rPr>
        <w:t xml:space="preserve"> For example, you can compare the rates of illness in two different shelters and investigate if children under five years are affected more than other age groups.</w:t>
      </w:r>
      <w:r w:rsidRPr="00D22E5D">
        <w:rPr>
          <w:rStyle w:val="FootnoteReference"/>
          <w:sz w:val="24"/>
          <w:szCs w:val="24"/>
        </w:rPr>
        <w:footnoteReference w:id="9"/>
      </w:r>
    </w:p>
    <w:p w14:paraId="0863A8E5" w14:textId="77777777" w:rsidR="006156C3" w:rsidRPr="00D22E5D" w:rsidRDefault="006156C3" w:rsidP="006156C3">
      <w:pPr>
        <w:spacing w:line="360" w:lineRule="auto"/>
        <w:rPr>
          <w:sz w:val="24"/>
          <w:szCs w:val="24"/>
        </w:rPr>
      </w:pPr>
      <w:r w:rsidRPr="00D22E5D">
        <w:rPr>
          <w:sz w:val="24"/>
          <w:szCs w:val="24"/>
        </w:rPr>
        <w:t>In situations where data collection extends over several days</w:t>
      </w:r>
      <w:r>
        <w:rPr>
          <w:sz w:val="24"/>
          <w:szCs w:val="24"/>
        </w:rPr>
        <w:t>,</w:t>
      </w:r>
      <w:r w:rsidRPr="00D22E5D">
        <w:rPr>
          <w:sz w:val="24"/>
          <w:szCs w:val="24"/>
        </w:rPr>
        <w:t xml:space="preserve"> trend analysis can be conducted. More in depth analysis can be conducted if unexpected results occur and the resources are available</w:t>
      </w:r>
      <w:commentRangeEnd w:id="0"/>
      <w:r>
        <w:rPr>
          <w:rStyle w:val="CommentReference"/>
          <w:rFonts w:ascii="Calibri" w:hAnsi="Calibri" w:cs="Times New Roman"/>
        </w:rPr>
        <w:commentReference w:id="0"/>
      </w:r>
      <w:r w:rsidRPr="00D22E5D">
        <w:rPr>
          <w:sz w:val="24"/>
          <w:szCs w:val="24"/>
        </w:rPr>
        <w:t>.</w:t>
      </w:r>
    </w:p>
    <w:p w14:paraId="72531B0D" w14:textId="77777777" w:rsidR="006156C3" w:rsidRPr="00D22E5D" w:rsidRDefault="006156C3" w:rsidP="006156C3">
      <w:pPr>
        <w:spacing w:line="360" w:lineRule="auto"/>
        <w:rPr>
          <w:sz w:val="24"/>
          <w:szCs w:val="24"/>
        </w:rPr>
      </w:pPr>
      <w:r w:rsidRPr="00D22E5D">
        <w:rPr>
          <w:sz w:val="24"/>
          <w:szCs w:val="24"/>
        </w:rPr>
        <w:lastRenderedPageBreak/>
        <w:t>The table below provides definitions for different measures. Before a disaster, come up with simple definitions for what is considered a “new case” and an “exi</w:t>
      </w:r>
      <w:r>
        <w:rPr>
          <w:sz w:val="24"/>
          <w:szCs w:val="24"/>
        </w:rPr>
        <w:t>s</w:t>
      </w:r>
      <w:r w:rsidRPr="00D22E5D">
        <w:rPr>
          <w:sz w:val="24"/>
          <w:szCs w:val="24"/>
        </w:rPr>
        <w:t>ting case</w:t>
      </w:r>
      <w:r>
        <w:rPr>
          <w:sz w:val="24"/>
          <w:szCs w:val="24"/>
        </w:rPr>
        <w:t>.</w:t>
      </w:r>
      <w:r w:rsidRPr="00D22E5D">
        <w:rPr>
          <w:sz w:val="24"/>
          <w:szCs w:val="24"/>
        </w:rPr>
        <w:t>” Make sure volunteers are trained to identify and record both when collecting data.</w:t>
      </w:r>
    </w:p>
    <w:p w14:paraId="7941B4F6" w14:textId="77777777" w:rsidR="006156C3" w:rsidRDefault="006156C3" w:rsidP="006156C3">
      <w:pPr>
        <w:spacing w:line="360" w:lineRule="auto"/>
        <w:rPr>
          <w:b/>
        </w:rPr>
      </w:pPr>
    </w:p>
    <w:p w14:paraId="68C8294A" w14:textId="77777777" w:rsidR="006156C3" w:rsidRPr="00FC6C6D" w:rsidRDefault="006156C3" w:rsidP="006156C3">
      <w:pPr>
        <w:spacing w:line="360" w:lineRule="auto"/>
        <w:rPr>
          <w:b/>
        </w:rPr>
      </w:pPr>
      <w:commentRangeStart w:id="1"/>
      <w:r w:rsidRPr="00FC6C6D">
        <w:rPr>
          <w:b/>
        </w:rPr>
        <w:t>Table 2. Definitions for Common Surveillance Parameters</w:t>
      </w:r>
      <w:commentRangeEnd w:id="1"/>
      <w:r>
        <w:rPr>
          <w:rStyle w:val="CommentReference"/>
          <w:rFonts w:ascii="Calibri" w:hAnsi="Calibri" w:cs="Times New Roman"/>
        </w:rPr>
        <w:commentReference w:id="1"/>
      </w:r>
      <w:r>
        <w:rPr>
          <w:rStyle w:val="FootnoteReference"/>
          <w:b/>
        </w:rPr>
        <w:footnoteReference w:id="10"/>
      </w:r>
    </w:p>
    <w:tbl>
      <w:tblPr>
        <w:tblStyle w:val="LightList-Accent1"/>
        <w:tblpPr w:leftFromText="180" w:rightFromText="180" w:vertAnchor="text" w:tblpX="-252" w:tblpY="1"/>
        <w:tblW w:w="9738" w:type="dxa"/>
        <w:tblLayout w:type="fixed"/>
        <w:tblLook w:val="04A0" w:firstRow="1" w:lastRow="0" w:firstColumn="1" w:lastColumn="0" w:noHBand="0" w:noVBand="1"/>
      </w:tblPr>
      <w:tblGrid>
        <w:gridCol w:w="2875"/>
        <w:gridCol w:w="6863"/>
      </w:tblGrid>
      <w:tr w:rsidR="006156C3" w:rsidRPr="003B289B" w14:paraId="7A577BA5" w14:textId="77777777" w:rsidTr="009E54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hideMark/>
          </w:tcPr>
          <w:p w14:paraId="61E4F9B0" w14:textId="77777777" w:rsidR="006156C3" w:rsidRPr="00FC6C6D" w:rsidRDefault="006156C3" w:rsidP="009E54F1">
            <w:pPr>
              <w:spacing w:line="360" w:lineRule="auto"/>
              <w:jc w:val="center"/>
              <w:rPr>
                <w:rFonts w:cstheme="minorHAnsi"/>
                <w:b w:val="0"/>
                <w:sz w:val="20"/>
                <w:szCs w:val="20"/>
              </w:rPr>
            </w:pPr>
            <w:r w:rsidRPr="00FC6C6D">
              <w:rPr>
                <w:rFonts w:cstheme="minorHAnsi"/>
                <w:sz w:val="20"/>
                <w:szCs w:val="20"/>
              </w:rPr>
              <w:t>Measure</w:t>
            </w:r>
          </w:p>
        </w:tc>
        <w:tc>
          <w:tcPr>
            <w:tcW w:w="6863" w:type="dxa"/>
            <w:hideMark/>
          </w:tcPr>
          <w:p w14:paraId="284BADCE" w14:textId="77777777" w:rsidR="006156C3" w:rsidRPr="00FC6C6D" w:rsidRDefault="006156C3" w:rsidP="009E54F1">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FC6C6D">
              <w:rPr>
                <w:rFonts w:cstheme="minorHAnsi"/>
                <w:sz w:val="20"/>
                <w:szCs w:val="20"/>
              </w:rPr>
              <w:t>Definition</w:t>
            </w:r>
          </w:p>
        </w:tc>
      </w:tr>
      <w:tr w:rsidR="006156C3" w:rsidRPr="004903F0" w14:paraId="07A5205F" w14:textId="77777777" w:rsidTr="009E54F1">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875" w:type="dxa"/>
            <w:hideMark/>
          </w:tcPr>
          <w:p w14:paraId="092F518C" w14:textId="77777777" w:rsidR="006156C3" w:rsidRPr="00FC6C6D" w:rsidRDefault="006156C3" w:rsidP="009E54F1">
            <w:pPr>
              <w:rPr>
                <w:rFonts w:cstheme="minorHAnsi"/>
                <w:sz w:val="20"/>
                <w:szCs w:val="20"/>
                <w:vertAlign w:val="superscript"/>
              </w:rPr>
            </w:pPr>
            <w:r w:rsidRPr="00FC6C6D">
              <w:rPr>
                <w:rFonts w:cstheme="minorHAnsi"/>
                <w:sz w:val="20"/>
                <w:szCs w:val="20"/>
              </w:rPr>
              <w:t>Incident cases</w:t>
            </w:r>
            <w:r w:rsidRPr="00FC6C6D">
              <w:rPr>
                <w:rFonts w:cstheme="minorHAnsi"/>
                <w:sz w:val="20"/>
                <w:szCs w:val="20"/>
                <w:vertAlign w:val="superscript"/>
              </w:rPr>
              <w:t>†</w:t>
            </w:r>
          </w:p>
        </w:tc>
        <w:tc>
          <w:tcPr>
            <w:tcW w:w="6863" w:type="dxa"/>
            <w:hideMark/>
          </w:tcPr>
          <w:p w14:paraId="77580AD9" w14:textId="77777777" w:rsidR="006156C3" w:rsidRPr="00FC6C6D" w:rsidRDefault="006156C3" w:rsidP="009E54F1">
            <w:pPr>
              <w:cnfStyle w:val="000000100000" w:firstRow="0" w:lastRow="0" w:firstColumn="0" w:lastColumn="0" w:oddVBand="0" w:evenVBand="0" w:oddHBand="1" w:evenHBand="0" w:firstRowFirstColumn="0" w:firstRowLastColumn="0" w:lastRowFirstColumn="0" w:lastRowLastColumn="0"/>
              <w:rPr>
                <w:rFonts w:cstheme="minorHAnsi"/>
                <w:color w:val="211D1E"/>
                <w:sz w:val="20"/>
                <w:szCs w:val="20"/>
              </w:rPr>
            </w:pPr>
            <w:r w:rsidRPr="00FC6C6D">
              <w:rPr>
                <w:rFonts w:cstheme="minorHAnsi"/>
                <w:color w:val="211D1E"/>
                <w:sz w:val="20"/>
                <w:szCs w:val="20"/>
              </w:rPr>
              <w:t>The occurrence of new cases of disease or injury in a population over a specified period</w:t>
            </w:r>
          </w:p>
        </w:tc>
      </w:tr>
      <w:tr w:rsidR="006156C3" w:rsidRPr="004903F0" w14:paraId="5255F883" w14:textId="77777777" w:rsidTr="009E54F1">
        <w:trPr>
          <w:trHeight w:val="62"/>
        </w:trPr>
        <w:tc>
          <w:tcPr>
            <w:cnfStyle w:val="001000000000" w:firstRow="0" w:lastRow="0" w:firstColumn="1" w:lastColumn="0" w:oddVBand="0" w:evenVBand="0" w:oddHBand="0" w:evenHBand="0" w:firstRowFirstColumn="0" w:firstRowLastColumn="0" w:lastRowFirstColumn="0" w:lastRowLastColumn="0"/>
            <w:tcW w:w="2875" w:type="dxa"/>
          </w:tcPr>
          <w:p w14:paraId="64D78199" w14:textId="77777777" w:rsidR="006156C3" w:rsidRPr="00FC6C6D" w:rsidRDefault="006156C3" w:rsidP="009E54F1">
            <w:pPr>
              <w:rPr>
                <w:rFonts w:cstheme="minorHAnsi"/>
                <w:sz w:val="20"/>
                <w:szCs w:val="20"/>
              </w:rPr>
            </w:pPr>
            <w:r w:rsidRPr="00FC6C6D">
              <w:rPr>
                <w:rFonts w:cstheme="minorHAnsi"/>
                <w:sz w:val="20"/>
                <w:szCs w:val="20"/>
              </w:rPr>
              <w:t>Prevalent cases</w:t>
            </w:r>
            <w:r w:rsidRPr="00FC6C6D">
              <w:rPr>
                <w:rFonts w:cstheme="minorHAnsi"/>
                <w:sz w:val="20"/>
                <w:szCs w:val="20"/>
                <w:vertAlign w:val="superscript"/>
              </w:rPr>
              <w:t>†</w:t>
            </w:r>
          </w:p>
        </w:tc>
        <w:tc>
          <w:tcPr>
            <w:tcW w:w="6863" w:type="dxa"/>
          </w:tcPr>
          <w:p w14:paraId="3A93C76A" w14:textId="77777777" w:rsidR="006156C3" w:rsidRPr="00FC6C6D" w:rsidRDefault="006156C3" w:rsidP="009E54F1">
            <w:pPr>
              <w:cnfStyle w:val="000000000000" w:firstRow="0" w:lastRow="0" w:firstColumn="0" w:lastColumn="0" w:oddVBand="0" w:evenVBand="0" w:oddHBand="0" w:evenHBand="0" w:firstRowFirstColumn="0" w:firstRowLastColumn="0" w:lastRowFirstColumn="0" w:lastRowLastColumn="0"/>
              <w:rPr>
                <w:rFonts w:cstheme="minorHAnsi"/>
                <w:color w:val="211D1E"/>
                <w:sz w:val="20"/>
                <w:szCs w:val="20"/>
              </w:rPr>
            </w:pPr>
            <w:r w:rsidRPr="00FC6C6D">
              <w:rPr>
                <w:rFonts w:eastAsia="Times New Roman" w:cstheme="minorHAnsi"/>
                <w:sz w:val="20"/>
                <w:szCs w:val="20"/>
                <w:lang w:val="en"/>
              </w:rPr>
              <w:t>The existing cases of disease or injury in a population over a specified period</w:t>
            </w:r>
          </w:p>
        </w:tc>
      </w:tr>
      <w:tr w:rsidR="006156C3" w:rsidRPr="004903F0" w14:paraId="54EDE031" w14:textId="77777777" w:rsidTr="009E54F1">
        <w:trPr>
          <w:cnfStyle w:val="000000100000" w:firstRow="0" w:lastRow="0" w:firstColumn="0" w:lastColumn="0" w:oddVBand="0" w:evenVBand="0" w:oddHBand="1" w:evenHBand="0" w:firstRowFirstColumn="0" w:firstRowLastColumn="0" w:lastRowFirstColumn="0" w:lastRowLastColumn="0"/>
          <w:trHeight w:val="607"/>
        </w:trPr>
        <w:tc>
          <w:tcPr>
            <w:cnfStyle w:val="001000000000" w:firstRow="0" w:lastRow="0" w:firstColumn="1" w:lastColumn="0" w:oddVBand="0" w:evenVBand="0" w:oddHBand="0" w:evenHBand="0" w:firstRowFirstColumn="0" w:firstRowLastColumn="0" w:lastRowFirstColumn="0" w:lastRowLastColumn="0"/>
            <w:tcW w:w="2875" w:type="dxa"/>
            <w:hideMark/>
          </w:tcPr>
          <w:p w14:paraId="472B8C9C" w14:textId="77777777" w:rsidR="006156C3" w:rsidRPr="00FC6C6D" w:rsidRDefault="006156C3" w:rsidP="009E54F1">
            <w:pPr>
              <w:rPr>
                <w:rFonts w:cstheme="minorHAnsi"/>
                <w:sz w:val="20"/>
                <w:szCs w:val="20"/>
                <w:vertAlign w:val="superscript"/>
              </w:rPr>
            </w:pPr>
            <w:r w:rsidRPr="00FC6C6D">
              <w:rPr>
                <w:rFonts w:cstheme="minorHAnsi"/>
                <w:sz w:val="20"/>
                <w:szCs w:val="20"/>
              </w:rPr>
              <w:t>Incidence rate (new cases)</w:t>
            </w:r>
            <w:r w:rsidRPr="00FC6C6D">
              <w:rPr>
                <w:rFonts w:cstheme="minorHAnsi"/>
                <w:sz w:val="20"/>
                <w:szCs w:val="20"/>
                <w:vertAlign w:val="superscript"/>
              </w:rPr>
              <w:t>‡</w:t>
            </w:r>
          </w:p>
        </w:tc>
        <w:tc>
          <w:tcPr>
            <w:tcW w:w="6863" w:type="dxa"/>
            <w:hideMark/>
          </w:tcPr>
          <w:p w14:paraId="6CBE2066" w14:textId="77777777" w:rsidR="006156C3" w:rsidRPr="00FC6C6D" w:rsidRDefault="006156C3" w:rsidP="009E54F1">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C6C6D">
              <w:rPr>
                <w:rFonts w:cstheme="minorHAnsi"/>
                <w:noProof/>
                <w:sz w:val="20"/>
                <w:szCs w:val="20"/>
              </w:rPr>
              <w:t>The number of new cases of a disease or injury that occur during a specified period per unit of person-time at risk (can be stratified by age and sex)</w:t>
            </w:r>
          </w:p>
        </w:tc>
      </w:tr>
      <w:tr w:rsidR="006156C3" w:rsidRPr="004903F0" w14:paraId="03EF4524" w14:textId="77777777" w:rsidTr="009E54F1">
        <w:trPr>
          <w:trHeight w:val="62"/>
        </w:trPr>
        <w:tc>
          <w:tcPr>
            <w:cnfStyle w:val="001000000000" w:firstRow="0" w:lastRow="0" w:firstColumn="1" w:lastColumn="0" w:oddVBand="0" w:evenVBand="0" w:oddHBand="0" w:evenHBand="0" w:firstRowFirstColumn="0" w:firstRowLastColumn="0" w:lastRowFirstColumn="0" w:lastRowLastColumn="0"/>
            <w:tcW w:w="2875" w:type="dxa"/>
            <w:hideMark/>
          </w:tcPr>
          <w:p w14:paraId="44BE8A72" w14:textId="77777777" w:rsidR="006156C3" w:rsidRPr="00FC6C6D" w:rsidRDefault="006156C3" w:rsidP="009E54F1">
            <w:pPr>
              <w:rPr>
                <w:rFonts w:cstheme="minorHAnsi"/>
                <w:sz w:val="20"/>
                <w:szCs w:val="20"/>
                <w:vertAlign w:val="superscript"/>
              </w:rPr>
            </w:pPr>
            <w:r w:rsidRPr="00FC6C6D">
              <w:rPr>
                <w:rFonts w:cstheme="minorHAnsi"/>
                <w:sz w:val="20"/>
                <w:szCs w:val="20"/>
              </w:rPr>
              <w:t>Prevalence or prevalence rate (total existing cases)</w:t>
            </w:r>
            <w:r w:rsidRPr="00FC6C6D">
              <w:rPr>
                <w:rFonts w:cstheme="minorHAnsi"/>
                <w:sz w:val="20"/>
                <w:szCs w:val="20"/>
                <w:vertAlign w:val="superscript"/>
              </w:rPr>
              <w:t>†</w:t>
            </w:r>
          </w:p>
        </w:tc>
        <w:tc>
          <w:tcPr>
            <w:tcW w:w="6863" w:type="dxa"/>
            <w:hideMark/>
          </w:tcPr>
          <w:p w14:paraId="5CD21EAA" w14:textId="77777777" w:rsidR="006156C3" w:rsidRPr="00FC6C6D" w:rsidRDefault="006156C3" w:rsidP="009E54F1">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noProof/>
                <w:sz w:val="20"/>
                <w:szCs w:val="20"/>
              </w:rPr>
              <w:t>The proportion of people in a population who have a particular health condition at a specified point in time or over a specified period</w:t>
            </w:r>
          </w:p>
        </w:tc>
      </w:tr>
      <w:tr w:rsidR="006156C3" w:rsidRPr="004903F0" w14:paraId="6FDC22D0" w14:textId="77777777" w:rsidTr="009E54F1">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875" w:type="dxa"/>
            <w:hideMark/>
          </w:tcPr>
          <w:p w14:paraId="0D3C2057" w14:textId="77777777" w:rsidR="006156C3" w:rsidRPr="00FC6C6D" w:rsidRDefault="006156C3" w:rsidP="009E54F1">
            <w:pPr>
              <w:rPr>
                <w:rFonts w:cstheme="minorHAnsi"/>
                <w:sz w:val="20"/>
                <w:szCs w:val="20"/>
                <w:vertAlign w:val="superscript"/>
              </w:rPr>
            </w:pPr>
            <w:r>
              <w:rPr>
                <w:rFonts w:cstheme="minorHAnsi"/>
                <w:sz w:val="20"/>
                <w:szCs w:val="20"/>
              </w:rPr>
              <w:t>Age-specific morbidity rate</w:t>
            </w:r>
            <w:r w:rsidRPr="00FC6C6D">
              <w:rPr>
                <w:rFonts w:cstheme="minorHAnsi"/>
                <w:sz w:val="20"/>
                <w:szCs w:val="20"/>
                <w:vertAlign w:val="superscript"/>
              </w:rPr>
              <w:t>‡</w:t>
            </w:r>
          </w:p>
        </w:tc>
        <w:tc>
          <w:tcPr>
            <w:tcW w:w="6863" w:type="dxa"/>
            <w:hideMark/>
          </w:tcPr>
          <w:p w14:paraId="56B16E2A" w14:textId="77777777" w:rsidR="006156C3" w:rsidRPr="00FC6C6D" w:rsidRDefault="006156C3" w:rsidP="009E54F1">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noProof/>
                <w:sz w:val="20"/>
                <w:szCs w:val="20"/>
              </w:rPr>
              <w:t>A morbidity rate limited to a particular age group (e.g., under-5 mortality rate [U5MR] is the rate of death among children younger than 5 years in a population)</w:t>
            </w:r>
          </w:p>
        </w:tc>
      </w:tr>
      <w:tr w:rsidR="006156C3" w:rsidRPr="004903F0" w14:paraId="4FF76FEB" w14:textId="77777777" w:rsidTr="009E54F1">
        <w:trPr>
          <w:trHeight w:val="312"/>
        </w:trPr>
        <w:tc>
          <w:tcPr>
            <w:cnfStyle w:val="001000000000" w:firstRow="0" w:lastRow="0" w:firstColumn="1" w:lastColumn="0" w:oddVBand="0" w:evenVBand="0" w:oddHBand="0" w:evenHBand="0" w:firstRowFirstColumn="0" w:firstRowLastColumn="0" w:lastRowFirstColumn="0" w:lastRowLastColumn="0"/>
            <w:tcW w:w="2875" w:type="dxa"/>
          </w:tcPr>
          <w:p w14:paraId="6B30726E" w14:textId="77777777" w:rsidR="006156C3" w:rsidRPr="00FC6C6D" w:rsidRDefault="006156C3" w:rsidP="009E54F1">
            <w:pPr>
              <w:rPr>
                <w:rFonts w:cstheme="minorHAnsi"/>
                <w:sz w:val="20"/>
                <w:szCs w:val="20"/>
              </w:rPr>
            </w:pPr>
            <w:r w:rsidRPr="00FC6C6D">
              <w:rPr>
                <w:rFonts w:cstheme="minorHAnsi"/>
                <w:sz w:val="20"/>
                <w:szCs w:val="20"/>
              </w:rPr>
              <w:t>Incidence proportion (attack rate, generally used for infectious conditions)</w:t>
            </w:r>
            <w:r w:rsidRPr="00FC6C6D">
              <w:rPr>
                <w:rFonts w:cstheme="minorHAnsi"/>
                <w:sz w:val="20"/>
                <w:szCs w:val="20"/>
                <w:vertAlign w:val="superscript"/>
              </w:rPr>
              <w:t>†</w:t>
            </w:r>
            <w:r w:rsidRPr="00FC6C6D" w:rsidDel="0084068E">
              <w:rPr>
                <w:rFonts w:cstheme="minorHAnsi"/>
                <w:sz w:val="20"/>
                <w:szCs w:val="20"/>
              </w:rPr>
              <w:t xml:space="preserve"> </w:t>
            </w:r>
          </w:p>
        </w:tc>
        <w:tc>
          <w:tcPr>
            <w:tcW w:w="6863" w:type="dxa"/>
            <w:hideMark/>
          </w:tcPr>
          <w:p w14:paraId="3CA2E351" w14:textId="77777777" w:rsidR="006156C3" w:rsidRPr="00FC6C6D" w:rsidRDefault="006156C3" w:rsidP="009E54F1">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sz w:val="20"/>
                <w:szCs w:val="20"/>
              </w:rPr>
              <w:t>The proportion of an initially disease-free population that develops disease, becomes injured, or dies during a specified (usually limited) period</w:t>
            </w:r>
          </w:p>
        </w:tc>
      </w:tr>
      <w:tr w:rsidR="006156C3" w:rsidRPr="004903F0" w14:paraId="7D99752A" w14:textId="77777777" w:rsidTr="009E54F1">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875" w:type="dxa"/>
            <w:hideMark/>
          </w:tcPr>
          <w:p w14:paraId="628D6DE0" w14:textId="77777777" w:rsidR="006156C3" w:rsidRPr="00FC6C6D" w:rsidRDefault="006156C3" w:rsidP="009E54F1">
            <w:pPr>
              <w:rPr>
                <w:rFonts w:cstheme="minorHAnsi"/>
                <w:sz w:val="20"/>
                <w:szCs w:val="20"/>
              </w:rPr>
            </w:pPr>
            <w:r w:rsidRPr="00FC6C6D">
              <w:rPr>
                <w:rFonts w:cstheme="minorHAnsi"/>
                <w:sz w:val="20"/>
                <w:szCs w:val="20"/>
              </w:rPr>
              <w:t>Proportional morbidity</w:t>
            </w:r>
            <w:r w:rsidRPr="00FC6C6D">
              <w:rPr>
                <w:rFonts w:cstheme="minorHAnsi"/>
                <w:sz w:val="20"/>
                <w:szCs w:val="20"/>
                <w:vertAlign w:val="superscript"/>
              </w:rPr>
              <w:t>§</w:t>
            </w:r>
          </w:p>
        </w:tc>
        <w:tc>
          <w:tcPr>
            <w:tcW w:w="6863" w:type="dxa"/>
            <w:hideMark/>
          </w:tcPr>
          <w:p w14:paraId="66BD0C9B" w14:textId="77777777" w:rsidR="006156C3" w:rsidRPr="00FC6C6D" w:rsidRDefault="006156C3" w:rsidP="009E54F1">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sz w:val="20"/>
                <w:szCs w:val="20"/>
              </w:rPr>
              <w:t>The proportion of all new or existing cases in a specified population over a period attributable to a specific cause</w:t>
            </w:r>
          </w:p>
        </w:tc>
      </w:tr>
      <w:tr w:rsidR="006156C3" w:rsidRPr="004903F0" w14:paraId="3E17F9CD" w14:textId="77777777" w:rsidTr="009E54F1">
        <w:trPr>
          <w:trHeight w:val="245"/>
        </w:trPr>
        <w:tc>
          <w:tcPr>
            <w:cnfStyle w:val="001000000000" w:firstRow="0" w:lastRow="0" w:firstColumn="1" w:lastColumn="0" w:oddVBand="0" w:evenVBand="0" w:oddHBand="0" w:evenHBand="0" w:firstRowFirstColumn="0" w:firstRowLastColumn="0" w:lastRowFirstColumn="0" w:lastRowLastColumn="0"/>
            <w:tcW w:w="2875" w:type="dxa"/>
            <w:hideMark/>
          </w:tcPr>
          <w:p w14:paraId="0330CAD1" w14:textId="77777777" w:rsidR="006156C3" w:rsidRPr="00FC6C6D" w:rsidRDefault="006156C3" w:rsidP="009E54F1">
            <w:pPr>
              <w:rPr>
                <w:rFonts w:cstheme="minorHAnsi"/>
                <w:sz w:val="20"/>
                <w:szCs w:val="20"/>
              </w:rPr>
            </w:pPr>
            <w:r w:rsidRPr="00FC6C6D">
              <w:rPr>
                <w:rFonts w:cstheme="minorHAnsi"/>
                <w:sz w:val="20"/>
                <w:szCs w:val="20"/>
              </w:rPr>
              <w:t>Health facility utilization rate</w:t>
            </w:r>
            <w:r w:rsidRPr="00FC6C6D">
              <w:rPr>
                <w:rFonts w:cstheme="minorHAnsi"/>
                <w:sz w:val="20"/>
                <w:szCs w:val="20"/>
                <w:vertAlign w:val="superscript"/>
              </w:rPr>
              <w:t>‡</w:t>
            </w:r>
            <w:r w:rsidRPr="00FC6C6D">
              <w:rPr>
                <w:rFonts w:cstheme="minorHAnsi"/>
                <w:sz w:val="20"/>
                <w:szCs w:val="20"/>
              </w:rPr>
              <w:t xml:space="preserve"> </w:t>
            </w:r>
          </w:p>
        </w:tc>
        <w:tc>
          <w:tcPr>
            <w:tcW w:w="6863" w:type="dxa"/>
            <w:hideMark/>
          </w:tcPr>
          <w:p w14:paraId="01E15F77" w14:textId="77777777" w:rsidR="006156C3" w:rsidRPr="00FC6C6D" w:rsidRDefault="006156C3" w:rsidP="009E54F1">
            <w:pPr>
              <w:cnfStyle w:val="000000000000" w:firstRow="0" w:lastRow="0" w:firstColumn="0" w:lastColumn="0" w:oddVBand="0" w:evenVBand="0" w:oddHBand="0" w:evenHBand="0" w:firstRowFirstColumn="0" w:firstRowLastColumn="0" w:lastRowFirstColumn="0" w:lastRowLastColumn="0"/>
              <w:rPr>
                <w:rFonts w:cstheme="minorHAnsi"/>
                <w:noProof/>
                <w:sz w:val="20"/>
                <w:szCs w:val="20"/>
              </w:rPr>
            </w:pPr>
            <w:r w:rsidRPr="00FC6C6D">
              <w:rPr>
                <w:rFonts w:cstheme="minorHAnsi"/>
                <w:noProof/>
                <w:sz w:val="20"/>
                <w:szCs w:val="20"/>
              </w:rPr>
              <w:t>The number of outpatient visits per person per year (if possible, distinguish between new and old visits and use new visits to calculate the rate)</w:t>
            </w:r>
          </w:p>
        </w:tc>
      </w:tr>
      <w:tr w:rsidR="006156C3" w:rsidRPr="004903F0" w14:paraId="1B470984" w14:textId="77777777" w:rsidTr="009E54F1">
        <w:trPr>
          <w:cnfStyle w:val="000000100000" w:firstRow="0" w:lastRow="0" w:firstColumn="0" w:lastColumn="0" w:oddVBand="0" w:evenVBand="0" w:oddHBand="1" w:evenHBand="0" w:firstRowFirstColumn="0" w:firstRowLastColumn="0" w:lastRowFirstColumn="0" w:lastRowLastColumn="0"/>
          <w:trHeight w:val="535"/>
        </w:trPr>
        <w:tc>
          <w:tcPr>
            <w:cnfStyle w:val="001000000000" w:firstRow="0" w:lastRow="0" w:firstColumn="1" w:lastColumn="0" w:oddVBand="0" w:evenVBand="0" w:oddHBand="0" w:evenHBand="0" w:firstRowFirstColumn="0" w:firstRowLastColumn="0" w:lastRowFirstColumn="0" w:lastRowLastColumn="0"/>
            <w:tcW w:w="2875" w:type="dxa"/>
            <w:hideMark/>
          </w:tcPr>
          <w:p w14:paraId="38D70655" w14:textId="77777777" w:rsidR="006156C3" w:rsidRPr="00FC6C6D" w:rsidRDefault="006156C3" w:rsidP="009E54F1">
            <w:pPr>
              <w:rPr>
                <w:rFonts w:cstheme="minorHAnsi"/>
                <w:sz w:val="20"/>
                <w:szCs w:val="20"/>
                <w:vertAlign w:val="superscript"/>
              </w:rPr>
            </w:pPr>
            <w:r w:rsidRPr="00FC6C6D">
              <w:rPr>
                <w:rFonts w:cstheme="minorHAnsi"/>
                <w:sz w:val="20"/>
                <w:szCs w:val="20"/>
              </w:rPr>
              <w:t>Number of consultations per clinician per day</w:t>
            </w:r>
            <w:r w:rsidRPr="00FC6C6D">
              <w:rPr>
                <w:rFonts w:cstheme="minorHAnsi"/>
                <w:sz w:val="20"/>
                <w:szCs w:val="20"/>
                <w:vertAlign w:val="superscript"/>
              </w:rPr>
              <w:t>‡</w:t>
            </w:r>
          </w:p>
        </w:tc>
        <w:tc>
          <w:tcPr>
            <w:tcW w:w="6863" w:type="dxa"/>
            <w:hideMark/>
          </w:tcPr>
          <w:p w14:paraId="2C1ACD69" w14:textId="77777777" w:rsidR="006156C3" w:rsidRPr="00FC6C6D" w:rsidRDefault="006156C3" w:rsidP="009E54F1">
            <w:pPr>
              <w:cnfStyle w:val="000000100000" w:firstRow="0" w:lastRow="0" w:firstColumn="0" w:lastColumn="0" w:oddVBand="0" w:evenVBand="0" w:oddHBand="1" w:evenHBand="0" w:firstRowFirstColumn="0" w:firstRowLastColumn="0" w:lastRowFirstColumn="0" w:lastRowLastColumn="0"/>
              <w:rPr>
                <w:rFonts w:cstheme="minorHAnsi"/>
                <w:noProof/>
                <w:sz w:val="20"/>
                <w:szCs w:val="20"/>
              </w:rPr>
            </w:pPr>
            <w:r w:rsidRPr="00FC6C6D">
              <w:rPr>
                <w:rFonts w:cstheme="minorHAnsi"/>
                <w:noProof/>
                <w:sz w:val="20"/>
                <w:szCs w:val="20"/>
              </w:rPr>
              <w:t>The average number of total consultations (new and repeat cases) seen by each clinician per day</w:t>
            </w:r>
          </w:p>
        </w:tc>
      </w:tr>
    </w:tbl>
    <w:p w14:paraId="0F44D4AA" w14:textId="77777777" w:rsidR="006156C3" w:rsidRDefault="006156C3" w:rsidP="006156C3">
      <w:pPr>
        <w:pStyle w:val="CommentText"/>
        <w:rPr>
          <w:rFonts w:cstheme="minorHAnsi"/>
          <w:vertAlign w:val="superscript"/>
        </w:rPr>
      </w:pPr>
      <w:r w:rsidRPr="00FB3965">
        <w:rPr>
          <w:rFonts w:cstheme="minorHAnsi"/>
          <w:vertAlign w:val="superscript"/>
        </w:rPr>
        <w:t>†</w:t>
      </w:r>
      <w:r>
        <w:t xml:space="preserve"> CDC 2012c</w:t>
      </w:r>
      <w:r>
        <w:br/>
      </w:r>
      <w:r>
        <w:rPr>
          <w:rFonts w:cstheme="minorHAnsi"/>
          <w:vertAlign w:val="superscript"/>
        </w:rPr>
        <w:t>‡</w:t>
      </w:r>
      <w:r>
        <w:t>The Sphere Project 2011</w:t>
      </w:r>
      <w:r>
        <w:br/>
      </w:r>
      <w:r>
        <w:rPr>
          <w:rFonts w:cstheme="minorHAnsi"/>
          <w:vertAlign w:val="superscript"/>
        </w:rPr>
        <w:t>§</w:t>
      </w:r>
      <w:r>
        <w:t xml:space="preserve"> Abdallah and Panjabi 2008</w:t>
      </w:r>
    </w:p>
    <w:p w14:paraId="5E9F2AB7" w14:textId="77777777" w:rsidR="006156C3" w:rsidRPr="002A34DF" w:rsidRDefault="006156C3" w:rsidP="006156C3">
      <w:pPr>
        <w:spacing w:line="360" w:lineRule="auto"/>
      </w:pPr>
    </w:p>
    <w:p w14:paraId="1B3687B9" w14:textId="77777777" w:rsidR="006156C3" w:rsidRDefault="006156C3" w:rsidP="006156C3">
      <w:pPr>
        <w:pStyle w:val="Heading3"/>
        <w:rPr>
          <w:b w:val="0"/>
          <w:sz w:val="28"/>
          <w:szCs w:val="28"/>
        </w:rPr>
      </w:pPr>
    </w:p>
    <w:p w14:paraId="16018480" w14:textId="77777777" w:rsidR="006156C3" w:rsidRDefault="006156C3" w:rsidP="006156C3"/>
    <w:p w14:paraId="5344D021" w14:textId="77777777" w:rsidR="006156C3" w:rsidRDefault="006156C3" w:rsidP="006156C3"/>
    <w:p w14:paraId="11F17395" w14:textId="77777777" w:rsidR="006156C3" w:rsidRDefault="006156C3" w:rsidP="006156C3"/>
    <w:p w14:paraId="76EBDCB0" w14:textId="77777777" w:rsidR="006156C3" w:rsidRDefault="006156C3" w:rsidP="006156C3"/>
    <w:p w14:paraId="517E49AB" w14:textId="77777777" w:rsidR="006156C3" w:rsidRDefault="006156C3" w:rsidP="006156C3">
      <w:pPr>
        <w:sectPr w:rsidR="006156C3" w:rsidSect="00D709FE">
          <w:footerReference w:type="first" r:id="rId10"/>
          <w:pgSz w:w="12240" w:h="15840"/>
          <w:pgMar w:top="1440" w:right="1440" w:bottom="1440" w:left="1440" w:header="720" w:footer="720" w:gutter="0"/>
          <w:pgNumType w:start="1"/>
          <w:cols w:space="720"/>
          <w:docGrid w:linePitch="360"/>
        </w:sectPr>
      </w:pPr>
    </w:p>
    <w:p w14:paraId="74DCF72A" w14:textId="77777777" w:rsidR="006156C3" w:rsidRDefault="006156C3" w:rsidP="006156C3">
      <w:pPr>
        <w:rPr>
          <w:b/>
        </w:rPr>
      </w:pPr>
      <w:r>
        <w:rPr>
          <w:b/>
        </w:rPr>
        <w:lastRenderedPageBreak/>
        <w:t>Table 3</w:t>
      </w:r>
      <w:r w:rsidRPr="00FC6C6D">
        <w:rPr>
          <w:b/>
        </w:rPr>
        <w:t xml:space="preserve">. </w:t>
      </w:r>
      <w:r>
        <w:rPr>
          <w:b/>
        </w:rPr>
        <w:t>Tracking Form Template</w:t>
      </w:r>
    </w:p>
    <w:tbl>
      <w:tblPr>
        <w:tblStyle w:val="LightList-Accent1"/>
        <w:tblW w:w="13590" w:type="dxa"/>
        <w:tblInd w:w="-522" w:type="dxa"/>
        <w:tblLayout w:type="fixed"/>
        <w:tblLook w:val="04A0" w:firstRow="1" w:lastRow="0" w:firstColumn="1" w:lastColumn="0" w:noHBand="0" w:noVBand="1"/>
      </w:tblPr>
      <w:tblGrid>
        <w:gridCol w:w="1440"/>
        <w:gridCol w:w="810"/>
        <w:gridCol w:w="630"/>
        <w:gridCol w:w="630"/>
        <w:gridCol w:w="900"/>
        <w:gridCol w:w="990"/>
        <w:gridCol w:w="990"/>
        <w:gridCol w:w="810"/>
        <w:gridCol w:w="990"/>
        <w:gridCol w:w="900"/>
        <w:gridCol w:w="990"/>
        <w:gridCol w:w="900"/>
        <w:gridCol w:w="810"/>
        <w:gridCol w:w="1800"/>
      </w:tblGrid>
      <w:tr w:rsidR="006156C3" w:rsidRPr="0028618F" w14:paraId="37A78206" w14:textId="77777777" w:rsidTr="009E54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restart"/>
            <w:shd w:val="clear" w:color="auto" w:fill="FFFFFF" w:themeFill="background1"/>
          </w:tcPr>
          <w:p w14:paraId="5C03027D" w14:textId="77777777" w:rsidR="006156C3" w:rsidRPr="003306F2" w:rsidRDefault="006156C3" w:rsidP="009E54F1">
            <w:pPr>
              <w:spacing w:after="160" w:line="252" w:lineRule="auto"/>
              <w:rPr>
                <w:sz w:val="18"/>
                <w:szCs w:val="18"/>
              </w:rPr>
            </w:pPr>
            <w:r w:rsidRPr="003306F2">
              <w:rPr>
                <w:color w:val="auto"/>
                <w:sz w:val="18"/>
                <w:szCs w:val="18"/>
              </w:rPr>
              <w:t xml:space="preserve">Reporting Period </w:t>
            </w:r>
            <w:r w:rsidRPr="003306F2">
              <w:rPr>
                <w:color w:val="auto"/>
                <w:sz w:val="18"/>
                <w:szCs w:val="18"/>
              </w:rPr>
              <w:br/>
            </w:r>
            <w:r w:rsidRPr="003306F2">
              <w:rPr>
                <w:color w:val="auto"/>
                <w:sz w:val="18"/>
                <w:szCs w:val="18"/>
              </w:rPr>
              <w:br/>
              <w:t>Start</w:t>
            </w:r>
            <w:r w:rsidRPr="003306F2">
              <w:rPr>
                <w:color w:val="auto"/>
                <w:sz w:val="18"/>
                <w:szCs w:val="18"/>
              </w:rPr>
              <w:br/>
              <w:t>MM/DD/YYYY</w:t>
            </w:r>
            <w:r w:rsidRPr="003306F2">
              <w:rPr>
                <w:color w:val="auto"/>
                <w:sz w:val="18"/>
                <w:szCs w:val="18"/>
              </w:rPr>
              <w:br/>
              <w:t>HH:MM (12hr)</w:t>
            </w:r>
            <w:r w:rsidRPr="003306F2">
              <w:rPr>
                <w:color w:val="auto"/>
                <w:sz w:val="18"/>
                <w:szCs w:val="18"/>
              </w:rPr>
              <w:br/>
              <w:t>AM/PM</w:t>
            </w:r>
            <w:r w:rsidRPr="003306F2">
              <w:rPr>
                <w:color w:val="auto"/>
                <w:sz w:val="18"/>
                <w:szCs w:val="18"/>
              </w:rPr>
              <w:br/>
              <w:t>End</w:t>
            </w:r>
            <w:r w:rsidRPr="003306F2">
              <w:rPr>
                <w:color w:val="auto"/>
                <w:sz w:val="18"/>
                <w:szCs w:val="18"/>
              </w:rPr>
              <w:br/>
              <w:t>MM/DD/YY</w:t>
            </w:r>
            <w:r w:rsidRPr="003306F2">
              <w:rPr>
                <w:color w:val="auto"/>
                <w:sz w:val="18"/>
                <w:szCs w:val="18"/>
              </w:rPr>
              <w:br/>
              <w:t>HH:MM</w:t>
            </w:r>
            <w:r w:rsidRPr="003306F2">
              <w:rPr>
                <w:color w:val="auto"/>
                <w:sz w:val="18"/>
                <w:szCs w:val="18"/>
              </w:rPr>
              <w:br/>
              <w:t>(12hr)</w:t>
            </w:r>
            <w:r w:rsidRPr="003306F2">
              <w:rPr>
                <w:color w:val="auto"/>
                <w:sz w:val="18"/>
                <w:szCs w:val="18"/>
              </w:rPr>
              <w:br/>
              <w:t>AM/PM</w:t>
            </w:r>
          </w:p>
        </w:tc>
        <w:tc>
          <w:tcPr>
            <w:tcW w:w="810" w:type="dxa"/>
          </w:tcPr>
          <w:p w14:paraId="7A83558A"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Facility </w:t>
            </w:r>
            <w:r w:rsidRPr="003306F2">
              <w:rPr>
                <w:sz w:val="18"/>
                <w:szCs w:val="18"/>
              </w:rPr>
              <w:br/>
              <w:t>Name</w:t>
            </w:r>
          </w:p>
        </w:tc>
        <w:tc>
          <w:tcPr>
            <w:tcW w:w="630" w:type="dxa"/>
          </w:tcPr>
          <w:p w14:paraId="1B759110"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State</w:t>
            </w:r>
          </w:p>
        </w:tc>
        <w:tc>
          <w:tcPr>
            <w:tcW w:w="630" w:type="dxa"/>
          </w:tcPr>
          <w:p w14:paraId="084AC518"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Zip </w:t>
            </w:r>
            <w:r w:rsidRPr="003306F2">
              <w:rPr>
                <w:sz w:val="18"/>
                <w:szCs w:val="18"/>
              </w:rPr>
              <w:br/>
              <w:t>Code</w:t>
            </w:r>
          </w:p>
        </w:tc>
        <w:tc>
          <w:tcPr>
            <w:tcW w:w="900" w:type="dxa"/>
          </w:tcPr>
          <w:p w14:paraId="3777D8A0"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Date </w:t>
            </w:r>
            <w:r w:rsidRPr="003306F2">
              <w:rPr>
                <w:sz w:val="18"/>
                <w:szCs w:val="18"/>
              </w:rPr>
              <w:br/>
              <w:t xml:space="preserve">and </w:t>
            </w:r>
            <w:r w:rsidRPr="003306F2">
              <w:rPr>
                <w:sz w:val="18"/>
                <w:szCs w:val="18"/>
              </w:rPr>
              <w:br/>
              <w:t>Time Received</w:t>
            </w:r>
          </w:p>
        </w:tc>
        <w:tc>
          <w:tcPr>
            <w:tcW w:w="990" w:type="dxa"/>
          </w:tcPr>
          <w:p w14:paraId="0BBE40BA"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Reporting Person/ Contact</w:t>
            </w:r>
          </w:p>
        </w:tc>
        <w:tc>
          <w:tcPr>
            <w:tcW w:w="990" w:type="dxa"/>
          </w:tcPr>
          <w:p w14:paraId="1CC5E7CE"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Total Shelter Pop. at Start</w:t>
            </w:r>
          </w:p>
        </w:tc>
        <w:tc>
          <w:tcPr>
            <w:tcW w:w="810" w:type="dxa"/>
          </w:tcPr>
          <w:p w14:paraId="6F5A8135"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No. Persons Seen/ Treated</w:t>
            </w:r>
          </w:p>
        </w:tc>
        <w:tc>
          <w:tcPr>
            <w:tcW w:w="990" w:type="dxa"/>
          </w:tcPr>
          <w:p w14:paraId="7E1BB102"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No. Pregnant Females Seen/ Treated</w:t>
            </w:r>
          </w:p>
        </w:tc>
        <w:tc>
          <w:tcPr>
            <w:tcW w:w="900" w:type="dxa"/>
          </w:tcPr>
          <w:p w14:paraId="07628328"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No. </w:t>
            </w:r>
            <w:r w:rsidRPr="003306F2">
              <w:rPr>
                <w:sz w:val="18"/>
                <w:szCs w:val="18"/>
              </w:rPr>
              <w:br/>
              <w:t xml:space="preserve">≤1 years Seen/ </w:t>
            </w:r>
            <w:r w:rsidRPr="003306F2">
              <w:rPr>
                <w:sz w:val="18"/>
                <w:szCs w:val="18"/>
              </w:rPr>
              <w:br/>
              <w:t>Treated</w:t>
            </w:r>
          </w:p>
        </w:tc>
        <w:tc>
          <w:tcPr>
            <w:tcW w:w="990" w:type="dxa"/>
          </w:tcPr>
          <w:p w14:paraId="694E3885"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 xml:space="preserve">No. </w:t>
            </w:r>
            <w:r w:rsidRPr="003306F2">
              <w:rPr>
                <w:sz w:val="18"/>
                <w:szCs w:val="18"/>
              </w:rPr>
              <w:br/>
              <w:t>≥ 65 Seen/ Treated</w:t>
            </w:r>
          </w:p>
        </w:tc>
        <w:tc>
          <w:tcPr>
            <w:tcW w:w="900" w:type="dxa"/>
          </w:tcPr>
          <w:p w14:paraId="78DB3FD9"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Total Referred to Hospital</w:t>
            </w:r>
          </w:p>
        </w:tc>
        <w:tc>
          <w:tcPr>
            <w:tcW w:w="810" w:type="dxa"/>
          </w:tcPr>
          <w:p w14:paraId="0E2D5980"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Illness/</w:t>
            </w:r>
            <w:r w:rsidRPr="003306F2">
              <w:rPr>
                <w:sz w:val="18"/>
                <w:szCs w:val="18"/>
              </w:rPr>
              <w:br/>
              <w:t>Injury</w:t>
            </w:r>
            <w:r w:rsidRPr="003306F2">
              <w:rPr>
                <w:sz w:val="18"/>
                <w:szCs w:val="18"/>
              </w:rPr>
              <w:br/>
              <w:t>Report</w:t>
            </w:r>
            <w:r w:rsidRPr="003306F2">
              <w:rPr>
                <w:sz w:val="18"/>
                <w:szCs w:val="18"/>
              </w:rPr>
              <w:br/>
              <w:t>(Y/N)</w:t>
            </w:r>
          </w:p>
        </w:tc>
        <w:tc>
          <w:tcPr>
            <w:tcW w:w="1800" w:type="dxa"/>
          </w:tcPr>
          <w:p w14:paraId="7CCF4C1A" w14:textId="77777777" w:rsidR="006156C3" w:rsidRPr="003306F2" w:rsidRDefault="006156C3" w:rsidP="009E54F1">
            <w:pPr>
              <w:spacing w:after="160" w:line="252" w:lineRule="auto"/>
              <w:cnfStyle w:val="100000000000" w:firstRow="1" w:lastRow="0" w:firstColumn="0" w:lastColumn="0" w:oddVBand="0" w:evenVBand="0" w:oddHBand="0" w:evenHBand="0" w:firstRowFirstColumn="0" w:firstRowLastColumn="0" w:lastRowFirstColumn="0" w:lastRowLastColumn="0"/>
              <w:rPr>
                <w:b w:val="0"/>
                <w:sz w:val="18"/>
                <w:szCs w:val="18"/>
              </w:rPr>
            </w:pPr>
            <w:r w:rsidRPr="003306F2">
              <w:rPr>
                <w:sz w:val="18"/>
                <w:szCs w:val="18"/>
              </w:rPr>
              <w:t>Describe</w:t>
            </w:r>
            <w:r w:rsidRPr="003306F2">
              <w:rPr>
                <w:sz w:val="18"/>
                <w:szCs w:val="18"/>
              </w:rPr>
              <w:br/>
              <w:t>Illness/ Injuries (include percent and if cases reported in residents or workers/volunteers)</w:t>
            </w:r>
          </w:p>
        </w:tc>
      </w:tr>
      <w:tr w:rsidR="006156C3" w:rsidRPr="0028618F" w14:paraId="55E01454"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3033EE55" w14:textId="77777777" w:rsidR="006156C3" w:rsidRPr="003306F2" w:rsidRDefault="006156C3" w:rsidP="009E54F1">
            <w:pPr>
              <w:spacing w:after="160" w:line="252" w:lineRule="auto"/>
              <w:rPr>
                <w:sz w:val="18"/>
                <w:szCs w:val="18"/>
              </w:rPr>
            </w:pPr>
          </w:p>
        </w:tc>
        <w:tc>
          <w:tcPr>
            <w:tcW w:w="810" w:type="dxa"/>
          </w:tcPr>
          <w:p w14:paraId="534AF7AA"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7E0C04DA"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2E232611"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15783238"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3F2B523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7BFE6AA3"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6A4DDACF"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47D0311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18F8C6F5"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1AF558EF"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51617794"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23354FC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800" w:type="dxa"/>
          </w:tcPr>
          <w:p w14:paraId="4F42EF38"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6156C3" w:rsidRPr="0028618F" w14:paraId="55815304" w14:textId="77777777" w:rsidTr="009E54F1">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1078C451" w14:textId="77777777" w:rsidR="006156C3" w:rsidRPr="003306F2" w:rsidRDefault="006156C3" w:rsidP="009E54F1">
            <w:pPr>
              <w:spacing w:after="160" w:line="252" w:lineRule="auto"/>
              <w:rPr>
                <w:sz w:val="18"/>
                <w:szCs w:val="18"/>
              </w:rPr>
            </w:pPr>
          </w:p>
        </w:tc>
        <w:tc>
          <w:tcPr>
            <w:tcW w:w="810" w:type="dxa"/>
          </w:tcPr>
          <w:p w14:paraId="04101D30"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630" w:type="dxa"/>
          </w:tcPr>
          <w:p w14:paraId="793C7208"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630" w:type="dxa"/>
          </w:tcPr>
          <w:p w14:paraId="1EEF9492"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68235BA9"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2F804C32"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67F7DFEC"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10" w:type="dxa"/>
          </w:tcPr>
          <w:p w14:paraId="2B563EB2"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26B003F7"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4994D147"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90" w:type="dxa"/>
          </w:tcPr>
          <w:p w14:paraId="6D2D739F"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900" w:type="dxa"/>
          </w:tcPr>
          <w:p w14:paraId="03B98B02"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810" w:type="dxa"/>
          </w:tcPr>
          <w:p w14:paraId="0016831A"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c>
          <w:tcPr>
            <w:tcW w:w="1800" w:type="dxa"/>
          </w:tcPr>
          <w:p w14:paraId="7AB038D6"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18"/>
                <w:szCs w:val="18"/>
              </w:rPr>
            </w:pPr>
          </w:p>
        </w:tc>
      </w:tr>
      <w:tr w:rsidR="006156C3" w:rsidRPr="0028618F" w14:paraId="0F8B1DF1"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shd w:val="clear" w:color="auto" w:fill="FFFFFF" w:themeFill="background1"/>
          </w:tcPr>
          <w:p w14:paraId="5D5AAFDF" w14:textId="77777777" w:rsidR="006156C3" w:rsidRPr="003306F2" w:rsidRDefault="006156C3" w:rsidP="009E54F1">
            <w:pPr>
              <w:spacing w:after="160" w:line="252" w:lineRule="auto"/>
              <w:rPr>
                <w:sz w:val="18"/>
                <w:szCs w:val="18"/>
              </w:rPr>
            </w:pPr>
          </w:p>
        </w:tc>
        <w:tc>
          <w:tcPr>
            <w:tcW w:w="810" w:type="dxa"/>
          </w:tcPr>
          <w:p w14:paraId="7B19DBA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2A0D3146"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630" w:type="dxa"/>
          </w:tcPr>
          <w:p w14:paraId="57281189"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37359D12"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1ED78F63"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4EA48641"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18BF5BC9"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0030DE47"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6DCBFC5E"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90" w:type="dxa"/>
          </w:tcPr>
          <w:p w14:paraId="459D934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900" w:type="dxa"/>
          </w:tcPr>
          <w:p w14:paraId="492870BF"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810" w:type="dxa"/>
          </w:tcPr>
          <w:p w14:paraId="2F7A3AAF"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1800" w:type="dxa"/>
          </w:tcPr>
          <w:p w14:paraId="7F2A299B" w14:textId="77777777" w:rsidR="006156C3" w:rsidRPr="003306F2"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18"/>
                <w:szCs w:val="18"/>
              </w:rPr>
            </w:pPr>
          </w:p>
        </w:tc>
      </w:tr>
      <w:tr w:rsidR="006156C3" w:rsidRPr="0028618F" w14:paraId="3C80F162" w14:textId="77777777" w:rsidTr="009E54F1">
        <w:tc>
          <w:tcPr>
            <w:cnfStyle w:val="001000000000" w:firstRow="0" w:lastRow="0" w:firstColumn="1" w:lastColumn="0" w:oddVBand="0" w:evenVBand="0" w:oddHBand="0" w:evenHBand="0" w:firstRowFirstColumn="0" w:firstRowLastColumn="0" w:lastRowFirstColumn="0" w:lastRowLastColumn="0"/>
            <w:tcW w:w="1440" w:type="dxa"/>
            <w:vMerge w:val="restart"/>
          </w:tcPr>
          <w:p w14:paraId="67085920" w14:textId="77777777" w:rsidR="006156C3" w:rsidRPr="003306F2" w:rsidRDefault="006156C3" w:rsidP="009E54F1">
            <w:pPr>
              <w:spacing w:after="160" w:line="252" w:lineRule="auto"/>
              <w:rPr>
                <w:sz w:val="18"/>
                <w:szCs w:val="18"/>
              </w:rPr>
            </w:pPr>
            <w:r w:rsidRPr="003306F2">
              <w:rPr>
                <w:sz w:val="18"/>
                <w:szCs w:val="18"/>
              </w:rPr>
              <w:t xml:space="preserve">Reporting Period </w:t>
            </w:r>
            <w:r w:rsidRPr="003306F2">
              <w:rPr>
                <w:sz w:val="18"/>
                <w:szCs w:val="18"/>
              </w:rPr>
              <w:br/>
            </w:r>
            <w:r w:rsidRPr="003306F2">
              <w:rPr>
                <w:sz w:val="18"/>
                <w:szCs w:val="18"/>
              </w:rPr>
              <w:br/>
              <w:t>Start</w:t>
            </w:r>
            <w:r w:rsidRPr="003306F2">
              <w:rPr>
                <w:sz w:val="18"/>
                <w:szCs w:val="18"/>
              </w:rPr>
              <w:br/>
              <w:t>MM/DD/YYYY</w:t>
            </w:r>
            <w:r w:rsidRPr="003306F2">
              <w:rPr>
                <w:sz w:val="18"/>
                <w:szCs w:val="18"/>
              </w:rPr>
              <w:br/>
              <w:t>HH:MM (12hr)</w:t>
            </w:r>
            <w:r w:rsidRPr="003306F2">
              <w:rPr>
                <w:sz w:val="18"/>
                <w:szCs w:val="18"/>
              </w:rPr>
              <w:br/>
              <w:t>AM/PM</w:t>
            </w:r>
            <w:r w:rsidRPr="003306F2">
              <w:rPr>
                <w:sz w:val="18"/>
                <w:szCs w:val="18"/>
              </w:rPr>
              <w:br/>
              <w:t>End</w:t>
            </w:r>
            <w:r w:rsidRPr="003306F2">
              <w:rPr>
                <w:sz w:val="18"/>
                <w:szCs w:val="18"/>
              </w:rPr>
              <w:br/>
              <w:t>MM/DD/YY</w:t>
            </w:r>
            <w:r w:rsidRPr="003306F2">
              <w:rPr>
                <w:sz w:val="18"/>
                <w:szCs w:val="18"/>
              </w:rPr>
              <w:br/>
              <w:t>HH:MM</w:t>
            </w:r>
            <w:r w:rsidRPr="003306F2">
              <w:rPr>
                <w:sz w:val="18"/>
                <w:szCs w:val="18"/>
              </w:rPr>
              <w:br/>
              <w:t>(12hr)</w:t>
            </w:r>
            <w:r w:rsidRPr="003306F2">
              <w:rPr>
                <w:sz w:val="18"/>
                <w:szCs w:val="18"/>
              </w:rPr>
              <w:br/>
              <w:t>AM/PM</w:t>
            </w:r>
          </w:p>
        </w:tc>
        <w:tc>
          <w:tcPr>
            <w:tcW w:w="810" w:type="dxa"/>
          </w:tcPr>
          <w:p w14:paraId="465011C4"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Facility </w:t>
            </w:r>
            <w:r w:rsidRPr="003306F2">
              <w:rPr>
                <w:b/>
                <w:sz w:val="18"/>
                <w:szCs w:val="18"/>
              </w:rPr>
              <w:br/>
              <w:t>Name</w:t>
            </w:r>
          </w:p>
        </w:tc>
        <w:tc>
          <w:tcPr>
            <w:tcW w:w="630" w:type="dxa"/>
          </w:tcPr>
          <w:p w14:paraId="08C670B0"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State</w:t>
            </w:r>
          </w:p>
        </w:tc>
        <w:tc>
          <w:tcPr>
            <w:tcW w:w="630" w:type="dxa"/>
          </w:tcPr>
          <w:p w14:paraId="3FDDB34E"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Zip </w:t>
            </w:r>
            <w:r w:rsidRPr="003306F2">
              <w:rPr>
                <w:b/>
                <w:sz w:val="18"/>
                <w:szCs w:val="18"/>
              </w:rPr>
              <w:br/>
              <w:t>Code</w:t>
            </w:r>
          </w:p>
        </w:tc>
        <w:tc>
          <w:tcPr>
            <w:tcW w:w="900" w:type="dxa"/>
          </w:tcPr>
          <w:p w14:paraId="373486FC"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Date </w:t>
            </w:r>
            <w:r w:rsidRPr="003306F2">
              <w:rPr>
                <w:b/>
                <w:sz w:val="18"/>
                <w:szCs w:val="18"/>
              </w:rPr>
              <w:br/>
              <w:t xml:space="preserve">and </w:t>
            </w:r>
            <w:r w:rsidRPr="003306F2">
              <w:rPr>
                <w:b/>
                <w:sz w:val="18"/>
                <w:szCs w:val="18"/>
              </w:rPr>
              <w:br/>
              <w:t>Time Received</w:t>
            </w:r>
          </w:p>
        </w:tc>
        <w:tc>
          <w:tcPr>
            <w:tcW w:w="990" w:type="dxa"/>
          </w:tcPr>
          <w:p w14:paraId="752B4E9B"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Reporting Person/ Contact</w:t>
            </w:r>
          </w:p>
        </w:tc>
        <w:tc>
          <w:tcPr>
            <w:tcW w:w="990" w:type="dxa"/>
          </w:tcPr>
          <w:p w14:paraId="19738114"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Total Shelter Pop. at Start</w:t>
            </w:r>
          </w:p>
        </w:tc>
        <w:tc>
          <w:tcPr>
            <w:tcW w:w="810" w:type="dxa"/>
          </w:tcPr>
          <w:p w14:paraId="7F2B9DF9"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 Persons Seen/ Treated</w:t>
            </w:r>
          </w:p>
        </w:tc>
        <w:tc>
          <w:tcPr>
            <w:tcW w:w="990" w:type="dxa"/>
          </w:tcPr>
          <w:p w14:paraId="47586520"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 Pregnant Females Seen/ Treated</w:t>
            </w:r>
          </w:p>
        </w:tc>
        <w:tc>
          <w:tcPr>
            <w:tcW w:w="900" w:type="dxa"/>
          </w:tcPr>
          <w:p w14:paraId="252C4648"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No</w:t>
            </w:r>
            <w:r>
              <w:rPr>
                <w:b/>
                <w:sz w:val="18"/>
                <w:szCs w:val="18"/>
              </w:rPr>
              <w:t xml:space="preserve">. </w:t>
            </w:r>
            <w:r w:rsidRPr="003306F2">
              <w:rPr>
                <w:b/>
                <w:sz w:val="18"/>
                <w:szCs w:val="18"/>
              </w:rPr>
              <w:br/>
              <w:t>≤1 years Seen/ Treated</w:t>
            </w:r>
          </w:p>
        </w:tc>
        <w:tc>
          <w:tcPr>
            <w:tcW w:w="990" w:type="dxa"/>
          </w:tcPr>
          <w:p w14:paraId="2E9100D7"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 xml:space="preserve">No. </w:t>
            </w:r>
            <w:r w:rsidRPr="003306F2">
              <w:rPr>
                <w:b/>
                <w:sz w:val="18"/>
                <w:szCs w:val="18"/>
              </w:rPr>
              <w:br/>
              <w:t>≥ 65 years Seen/ Treated</w:t>
            </w:r>
          </w:p>
        </w:tc>
        <w:tc>
          <w:tcPr>
            <w:tcW w:w="900" w:type="dxa"/>
          </w:tcPr>
          <w:p w14:paraId="0BD9F2ED"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Total Referred to Hospital</w:t>
            </w:r>
          </w:p>
        </w:tc>
        <w:tc>
          <w:tcPr>
            <w:tcW w:w="810" w:type="dxa"/>
          </w:tcPr>
          <w:p w14:paraId="43493820"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Illness/</w:t>
            </w:r>
            <w:r w:rsidRPr="003306F2">
              <w:rPr>
                <w:b/>
                <w:sz w:val="18"/>
                <w:szCs w:val="18"/>
              </w:rPr>
              <w:br/>
              <w:t>Injury</w:t>
            </w:r>
            <w:r w:rsidRPr="003306F2">
              <w:rPr>
                <w:b/>
                <w:sz w:val="18"/>
                <w:szCs w:val="18"/>
              </w:rPr>
              <w:br/>
              <w:t>Report</w:t>
            </w:r>
            <w:r w:rsidRPr="003306F2">
              <w:rPr>
                <w:b/>
                <w:sz w:val="18"/>
                <w:szCs w:val="18"/>
              </w:rPr>
              <w:br/>
              <w:t>(Y/N)</w:t>
            </w:r>
          </w:p>
        </w:tc>
        <w:tc>
          <w:tcPr>
            <w:tcW w:w="1800" w:type="dxa"/>
          </w:tcPr>
          <w:p w14:paraId="6AFB0F25" w14:textId="77777777" w:rsidR="006156C3" w:rsidRPr="003306F2"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b/>
                <w:sz w:val="18"/>
                <w:szCs w:val="18"/>
              </w:rPr>
            </w:pPr>
            <w:r w:rsidRPr="003306F2">
              <w:rPr>
                <w:b/>
                <w:sz w:val="18"/>
                <w:szCs w:val="18"/>
              </w:rPr>
              <w:t>Describe</w:t>
            </w:r>
            <w:r w:rsidRPr="003306F2">
              <w:rPr>
                <w:b/>
                <w:sz w:val="18"/>
                <w:szCs w:val="18"/>
              </w:rPr>
              <w:br/>
              <w:t>Illness/ Injuries (include percent and if cases reported in residents or workers/volunteers)</w:t>
            </w:r>
          </w:p>
        </w:tc>
      </w:tr>
      <w:tr w:rsidR="006156C3" w:rsidRPr="0028618F" w14:paraId="54FB002F"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Pr>
          <w:p w14:paraId="39B908A8" w14:textId="77777777" w:rsidR="006156C3" w:rsidRPr="0028618F" w:rsidRDefault="006156C3" w:rsidP="009E54F1">
            <w:pPr>
              <w:spacing w:after="160" w:line="252" w:lineRule="auto"/>
              <w:rPr>
                <w:sz w:val="20"/>
                <w:szCs w:val="20"/>
              </w:rPr>
            </w:pPr>
          </w:p>
        </w:tc>
        <w:tc>
          <w:tcPr>
            <w:tcW w:w="810" w:type="dxa"/>
          </w:tcPr>
          <w:p w14:paraId="0A8DD686"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7E6B7CB6"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7C9C4E7F"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137C4C0F"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227EA0E9"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6EEFCCBB"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008E03B8"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63315EF7"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7815219D"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5DB78150"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63E8CEE0"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75554808"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tcPr>
          <w:p w14:paraId="63B940E2"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6156C3" w:rsidRPr="0028618F" w14:paraId="3A019538" w14:textId="77777777" w:rsidTr="009E54F1">
        <w:tc>
          <w:tcPr>
            <w:cnfStyle w:val="001000000000" w:firstRow="0" w:lastRow="0" w:firstColumn="1" w:lastColumn="0" w:oddVBand="0" w:evenVBand="0" w:oddHBand="0" w:evenHBand="0" w:firstRowFirstColumn="0" w:firstRowLastColumn="0" w:lastRowFirstColumn="0" w:lastRowLastColumn="0"/>
            <w:tcW w:w="1440" w:type="dxa"/>
            <w:vMerge/>
          </w:tcPr>
          <w:p w14:paraId="3C42DBFF" w14:textId="77777777" w:rsidR="006156C3" w:rsidRPr="0028618F" w:rsidRDefault="006156C3" w:rsidP="009E54F1">
            <w:pPr>
              <w:spacing w:after="160" w:line="252" w:lineRule="auto"/>
              <w:rPr>
                <w:sz w:val="20"/>
                <w:szCs w:val="20"/>
              </w:rPr>
            </w:pPr>
          </w:p>
        </w:tc>
        <w:tc>
          <w:tcPr>
            <w:tcW w:w="810" w:type="dxa"/>
          </w:tcPr>
          <w:p w14:paraId="6BFEA611"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630" w:type="dxa"/>
          </w:tcPr>
          <w:p w14:paraId="2335D19D"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630" w:type="dxa"/>
          </w:tcPr>
          <w:p w14:paraId="62B73C30"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2A8CFA92"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7D75738D"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DDED120"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10" w:type="dxa"/>
          </w:tcPr>
          <w:p w14:paraId="0809777E"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E39DF75"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3D3E7EAB"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18E4701"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900" w:type="dxa"/>
          </w:tcPr>
          <w:p w14:paraId="6A46C5E1"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810" w:type="dxa"/>
          </w:tcPr>
          <w:p w14:paraId="382244BF"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800" w:type="dxa"/>
          </w:tcPr>
          <w:p w14:paraId="15B41E78" w14:textId="77777777" w:rsidR="006156C3" w:rsidRPr="0028618F" w:rsidRDefault="006156C3" w:rsidP="009E54F1">
            <w:pPr>
              <w:spacing w:after="160" w:line="252"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6156C3" w:rsidRPr="0028618F" w14:paraId="0E57153B"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tcPr>
          <w:p w14:paraId="69C664F3" w14:textId="77777777" w:rsidR="006156C3" w:rsidRPr="0028618F" w:rsidRDefault="006156C3" w:rsidP="009E54F1">
            <w:pPr>
              <w:spacing w:after="160" w:line="252" w:lineRule="auto"/>
              <w:rPr>
                <w:sz w:val="20"/>
                <w:szCs w:val="20"/>
              </w:rPr>
            </w:pPr>
          </w:p>
        </w:tc>
        <w:tc>
          <w:tcPr>
            <w:tcW w:w="810" w:type="dxa"/>
          </w:tcPr>
          <w:p w14:paraId="7B1BB5C9"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7119D55B"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630" w:type="dxa"/>
          </w:tcPr>
          <w:p w14:paraId="071AEF49"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2F5A744D"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3C2C6AF7"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0F105A07"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015A7F49"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07D1C49A"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156FFA73"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90" w:type="dxa"/>
          </w:tcPr>
          <w:p w14:paraId="03E7DD18"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900" w:type="dxa"/>
          </w:tcPr>
          <w:p w14:paraId="71198C3D"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810" w:type="dxa"/>
          </w:tcPr>
          <w:p w14:paraId="7C25F049"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800" w:type="dxa"/>
          </w:tcPr>
          <w:p w14:paraId="56802D4F" w14:textId="77777777" w:rsidR="006156C3" w:rsidRPr="0028618F" w:rsidRDefault="006156C3" w:rsidP="009E54F1">
            <w:pPr>
              <w:spacing w:after="160" w:line="252" w:lineRule="auto"/>
              <w:cnfStyle w:val="000000100000" w:firstRow="0" w:lastRow="0" w:firstColumn="0" w:lastColumn="0" w:oddVBand="0" w:evenVBand="0" w:oddHBand="1" w:evenHBand="0" w:firstRowFirstColumn="0" w:firstRowLastColumn="0" w:lastRowFirstColumn="0" w:lastRowLastColumn="0"/>
              <w:rPr>
                <w:sz w:val="20"/>
                <w:szCs w:val="20"/>
              </w:rPr>
            </w:pPr>
          </w:p>
        </w:tc>
      </w:tr>
    </w:tbl>
    <w:p w14:paraId="3DD630A1" w14:textId="77777777" w:rsidR="006156C3" w:rsidRDefault="006156C3" w:rsidP="006156C3"/>
    <w:p w14:paraId="5D14732B" w14:textId="77777777" w:rsidR="006156C3" w:rsidRDefault="006156C3" w:rsidP="006156C3"/>
    <w:p w14:paraId="74931AED" w14:textId="77777777" w:rsidR="006156C3" w:rsidRDefault="006156C3" w:rsidP="006156C3"/>
    <w:p w14:paraId="4A7CDBED" w14:textId="77777777" w:rsidR="006156C3" w:rsidRPr="0028618F" w:rsidRDefault="006156C3" w:rsidP="006156C3">
      <w:pPr>
        <w:sectPr w:rsidR="006156C3" w:rsidRPr="0028618F" w:rsidSect="0028618F">
          <w:footerReference w:type="default" r:id="rId11"/>
          <w:pgSz w:w="15840" w:h="12240" w:orient="landscape"/>
          <w:pgMar w:top="1440" w:right="1440" w:bottom="1440" w:left="1440" w:header="720" w:footer="720" w:gutter="0"/>
          <w:pgNumType w:start="1"/>
          <w:cols w:space="720"/>
          <w:docGrid w:linePitch="360"/>
        </w:sectPr>
      </w:pPr>
    </w:p>
    <w:p w14:paraId="330DE73E" w14:textId="77777777" w:rsidR="006156C3" w:rsidRDefault="006156C3" w:rsidP="006156C3">
      <w:pPr>
        <w:pStyle w:val="Heading3"/>
        <w:rPr>
          <w:b w:val="0"/>
          <w:sz w:val="28"/>
          <w:szCs w:val="28"/>
        </w:rPr>
      </w:pPr>
      <w:r>
        <w:rPr>
          <w:b w:val="0"/>
          <w:sz w:val="28"/>
          <w:szCs w:val="28"/>
        </w:rPr>
        <w:lastRenderedPageBreak/>
        <w:t>Epi Info</w:t>
      </w:r>
    </w:p>
    <w:p w14:paraId="376D0EB0" w14:textId="77777777" w:rsidR="006156C3" w:rsidRPr="00D22E5D" w:rsidRDefault="006156C3" w:rsidP="006156C3">
      <w:pPr>
        <w:spacing w:line="360" w:lineRule="auto"/>
        <w:rPr>
          <w:sz w:val="24"/>
          <w:szCs w:val="24"/>
        </w:rPr>
      </w:pPr>
      <w:r>
        <w:rPr>
          <w:sz w:val="24"/>
          <w:szCs w:val="24"/>
        </w:rPr>
        <w:t>M</w:t>
      </w:r>
      <w:r w:rsidRPr="00D22E5D">
        <w:rPr>
          <w:sz w:val="24"/>
          <w:szCs w:val="24"/>
        </w:rPr>
        <w:t>any different statistical analysis packages are available to analyze data. Use tools that are available and familiar to staff. Epi Info™ software is useful because it is user-friendly and available free of charge (http://wwwn.cdc.gov/epiinfo/7/). The Epi Info™ Website provides tutorials in creating databases, entering data, and running analyses.</w:t>
      </w:r>
    </w:p>
    <w:p w14:paraId="6DD9559E" w14:textId="77777777" w:rsidR="006156C3" w:rsidRDefault="006156C3" w:rsidP="006156C3">
      <w:pPr>
        <w:pStyle w:val="Heading3"/>
        <w:rPr>
          <w:b w:val="0"/>
          <w:sz w:val="28"/>
          <w:szCs w:val="28"/>
        </w:rPr>
      </w:pPr>
      <w:r>
        <w:rPr>
          <w:b w:val="0"/>
          <w:sz w:val="28"/>
          <w:szCs w:val="28"/>
        </w:rPr>
        <w:t>Interpreting Results for Action (When do we pull the trigger?)</w:t>
      </w:r>
    </w:p>
    <w:p w14:paraId="45B68CE1" w14:textId="77777777" w:rsidR="006156C3" w:rsidRPr="00D22E5D" w:rsidRDefault="006156C3" w:rsidP="006156C3">
      <w:pPr>
        <w:spacing w:line="360" w:lineRule="auto"/>
        <w:rPr>
          <w:sz w:val="24"/>
          <w:szCs w:val="24"/>
        </w:rPr>
      </w:pPr>
      <w:r w:rsidRPr="00D22E5D">
        <w:rPr>
          <w:sz w:val="24"/>
          <w:szCs w:val="24"/>
        </w:rPr>
        <w:t>Before a disaster occurs</w:t>
      </w:r>
      <w:r>
        <w:rPr>
          <w:sz w:val="24"/>
          <w:szCs w:val="24"/>
        </w:rPr>
        <w:t>,</w:t>
      </w:r>
      <w:r w:rsidRPr="00D22E5D">
        <w:rPr>
          <w:sz w:val="24"/>
          <w:szCs w:val="24"/>
        </w:rPr>
        <w:t xml:space="preserve"> make sure to determine what surveillance data will trigger public health intervention. These “triggers” may vary depending on the situation, shelter, and event type. </w:t>
      </w:r>
      <w:r>
        <w:rPr>
          <w:sz w:val="24"/>
          <w:szCs w:val="24"/>
        </w:rPr>
        <w:t>U</w:t>
      </w:r>
      <w:r w:rsidRPr="00D22E5D">
        <w:rPr>
          <w:sz w:val="24"/>
          <w:szCs w:val="24"/>
        </w:rPr>
        <w:t>seful recommendations for when surveillance results trigger public health action include the following:</w:t>
      </w:r>
    </w:p>
    <w:p w14:paraId="07475E98" w14:textId="77777777" w:rsidR="006156C3" w:rsidRPr="00D22E5D" w:rsidRDefault="006156C3" w:rsidP="006156C3">
      <w:pPr>
        <w:pStyle w:val="ListParagraph"/>
        <w:numPr>
          <w:ilvl w:val="0"/>
          <w:numId w:val="2"/>
        </w:numPr>
        <w:rPr>
          <w:sz w:val="24"/>
          <w:szCs w:val="24"/>
        </w:rPr>
      </w:pPr>
      <w:r w:rsidRPr="00D22E5D">
        <w:rPr>
          <w:sz w:val="24"/>
          <w:szCs w:val="24"/>
        </w:rPr>
        <w:t>Changes in trends of illness in the shelter</w:t>
      </w:r>
    </w:p>
    <w:p w14:paraId="5804B24D" w14:textId="77777777" w:rsidR="006156C3" w:rsidRPr="00D22E5D" w:rsidRDefault="006156C3" w:rsidP="006156C3">
      <w:pPr>
        <w:pStyle w:val="ListParagraph"/>
        <w:numPr>
          <w:ilvl w:val="0"/>
          <w:numId w:val="2"/>
        </w:numPr>
        <w:rPr>
          <w:sz w:val="24"/>
          <w:szCs w:val="24"/>
        </w:rPr>
      </w:pPr>
      <w:r w:rsidRPr="00D22E5D">
        <w:rPr>
          <w:sz w:val="24"/>
          <w:szCs w:val="24"/>
        </w:rPr>
        <w:t>Two or more cases, from different family groups, with similar symptoms</w:t>
      </w:r>
    </w:p>
    <w:p w14:paraId="47391FF2" w14:textId="77777777" w:rsidR="006156C3" w:rsidRPr="00D22E5D" w:rsidRDefault="006156C3" w:rsidP="006156C3">
      <w:pPr>
        <w:pStyle w:val="ListParagraph"/>
        <w:numPr>
          <w:ilvl w:val="0"/>
          <w:numId w:val="2"/>
        </w:numPr>
        <w:rPr>
          <w:sz w:val="24"/>
          <w:szCs w:val="24"/>
        </w:rPr>
      </w:pPr>
      <w:r w:rsidRPr="00D22E5D">
        <w:rPr>
          <w:sz w:val="24"/>
          <w:szCs w:val="24"/>
        </w:rPr>
        <w:t>Two or more cases, with similar symptoms, that are linked (e.g., similar activities, what and where they ate)</w:t>
      </w:r>
    </w:p>
    <w:p w14:paraId="758B56EF" w14:textId="77777777" w:rsidR="006156C3" w:rsidRPr="00D22E5D" w:rsidRDefault="006156C3" w:rsidP="006156C3">
      <w:pPr>
        <w:pStyle w:val="ListParagraph"/>
        <w:numPr>
          <w:ilvl w:val="0"/>
          <w:numId w:val="2"/>
        </w:numPr>
        <w:rPr>
          <w:sz w:val="24"/>
          <w:szCs w:val="24"/>
        </w:rPr>
      </w:pPr>
      <w:r w:rsidRPr="00D22E5D">
        <w:rPr>
          <w:sz w:val="24"/>
          <w:szCs w:val="24"/>
        </w:rPr>
        <w:t>Symptoms or syndromes indicating the potential communicable disease outbreaks</w:t>
      </w:r>
    </w:p>
    <w:p w14:paraId="7D930EB9" w14:textId="77777777" w:rsidR="006156C3" w:rsidRDefault="006156C3" w:rsidP="006156C3">
      <w:pPr>
        <w:spacing w:line="360" w:lineRule="auto"/>
        <w:rPr>
          <w:sz w:val="24"/>
          <w:szCs w:val="24"/>
        </w:rPr>
      </w:pPr>
      <w:r w:rsidRPr="00D22E5D">
        <w:rPr>
          <w:sz w:val="24"/>
          <w:szCs w:val="24"/>
        </w:rPr>
        <w:t>Table 4 lists several examples of symptoms/syndromes that may indicate an individual has a communicable disease according to the Association for Professionals in Infection Control and Epidemiology (APIC).</w:t>
      </w:r>
    </w:p>
    <w:p w14:paraId="0DA8D1CF" w14:textId="77777777" w:rsidR="006156C3" w:rsidRDefault="006156C3" w:rsidP="006156C3">
      <w:pPr>
        <w:spacing w:line="360" w:lineRule="auto"/>
        <w:rPr>
          <w:sz w:val="24"/>
          <w:szCs w:val="24"/>
        </w:rPr>
      </w:pPr>
    </w:p>
    <w:p w14:paraId="2085BCC1" w14:textId="77777777" w:rsidR="006156C3" w:rsidRDefault="006156C3" w:rsidP="006156C3">
      <w:pPr>
        <w:spacing w:line="360" w:lineRule="auto"/>
        <w:rPr>
          <w:sz w:val="24"/>
          <w:szCs w:val="24"/>
        </w:rPr>
      </w:pPr>
    </w:p>
    <w:p w14:paraId="45A707B0" w14:textId="77777777" w:rsidR="006156C3" w:rsidRDefault="006156C3" w:rsidP="006156C3">
      <w:pPr>
        <w:spacing w:line="360" w:lineRule="auto"/>
        <w:rPr>
          <w:sz w:val="24"/>
          <w:szCs w:val="24"/>
        </w:rPr>
      </w:pPr>
    </w:p>
    <w:p w14:paraId="33DEC108" w14:textId="77777777" w:rsidR="006156C3" w:rsidRDefault="006156C3" w:rsidP="006156C3">
      <w:pPr>
        <w:spacing w:line="360" w:lineRule="auto"/>
        <w:rPr>
          <w:sz w:val="24"/>
          <w:szCs w:val="24"/>
        </w:rPr>
      </w:pPr>
    </w:p>
    <w:p w14:paraId="03A01E6F" w14:textId="77777777" w:rsidR="006156C3" w:rsidRDefault="006156C3" w:rsidP="006156C3">
      <w:pPr>
        <w:spacing w:line="360" w:lineRule="auto"/>
        <w:rPr>
          <w:sz w:val="24"/>
          <w:szCs w:val="24"/>
        </w:rPr>
      </w:pPr>
    </w:p>
    <w:p w14:paraId="30BC4997" w14:textId="77777777" w:rsidR="006156C3" w:rsidRPr="00D22E5D" w:rsidRDefault="006156C3" w:rsidP="006156C3">
      <w:pPr>
        <w:spacing w:line="360" w:lineRule="auto"/>
        <w:rPr>
          <w:sz w:val="24"/>
          <w:szCs w:val="24"/>
        </w:rPr>
      </w:pPr>
    </w:p>
    <w:p w14:paraId="425FE159" w14:textId="77777777" w:rsidR="006156C3" w:rsidRDefault="006156C3" w:rsidP="006156C3">
      <w:pPr>
        <w:rPr>
          <w:b/>
        </w:rPr>
      </w:pPr>
      <w:r>
        <w:rPr>
          <w:b/>
        </w:rPr>
        <w:lastRenderedPageBreak/>
        <w:t>Table 4</w:t>
      </w:r>
      <w:r w:rsidRPr="00FC6C6D">
        <w:rPr>
          <w:b/>
        </w:rPr>
        <w:t xml:space="preserve">. </w:t>
      </w:r>
      <w:r>
        <w:rPr>
          <w:b/>
        </w:rPr>
        <w:t>Symptoms and Syndromes relating to Communicable Disease</w:t>
      </w:r>
      <w:r>
        <w:rPr>
          <w:rStyle w:val="FootnoteReference"/>
          <w:b/>
        </w:rPr>
        <w:footnoteReference w:id="11"/>
      </w:r>
    </w:p>
    <w:tbl>
      <w:tblPr>
        <w:tblStyle w:val="LightList-Accent1"/>
        <w:tblW w:w="0" w:type="auto"/>
        <w:tblLook w:val="04A0" w:firstRow="1" w:lastRow="0" w:firstColumn="1" w:lastColumn="0" w:noHBand="0" w:noVBand="1"/>
      </w:tblPr>
      <w:tblGrid>
        <w:gridCol w:w="9340"/>
      </w:tblGrid>
      <w:tr w:rsidR="006156C3" w14:paraId="1D6333EA" w14:textId="77777777" w:rsidTr="009E54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7354F5B6" w14:textId="77777777" w:rsidR="006156C3" w:rsidRPr="00AC522C" w:rsidRDefault="006156C3" w:rsidP="009E54F1">
            <w:pPr>
              <w:rPr>
                <w:b w:val="0"/>
              </w:rPr>
            </w:pPr>
            <w:r w:rsidRPr="00AC522C">
              <w:rPr>
                <w:b w:val="0"/>
              </w:rPr>
              <w:t>Respiratory</w:t>
            </w:r>
          </w:p>
        </w:tc>
      </w:tr>
      <w:tr w:rsidR="006156C3" w14:paraId="0A5DFB73"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01CB67F6" w14:textId="77777777" w:rsidR="006156C3" w:rsidRPr="00AC522C" w:rsidRDefault="006156C3" w:rsidP="006156C3">
            <w:pPr>
              <w:pStyle w:val="ListParagraph"/>
              <w:numPr>
                <w:ilvl w:val="0"/>
                <w:numId w:val="3"/>
              </w:numPr>
              <w:spacing w:after="0" w:line="240" w:lineRule="auto"/>
              <w:rPr>
                <w:b w:val="0"/>
              </w:rPr>
            </w:pPr>
            <w:r w:rsidRPr="00AC522C">
              <w:rPr>
                <w:b w:val="0"/>
              </w:rPr>
              <w:t>Cough, runny nose, water eyes</w:t>
            </w:r>
          </w:p>
          <w:p w14:paraId="735FF492" w14:textId="77777777" w:rsidR="006156C3" w:rsidRPr="00AC522C" w:rsidRDefault="006156C3" w:rsidP="006156C3">
            <w:pPr>
              <w:pStyle w:val="ListParagraph"/>
              <w:numPr>
                <w:ilvl w:val="0"/>
                <w:numId w:val="3"/>
              </w:numPr>
              <w:spacing w:after="0" w:line="240" w:lineRule="auto"/>
              <w:rPr>
                <w:b w:val="0"/>
              </w:rPr>
            </w:pPr>
            <w:commentRangeStart w:id="2"/>
            <w:r w:rsidRPr="00AC522C">
              <w:rPr>
                <w:b w:val="0"/>
              </w:rPr>
              <w:t>Fever (Temp &gt;101.1⁰F) and cough in adults</w:t>
            </w:r>
          </w:p>
          <w:p w14:paraId="43368BB0" w14:textId="77777777" w:rsidR="006156C3" w:rsidRPr="00AC522C" w:rsidRDefault="006156C3" w:rsidP="006156C3">
            <w:pPr>
              <w:pStyle w:val="ListParagraph"/>
              <w:numPr>
                <w:ilvl w:val="0"/>
                <w:numId w:val="3"/>
              </w:numPr>
              <w:spacing w:after="0" w:line="240" w:lineRule="auto"/>
              <w:rPr>
                <w:b w:val="0"/>
              </w:rPr>
            </w:pPr>
            <w:r w:rsidRPr="00AC522C">
              <w:rPr>
                <w:b w:val="0"/>
              </w:rPr>
              <w:t>Fever (Temp &gt;101.1⁰F) and cough in children</w:t>
            </w:r>
            <w:commentRangeEnd w:id="2"/>
            <w:r>
              <w:rPr>
                <w:rStyle w:val="CommentReference"/>
                <w:rFonts w:ascii="Calibri" w:hAnsi="Calibri" w:cs="Times New Roman"/>
                <w:b w:val="0"/>
                <w:bCs w:val="0"/>
              </w:rPr>
              <w:commentReference w:id="2"/>
            </w:r>
          </w:p>
          <w:p w14:paraId="1E99B914" w14:textId="77777777" w:rsidR="006156C3" w:rsidRPr="00AC522C" w:rsidRDefault="006156C3" w:rsidP="006156C3">
            <w:pPr>
              <w:pStyle w:val="ListParagraph"/>
              <w:numPr>
                <w:ilvl w:val="0"/>
                <w:numId w:val="3"/>
              </w:numPr>
              <w:spacing w:after="0" w:line="240" w:lineRule="auto"/>
              <w:rPr>
                <w:rFonts w:cstheme="minorHAnsi"/>
                <w:b w:val="0"/>
              </w:rPr>
            </w:pPr>
            <w:r w:rsidRPr="00AC522C">
              <w:rPr>
                <w:b w:val="0"/>
              </w:rPr>
              <w:t>Fever (Temp &gt;101.1⁰F), cough with bloody sputum, and weight loss</w:t>
            </w:r>
          </w:p>
        </w:tc>
      </w:tr>
      <w:tr w:rsidR="006156C3" w14:paraId="34BF904D" w14:textId="77777777" w:rsidTr="009E54F1">
        <w:tc>
          <w:tcPr>
            <w:cnfStyle w:val="001000000000" w:firstRow="0" w:lastRow="0" w:firstColumn="1" w:lastColumn="0" w:oddVBand="0" w:evenVBand="0" w:oddHBand="0" w:evenHBand="0" w:firstRowFirstColumn="0" w:firstRowLastColumn="0" w:lastRowFirstColumn="0" w:lastRowLastColumn="0"/>
            <w:tcW w:w="9576" w:type="dxa"/>
            <w:shd w:val="clear" w:color="auto" w:fill="4472C4" w:themeFill="accent1"/>
          </w:tcPr>
          <w:p w14:paraId="528433AF" w14:textId="77777777" w:rsidR="006156C3" w:rsidRPr="00AC522C" w:rsidRDefault="006156C3" w:rsidP="009E54F1">
            <w:pPr>
              <w:rPr>
                <w:b w:val="0"/>
              </w:rPr>
            </w:pPr>
            <w:r w:rsidRPr="00AC522C">
              <w:rPr>
                <w:b w:val="0"/>
                <w:color w:val="FFFFFF" w:themeColor="background1"/>
              </w:rPr>
              <w:t>Diarrhea or Vomiting</w:t>
            </w:r>
          </w:p>
        </w:tc>
      </w:tr>
      <w:tr w:rsidR="006156C3" w14:paraId="3B50726C"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340F97A4" w14:textId="77777777" w:rsidR="006156C3" w:rsidRPr="00AC522C" w:rsidRDefault="006156C3" w:rsidP="006156C3">
            <w:pPr>
              <w:pStyle w:val="ListParagraph"/>
              <w:numPr>
                <w:ilvl w:val="0"/>
                <w:numId w:val="4"/>
              </w:numPr>
              <w:spacing w:after="0" w:line="240" w:lineRule="auto"/>
              <w:rPr>
                <w:b w:val="0"/>
              </w:rPr>
            </w:pPr>
            <w:r w:rsidRPr="00AC522C">
              <w:rPr>
                <w:b w:val="0"/>
              </w:rPr>
              <w:t>Vomiting</w:t>
            </w:r>
          </w:p>
          <w:p w14:paraId="553934DC" w14:textId="77777777" w:rsidR="006156C3" w:rsidRPr="00AC522C" w:rsidRDefault="006156C3" w:rsidP="006156C3">
            <w:pPr>
              <w:pStyle w:val="ListParagraph"/>
              <w:numPr>
                <w:ilvl w:val="0"/>
                <w:numId w:val="4"/>
              </w:numPr>
              <w:spacing w:after="0" w:line="240" w:lineRule="auto"/>
              <w:rPr>
                <w:b w:val="0"/>
              </w:rPr>
            </w:pPr>
            <w:r w:rsidRPr="00AC522C">
              <w:rPr>
                <w:b w:val="0"/>
              </w:rPr>
              <w:t>Loose or unformed stools</w:t>
            </w:r>
          </w:p>
          <w:p w14:paraId="0EADC44D" w14:textId="77777777" w:rsidR="006156C3" w:rsidRPr="00AC522C" w:rsidRDefault="006156C3" w:rsidP="006156C3">
            <w:pPr>
              <w:pStyle w:val="ListParagraph"/>
              <w:numPr>
                <w:ilvl w:val="1"/>
                <w:numId w:val="4"/>
              </w:numPr>
              <w:spacing w:after="0" w:line="240" w:lineRule="auto"/>
              <w:rPr>
                <w:rFonts w:cstheme="minorHAnsi"/>
                <w:b w:val="0"/>
              </w:rPr>
            </w:pPr>
            <w:r w:rsidRPr="00AC522C">
              <w:rPr>
                <w:b w:val="0"/>
              </w:rPr>
              <w:t>Water or explosive stools, with or without blood</w:t>
            </w:r>
          </w:p>
        </w:tc>
      </w:tr>
      <w:tr w:rsidR="006156C3" w14:paraId="491FE7BF" w14:textId="77777777" w:rsidTr="009E54F1">
        <w:tc>
          <w:tcPr>
            <w:cnfStyle w:val="001000000000" w:firstRow="0" w:lastRow="0" w:firstColumn="1" w:lastColumn="0" w:oddVBand="0" w:evenVBand="0" w:oddHBand="0" w:evenHBand="0" w:firstRowFirstColumn="0" w:firstRowLastColumn="0" w:lastRowFirstColumn="0" w:lastRowLastColumn="0"/>
            <w:tcW w:w="9576" w:type="dxa"/>
            <w:shd w:val="clear" w:color="auto" w:fill="4472C4" w:themeFill="accent1"/>
          </w:tcPr>
          <w:p w14:paraId="184278C5" w14:textId="77777777" w:rsidR="006156C3" w:rsidRPr="00AC522C" w:rsidRDefault="006156C3" w:rsidP="009E54F1">
            <w:pPr>
              <w:rPr>
                <w:b w:val="0"/>
              </w:rPr>
            </w:pPr>
            <w:r w:rsidRPr="00AC522C">
              <w:rPr>
                <w:b w:val="0"/>
                <w:color w:val="FFFFFF" w:themeColor="background1"/>
              </w:rPr>
              <w:t>Skin</w:t>
            </w:r>
          </w:p>
        </w:tc>
      </w:tr>
      <w:tr w:rsidR="006156C3" w14:paraId="24543B03" w14:textId="77777777" w:rsidTr="009E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tcPr>
          <w:p w14:paraId="680A5D7B" w14:textId="77777777" w:rsidR="006156C3" w:rsidRPr="00AC522C" w:rsidRDefault="006156C3" w:rsidP="006156C3">
            <w:pPr>
              <w:pStyle w:val="ListParagraph"/>
              <w:numPr>
                <w:ilvl w:val="0"/>
                <w:numId w:val="5"/>
              </w:numPr>
              <w:spacing w:after="0" w:line="240" w:lineRule="auto"/>
              <w:rPr>
                <w:b w:val="0"/>
              </w:rPr>
            </w:pPr>
            <w:r w:rsidRPr="00AC522C">
              <w:rPr>
                <w:b w:val="0"/>
              </w:rPr>
              <w:t>Fever (Temp &gt;101.1⁰F) and rash</w:t>
            </w:r>
          </w:p>
          <w:p w14:paraId="70B12261" w14:textId="77777777" w:rsidR="006156C3" w:rsidRPr="00AC522C" w:rsidRDefault="006156C3" w:rsidP="006156C3">
            <w:pPr>
              <w:pStyle w:val="ListParagraph"/>
              <w:numPr>
                <w:ilvl w:val="0"/>
                <w:numId w:val="5"/>
              </w:numPr>
              <w:spacing w:after="0" w:line="240" w:lineRule="auto"/>
              <w:rPr>
                <w:b w:val="0"/>
              </w:rPr>
            </w:pPr>
            <w:r w:rsidRPr="00AC522C">
              <w:rPr>
                <w:b w:val="0"/>
              </w:rPr>
              <w:t>Fever (Temp &gt;101.1⁰F), upper chest rash, and stiff/sore neck</w:t>
            </w:r>
          </w:p>
          <w:p w14:paraId="5680D641" w14:textId="77777777" w:rsidR="006156C3" w:rsidRPr="00AC522C" w:rsidRDefault="006156C3" w:rsidP="006156C3">
            <w:pPr>
              <w:pStyle w:val="ListParagraph"/>
              <w:numPr>
                <w:ilvl w:val="0"/>
                <w:numId w:val="5"/>
              </w:numPr>
              <w:spacing w:after="0" w:line="240" w:lineRule="auto"/>
              <w:rPr>
                <w:b w:val="0"/>
              </w:rPr>
            </w:pPr>
            <w:r w:rsidRPr="00AC522C">
              <w:rPr>
                <w:b w:val="0"/>
              </w:rPr>
              <w:t>Eye infections (drainage from eye)</w:t>
            </w:r>
          </w:p>
          <w:p w14:paraId="27A84E90" w14:textId="77777777" w:rsidR="006156C3" w:rsidRPr="00AC522C" w:rsidRDefault="006156C3" w:rsidP="006156C3">
            <w:pPr>
              <w:pStyle w:val="ListParagraph"/>
              <w:numPr>
                <w:ilvl w:val="0"/>
                <w:numId w:val="5"/>
              </w:numPr>
              <w:spacing w:after="0" w:line="240" w:lineRule="auto"/>
              <w:rPr>
                <w:b w:val="0"/>
              </w:rPr>
            </w:pPr>
            <w:r w:rsidRPr="00AC522C">
              <w:rPr>
                <w:b w:val="0"/>
              </w:rPr>
              <w:t>Draining wound/lesion</w:t>
            </w:r>
          </w:p>
          <w:p w14:paraId="7EDAA0B5" w14:textId="77777777" w:rsidR="006156C3" w:rsidRPr="00AC522C" w:rsidRDefault="006156C3" w:rsidP="006156C3">
            <w:pPr>
              <w:pStyle w:val="ListParagraph"/>
              <w:numPr>
                <w:ilvl w:val="0"/>
                <w:numId w:val="5"/>
              </w:numPr>
              <w:spacing w:after="0" w:line="240" w:lineRule="auto"/>
              <w:rPr>
                <w:rFonts w:cstheme="minorHAnsi"/>
                <w:b w:val="0"/>
              </w:rPr>
            </w:pPr>
            <w:r w:rsidRPr="00AC522C">
              <w:rPr>
                <w:b w:val="0"/>
              </w:rPr>
              <w:t>Itchy rash without fever</w:t>
            </w:r>
          </w:p>
        </w:tc>
      </w:tr>
    </w:tbl>
    <w:p w14:paraId="4E68B449" w14:textId="77777777" w:rsidR="006156C3" w:rsidRDefault="006156C3" w:rsidP="006156C3">
      <w:pPr>
        <w:spacing w:line="360" w:lineRule="auto"/>
        <w:rPr>
          <w:sz w:val="24"/>
          <w:szCs w:val="24"/>
        </w:rPr>
      </w:pPr>
    </w:p>
    <w:p w14:paraId="21D93854" w14:textId="77777777" w:rsidR="006156C3" w:rsidRPr="00D22E5D" w:rsidRDefault="006156C3" w:rsidP="006156C3">
      <w:pPr>
        <w:spacing w:line="360" w:lineRule="auto"/>
        <w:rPr>
          <w:sz w:val="24"/>
          <w:szCs w:val="24"/>
        </w:rPr>
      </w:pPr>
      <w:r>
        <w:rPr>
          <w:sz w:val="24"/>
          <w:szCs w:val="24"/>
        </w:rPr>
        <w:t>T</w:t>
      </w:r>
      <w:r w:rsidRPr="00D22E5D">
        <w:rPr>
          <w:sz w:val="24"/>
          <w:szCs w:val="24"/>
        </w:rPr>
        <w:t xml:space="preserve">he Mississippi Department of Health and the American Red Cross piloted a shelter surveillance system </w:t>
      </w:r>
      <w:r>
        <w:rPr>
          <w:sz w:val="24"/>
          <w:szCs w:val="24"/>
        </w:rPr>
        <w:t>using</w:t>
      </w:r>
      <w:r w:rsidRPr="00D22E5D">
        <w:rPr>
          <w:sz w:val="24"/>
          <w:szCs w:val="24"/>
        </w:rPr>
        <w:t xml:space="preserve"> telephone hotlines. Symptoms and syndromes that initiated reporting included “fever in an ill-appearing person, severe respiratory symptoms, cough with blood, three or more episodes of watery diarrhea with blood, and severe skin infection.”</w:t>
      </w:r>
      <w:r w:rsidRPr="00D22E5D">
        <w:rPr>
          <w:rStyle w:val="FootnoteReference"/>
          <w:sz w:val="24"/>
          <w:szCs w:val="24"/>
        </w:rPr>
        <w:footnoteReference w:id="12"/>
      </w:r>
    </w:p>
    <w:p w14:paraId="25529FE5" w14:textId="77777777" w:rsidR="006156C3" w:rsidRPr="00D22E5D" w:rsidRDefault="006156C3" w:rsidP="006156C3">
      <w:pPr>
        <w:spacing w:line="360" w:lineRule="auto"/>
        <w:rPr>
          <w:sz w:val="24"/>
          <w:szCs w:val="24"/>
        </w:rPr>
      </w:pPr>
      <w:r w:rsidRPr="00D22E5D">
        <w:rPr>
          <w:sz w:val="24"/>
          <w:szCs w:val="24"/>
        </w:rPr>
        <w:t>Flag results such as these for follow</w:t>
      </w:r>
      <w:r>
        <w:rPr>
          <w:sz w:val="24"/>
          <w:szCs w:val="24"/>
        </w:rPr>
        <w:t>-</w:t>
      </w:r>
      <w:r w:rsidRPr="00D22E5D">
        <w:rPr>
          <w:sz w:val="24"/>
          <w:szCs w:val="24"/>
        </w:rPr>
        <w:t xml:space="preserve">up investigation to gather more nuanced information. Follow up investigation will help determine what further action, if </w:t>
      </w:r>
      <w:r>
        <w:rPr>
          <w:sz w:val="24"/>
          <w:szCs w:val="24"/>
        </w:rPr>
        <w:t>an</w:t>
      </w:r>
      <w:r w:rsidRPr="00D22E5D">
        <w:rPr>
          <w:sz w:val="24"/>
          <w:szCs w:val="24"/>
        </w:rPr>
        <w:t>y, should be taken.</w:t>
      </w:r>
    </w:p>
    <w:p w14:paraId="6DCCE290" w14:textId="77777777" w:rsidR="006156C3" w:rsidRDefault="006156C3" w:rsidP="006156C3">
      <w:pPr>
        <w:pStyle w:val="Heading3"/>
        <w:spacing w:line="360" w:lineRule="auto"/>
        <w:rPr>
          <w:b w:val="0"/>
          <w:sz w:val="28"/>
          <w:szCs w:val="28"/>
        </w:rPr>
      </w:pPr>
      <w:r>
        <w:rPr>
          <w:b w:val="0"/>
          <w:sz w:val="28"/>
          <w:szCs w:val="28"/>
        </w:rPr>
        <w:t>Challenges and Solutions</w:t>
      </w:r>
    </w:p>
    <w:p w14:paraId="681CAE5D" w14:textId="77777777" w:rsidR="006156C3" w:rsidRDefault="006156C3" w:rsidP="006156C3">
      <w:pPr>
        <w:pStyle w:val="Subtitle"/>
        <w:spacing w:after="120" w:line="240" w:lineRule="auto"/>
        <w:rPr>
          <w:rStyle w:val="SubtleEmphasis"/>
        </w:rPr>
      </w:pPr>
      <w:r>
        <w:rPr>
          <w:rStyle w:val="SubtleEmphasis"/>
        </w:rPr>
        <w:t>Denominator Data</w:t>
      </w:r>
    </w:p>
    <w:p w14:paraId="2F5A0FF6" w14:textId="77777777" w:rsidR="006156C3" w:rsidRPr="00D22E5D" w:rsidRDefault="006156C3" w:rsidP="006156C3">
      <w:pPr>
        <w:spacing w:line="360" w:lineRule="auto"/>
        <w:rPr>
          <w:sz w:val="24"/>
          <w:szCs w:val="24"/>
          <w:lang w:eastAsia="ja-JP"/>
        </w:rPr>
      </w:pPr>
      <w:commentRangeStart w:id="3"/>
      <w:r w:rsidRPr="00D22E5D">
        <w:rPr>
          <w:sz w:val="24"/>
          <w:szCs w:val="24"/>
          <w:lang w:eastAsia="ja-JP"/>
        </w:rPr>
        <w:t xml:space="preserve">Gathering denominator data to calculate rates of illness and injury in a shelter may prove to be difficult. During a disaster, a shelter’s population will change. Traditional census or population data may not reflect the population in the shelter </w:t>
      </w:r>
      <w:r>
        <w:rPr>
          <w:sz w:val="24"/>
          <w:szCs w:val="24"/>
          <w:lang w:eastAsia="ja-JP"/>
        </w:rPr>
        <w:t>because</w:t>
      </w:r>
      <w:r w:rsidRPr="00D22E5D">
        <w:rPr>
          <w:sz w:val="24"/>
          <w:szCs w:val="24"/>
          <w:lang w:eastAsia="ja-JP"/>
        </w:rPr>
        <w:t xml:space="preserve"> people in the shelters may come </w:t>
      </w:r>
      <w:r w:rsidRPr="00D22E5D">
        <w:rPr>
          <w:sz w:val="24"/>
          <w:szCs w:val="24"/>
          <w:lang w:eastAsia="ja-JP"/>
        </w:rPr>
        <w:lastRenderedPageBreak/>
        <w:t xml:space="preserve">from different parts of the state, or even from other states. </w:t>
      </w:r>
      <w:r>
        <w:rPr>
          <w:sz w:val="24"/>
          <w:szCs w:val="24"/>
          <w:lang w:eastAsia="ja-JP"/>
        </w:rPr>
        <w:t>Setting</w:t>
      </w:r>
      <w:r w:rsidRPr="00D22E5D">
        <w:rPr>
          <w:sz w:val="24"/>
          <w:szCs w:val="24"/>
          <w:lang w:eastAsia="ja-JP"/>
        </w:rPr>
        <w:t xml:space="preserve"> up a system for recording daily or weekly population counts to keep track of the denominator</w:t>
      </w:r>
      <w:r w:rsidRPr="00354918">
        <w:rPr>
          <w:sz w:val="24"/>
          <w:szCs w:val="24"/>
          <w:lang w:eastAsia="ja-JP"/>
        </w:rPr>
        <w:t xml:space="preserve"> </w:t>
      </w:r>
      <w:r w:rsidRPr="00D22E5D">
        <w:rPr>
          <w:sz w:val="24"/>
          <w:szCs w:val="24"/>
          <w:lang w:eastAsia="ja-JP"/>
        </w:rPr>
        <w:t xml:space="preserve">may be useful. This could include counting “heads in beds” every evening, as shelter residents may leave the shelter during the day. </w:t>
      </w:r>
      <w:commentRangeEnd w:id="3"/>
      <w:r>
        <w:rPr>
          <w:rStyle w:val="CommentReference"/>
          <w:rFonts w:ascii="Calibri" w:hAnsi="Calibri" w:cs="Times New Roman"/>
        </w:rPr>
        <w:commentReference w:id="3"/>
      </w:r>
    </w:p>
    <w:p w14:paraId="2D23129B" w14:textId="77777777" w:rsidR="006156C3" w:rsidRPr="00D22E5D" w:rsidRDefault="006156C3" w:rsidP="006156C3">
      <w:pPr>
        <w:pStyle w:val="Subtitle"/>
        <w:spacing w:after="120" w:line="360" w:lineRule="auto"/>
        <w:rPr>
          <w:rStyle w:val="SubtleEmphasis"/>
        </w:rPr>
      </w:pPr>
      <w:r w:rsidRPr="00D22E5D">
        <w:rPr>
          <w:rStyle w:val="SubtleEmphasis"/>
        </w:rPr>
        <w:t>Baseline Data</w:t>
      </w:r>
    </w:p>
    <w:p w14:paraId="358D8DAA" w14:textId="77777777" w:rsidR="006156C3" w:rsidRPr="00D22E5D" w:rsidRDefault="006156C3" w:rsidP="006156C3">
      <w:pPr>
        <w:spacing w:line="360" w:lineRule="auto"/>
        <w:rPr>
          <w:sz w:val="24"/>
          <w:szCs w:val="24"/>
          <w:lang w:eastAsia="ja-JP"/>
        </w:rPr>
      </w:pPr>
      <w:r w:rsidRPr="00D22E5D">
        <w:rPr>
          <w:sz w:val="24"/>
          <w:szCs w:val="24"/>
          <w:lang w:eastAsia="ja-JP"/>
        </w:rPr>
        <w:t>Baseline health information helps determine if there is a true increase in a disease or worsening health status. It can also help assess population risk and vulnerability.</w:t>
      </w:r>
      <w:r w:rsidRPr="00D22E5D">
        <w:rPr>
          <w:rStyle w:val="FootnoteReference"/>
          <w:sz w:val="24"/>
          <w:szCs w:val="24"/>
          <w:lang w:eastAsia="ja-JP"/>
        </w:rPr>
        <w:footnoteReference w:id="13"/>
      </w:r>
      <w:r w:rsidRPr="00D22E5D">
        <w:rPr>
          <w:sz w:val="24"/>
          <w:szCs w:val="24"/>
          <w:lang w:eastAsia="ja-JP"/>
        </w:rPr>
        <w:t xml:space="preserve"> Baseline data </w:t>
      </w:r>
      <w:r>
        <w:rPr>
          <w:sz w:val="24"/>
          <w:szCs w:val="24"/>
          <w:lang w:eastAsia="ja-JP"/>
        </w:rPr>
        <w:t>are</w:t>
      </w:r>
      <w:r w:rsidRPr="00D22E5D">
        <w:rPr>
          <w:sz w:val="24"/>
          <w:szCs w:val="24"/>
          <w:lang w:eastAsia="ja-JP"/>
        </w:rPr>
        <w:t xml:space="preserve"> often missing or non-existent when large portions of a population are displaced, the health care infrastructure is severely damaged, or no previous surveillance system collected the information needed. This </w:t>
      </w:r>
      <w:r>
        <w:rPr>
          <w:sz w:val="24"/>
          <w:szCs w:val="24"/>
          <w:lang w:eastAsia="ja-JP"/>
        </w:rPr>
        <w:t xml:space="preserve">scenario </w:t>
      </w:r>
      <w:r w:rsidRPr="00D22E5D">
        <w:rPr>
          <w:sz w:val="24"/>
          <w:szCs w:val="24"/>
          <w:lang w:eastAsia="ja-JP"/>
        </w:rPr>
        <w:t xml:space="preserve">is often the case in shelters. Gathering data early can help set a baseline for what is occurring in the shelter. If </w:t>
      </w:r>
      <w:r>
        <w:rPr>
          <w:sz w:val="24"/>
          <w:szCs w:val="24"/>
          <w:lang w:eastAsia="ja-JP"/>
        </w:rPr>
        <w:t>you</w:t>
      </w:r>
      <w:r w:rsidRPr="00D22E5D">
        <w:rPr>
          <w:sz w:val="24"/>
          <w:szCs w:val="24"/>
          <w:lang w:eastAsia="ja-JP"/>
        </w:rPr>
        <w:t xml:space="preserve"> know shelter residents are coming from one geographic area or city, </w:t>
      </w:r>
      <w:r>
        <w:rPr>
          <w:sz w:val="24"/>
          <w:szCs w:val="24"/>
          <w:lang w:eastAsia="ja-JP"/>
        </w:rPr>
        <w:t>using</w:t>
      </w:r>
      <w:r w:rsidRPr="00D22E5D">
        <w:rPr>
          <w:sz w:val="24"/>
          <w:szCs w:val="24"/>
          <w:lang w:eastAsia="ja-JP"/>
        </w:rPr>
        <w:t xml:space="preserve"> existing surveillance system data for the baseline</w:t>
      </w:r>
      <w:r w:rsidRPr="00354918">
        <w:rPr>
          <w:sz w:val="24"/>
          <w:szCs w:val="24"/>
          <w:lang w:eastAsia="ja-JP"/>
        </w:rPr>
        <w:t xml:space="preserve"> </w:t>
      </w:r>
      <w:r w:rsidRPr="00D22E5D">
        <w:rPr>
          <w:sz w:val="24"/>
          <w:szCs w:val="24"/>
          <w:lang w:eastAsia="ja-JP"/>
        </w:rPr>
        <w:t>may be possible.</w:t>
      </w:r>
      <w:r w:rsidRPr="00D22E5D">
        <w:rPr>
          <w:rStyle w:val="FootnoteReference"/>
          <w:sz w:val="24"/>
          <w:szCs w:val="24"/>
          <w:lang w:eastAsia="ja-JP"/>
        </w:rPr>
        <w:footnoteReference w:id="14"/>
      </w:r>
    </w:p>
    <w:p w14:paraId="128085EE" w14:textId="77777777" w:rsidR="006156C3" w:rsidRPr="00D22E5D" w:rsidRDefault="006156C3" w:rsidP="006156C3">
      <w:pPr>
        <w:pStyle w:val="Subtitle"/>
        <w:spacing w:after="120" w:line="360" w:lineRule="auto"/>
        <w:rPr>
          <w:rStyle w:val="SubtleEmphasis"/>
        </w:rPr>
      </w:pPr>
      <w:r w:rsidRPr="00D22E5D">
        <w:rPr>
          <w:rStyle w:val="SubtleEmphasis"/>
        </w:rPr>
        <w:t>Competing Priorities</w:t>
      </w:r>
    </w:p>
    <w:p w14:paraId="679EC6C3" w14:textId="77777777" w:rsidR="006156C3" w:rsidRPr="00D22E5D" w:rsidRDefault="006156C3" w:rsidP="006156C3">
      <w:pPr>
        <w:spacing w:line="360" w:lineRule="auto"/>
        <w:rPr>
          <w:sz w:val="24"/>
          <w:szCs w:val="24"/>
          <w:lang w:eastAsia="ja-JP"/>
        </w:rPr>
      </w:pPr>
      <w:r w:rsidRPr="00D22E5D">
        <w:rPr>
          <w:sz w:val="24"/>
          <w:szCs w:val="24"/>
          <w:lang w:eastAsia="ja-JP"/>
        </w:rPr>
        <w:t>Public health staff will have many tasks during a disaster and may have limited time to analyze and interpret shelter surveillance data. Those in the shelters may be busy providing care and health services to shelter residents. Limiting analysis to the most essential information needed and using the least labor intensive analysis methods can help to prevent overloading volunteers and public health staff. Designating people with statistical or epidemiology backgrounds at the health department to analyze and interpret data may also be considered.</w:t>
      </w:r>
    </w:p>
    <w:p w14:paraId="513C15BC" w14:textId="77777777" w:rsidR="006156C3" w:rsidRDefault="006156C3" w:rsidP="006156C3">
      <w:pPr>
        <w:rPr>
          <w:lang w:eastAsia="ja-JP"/>
        </w:rPr>
      </w:pPr>
    </w:p>
    <w:p w14:paraId="091AA08C" w14:textId="77777777" w:rsidR="006156C3" w:rsidRDefault="006156C3" w:rsidP="006156C3">
      <w:pPr>
        <w:rPr>
          <w:lang w:eastAsia="ja-JP"/>
        </w:rPr>
      </w:pPr>
    </w:p>
    <w:p w14:paraId="2C9C208C" w14:textId="77777777" w:rsidR="00E74E9C" w:rsidRDefault="001A0894">
      <w:bookmarkStart w:id="4" w:name="_GoBack"/>
      <w:bookmarkEnd w:id="4"/>
    </w:p>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ulvino,Steven (DSHS)" w:date="2018-07-24T10:46:00Z" w:initials="P(">
    <w:p w14:paraId="19E34571" w14:textId="77777777" w:rsidR="006156C3" w:rsidRDefault="006156C3" w:rsidP="006156C3">
      <w:pPr>
        <w:pStyle w:val="CommentText"/>
      </w:pPr>
      <w:r>
        <w:rPr>
          <w:rStyle w:val="CommentReference"/>
        </w:rPr>
        <w:annotationRef/>
      </w:r>
      <w:r>
        <w:t>Would recommend fleshing the Analysis section out a bit more – providing figures along with examples, and explanations of situations in when these are most appropriate (ideally all explanations and figures within the context of shelter settings).</w:t>
      </w:r>
    </w:p>
  </w:comment>
  <w:comment w:id="1" w:author="Pulvino,Steven (DSHS)" w:date="2018-07-24T10:24:00Z" w:initials="P(">
    <w:p w14:paraId="3EEBCECD" w14:textId="77777777" w:rsidR="006156C3" w:rsidRDefault="006156C3" w:rsidP="006156C3">
      <w:pPr>
        <w:pStyle w:val="CommentText"/>
      </w:pPr>
      <w:r>
        <w:rPr>
          <w:rStyle w:val="CommentReference"/>
        </w:rPr>
        <w:annotationRef/>
      </w:r>
      <w:r>
        <w:t>Would recommended providing more detail: examples of each one with figures and explanations of how they are used, and when they are most appropriate.</w:t>
      </w:r>
    </w:p>
  </w:comment>
  <w:comment w:id="2" w:author="Pulvino,Steven (DSHS)" w:date="2018-07-24T10:35:00Z" w:initials="P(">
    <w:p w14:paraId="776964A3" w14:textId="77777777" w:rsidR="006156C3" w:rsidRPr="00D2730F" w:rsidRDefault="006156C3" w:rsidP="006156C3">
      <w:pPr>
        <w:pStyle w:val="ListParagraph"/>
        <w:ind w:left="0"/>
        <w:rPr>
          <w:b/>
        </w:rPr>
      </w:pPr>
      <w:r>
        <w:rPr>
          <w:rStyle w:val="CommentReference"/>
        </w:rPr>
        <w:annotationRef/>
      </w:r>
      <w:r>
        <w:t>Could these be in the same line? “</w:t>
      </w:r>
      <w:r w:rsidRPr="00AC522C">
        <w:rPr>
          <w:b/>
        </w:rPr>
        <w:t xml:space="preserve">Fever (Temp &gt;101.1⁰F) and cough in </w:t>
      </w:r>
      <w:r>
        <w:rPr>
          <w:b/>
        </w:rPr>
        <w:t xml:space="preserve">children or </w:t>
      </w:r>
      <w:r w:rsidRPr="00AC522C">
        <w:rPr>
          <w:b/>
        </w:rPr>
        <w:t>adults</w:t>
      </w:r>
      <w:r>
        <w:t>” or just “</w:t>
      </w:r>
      <w:r w:rsidRPr="00AC522C">
        <w:rPr>
          <w:b/>
        </w:rPr>
        <w:t>Fever (Temp &gt;101.1⁰F) and cough</w:t>
      </w:r>
      <w:r>
        <w:t>”</w:t>
      </w:r>
    </w:p>
  </w:comment>
  <w:comment w:id="3" w:author="Pulvino,Steven (DSHS)" w:date="2018-07-24T10:38:00Z" w:initials="P(">
    <w:p w14:paraId="2146BD13" w14:textId="77777777" w:rsidR="006156C3" w:rsidRDefault="006156C3" w:rsidP="006156C3">
      <w:pPr>
        <w:pStyle w:val="CommentText"/>
      </w:pPr>
      <w:r>
        <w:rPr>
          <w:rStyle w:val="CommentReference"/>
        </w:rPr>
        <w:annotationRef/>
      </w:r>
      <w:r>
        <w:rPr>
          <w:rStyle w:val="CommentReference"/>
        </w:rPr>
        <w:t>It seems this is eluding to shelter census, would we not state this explicitly and refer back to the shelter census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E34571" w15:done="0"/>
  <w15:commentEx w15:paraId="3EEBCECD" w15:done="0"/>
  <w15:commentEx w15:paraId="776964A3" w15:done="0"/>
  <w15:commentEx w15:paraId="2146BD1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E34571" w16cid:durableId="1F03020F"/>
  <w16cid:commentId w16cid:paraId="3EEBCECD" w16cid:durableId="1F030210"/>
  <w16cid:commentId w16cid:paraId="776964A3" w16cid:durableId="1F030211"/>
  <w16cid:commentId w16cid:paraId="2146BD13" w16cid:durableId="1F0302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D0CBF" w14:textId="77777777" w:rsidR="001A0894" w:rsidRDefault="001A0894" w:rsidP="006156C3">
      <w:pPr>
        <w:spacing w:after="0" w:line="240" w:lineRule="auto"/>
      </w:pPr>
      <w:r>
        <w:separator/>
      </w:r>
    </w:p>
  </w:endnote>
  <w:endnote w:type="continuationSeparator" w:id="0">
    <w:p w14:paraId="02AAA792" w14:textId="77777777" w:rsidR="001A0894" w:rsidRDefault="001A0894" w:rsidP="00615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815723"/>
      <w:docPartObj>
        <w:docPartGallery w:val="Page Numbers (Bottom of Page)"/>
        <w:docPartUnique/>
      </w:docPartObj>
    </w:sdtPr>
    <w:sdtEndPr>
      <w:rPr>
        <w:noProof/>
      </w:rPr>
    </w:sdtEndPr>
    <w:sdtContent>
      <w:p w14:paraId="5B76A83B" w14:textId="77777777" w:rsidR="006156C3" w:rsidRDefault="006156C3">
        <w:pPr>
          <w:pStyle w:val="Footer"/>
          <w:jc w:val="right"/>
        </w:pPr>
        <w:r>
          <w:fldChar w:fldCharType="begin"/>
        </w:r>
        <w:r>
          <w:instrText xml:space="preserve"> PAGE   \* MERGEFORMAT </w:instrText>
        </w:r>
        <w:r>
          <w:fldChar w:fldCharType="separate"/>
        </w:r>
        <w:r>
          <w:rPr>
            <w:noProof/>
          </w:rPr>
          <w:t>29</w:t>
        </w:r>
        <w:r>
          <w:rPr>
            <w:noProof/>
          </w:rPr>
          <w:fldChar w:fldCharType="end"/>
        </w:r>
      </w:p>
    </w:sdtContent>
  </w:sdt>
  <w:p w14:paraId="7220D78A" w14:textId="77777777" w:rsidR="006156C3" w:rsidRDefault="006156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1631471"/>
      <w:docPartObj>
        <w:docPartGallery w:val="Page Numbers (Bottom of Page)"/>
        <w:docPartUnique/>
      </w:docPartObj>
    </w:sdtPr>
    <w:sdtEndPr>
      <w:rPr>
        <w:noProof/>
      </w:rPr>
    </w:sdtEndPr>
    <w:sdtContent>
      <w:p w14:paraId="3AA7CED0" w14:textId="77777777" w:rsidR="006156C3" w:rsidRDefault="006156C3">
        <w:pPr>
          <w:pStyle w:val="Footer"/>
          <w:jc w:val="right"/>
        </w:pPr>
        <w:r>
          <w:t>20</w:t>
        </w:r>
      </w:p>
    </w:sdtContent>
  </w:sdt>
  <w:p w14:paraId="52B5DBB3" w14:textId="77777777" w:rsidR="006156C3" w:rsidRDefault="00615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8393B5" w14:textId="77777777" w:rsidR="001A0894" w:rsidRDefault="001A0894" w:rsidP="006156C3">
      <w:pPr>
        <w:spacing w:after="0" w:line="240" w:lineRule="auto"/>
      </w:pPr>
      <w:r>
        <w:separator/>
      </w:r>
    </w:p>
  </w:footnote>
  <w:footnote w:type="continuationSeparator" w:id="0">
    <w:p w14:paraId="705A9A0D" w14:textId="77777777" w:rsidR="001A0894" w:rsidRDefault="001A0894" w:rsidP="006156C3">
      <w:pPr>
        <w:spacing w:after="0" w:line="240" w:lineRule="auto"/>
      </w:pPr>
      <w:r>
        <w:continuationSeparator/>
      </w:r>
    </w:p>
  </w:footnote>
  <w:footnote w:id="1">
    <w:p w14:paraId="31D03F1F" w14:textId="77777777" w:rsidR="006156C3" w:rsidRDefault="006156C3" w:rsidP="006156C3">
      <w:pPr>
        <w:pStyle w:val="FootnoteText"/>
      </w:pPr>
      <w:r>
        <w:rPr>
          <w:rStyle w:val="FootnoteReference"/>
        </w:rPr>
        <w:footnoteRef/>
      </w:r>
      <w:r>
        <w:t xml:space="preserve"> Adapted from CDC. Community Assessment for Public Health Emergency Response (CASPER) Toolkit: Second edition. Atlanta (GA): CDC; 2012.</w:t>
      </w:r>
    </w:p>
  </w:footnote>
  <w:footnote w:id="2">
    <w:p w14:paraId="1D124B1A" w14:textId="77777777" w:rsidR="006156C3" w:rsidRDefault="006156C3" w:rsidP="006156C3">
      <w:pPr>
        <w:pStyle w:val="FootnoteText"/>
      </w:pPr>
      <w:r>
        <w:rPr>
          <w:rStyle w:val="FootnoteReference"/>
        </w:rPr>
        <w:footnoteRef/>
      </w:r>
      <w:r>
        <w:t xml:space="preserve"> Garcia-</w:t>
      </w:r>
      <w:proofErr w:type="spellStart"/>
      <w:r>
        <w:t>Abreau</w:t>
      </w:r>
      <w:proofErr w:type="spellEnd"/>
      <w:r>
        <w:t xml:space="preserve"> A, Halperin W, </w:t>
      </w:r>
      <w:proofErr w:type="spellStart"/>
      <w:r>
        <w:t>Danel</w:t>
      </w:r>
      <w:proofErr w:type="spellEnd"/>
      <w:r>
        <w:t xml:space="preserve"> I. Public health surveillance toolkit: a guide for busy task managers. Washington, DC: The World Bank; 2002.</w:t>
      </w:r>
    </w:p>
  </w:footnote>
  <w:footnote w:id="3">
    <w:p w14:paraId="61D7D8D2" w14:textId="77777777" w:rsidR="006156C3" w:rsidRDefault="006156C3" w:rsidP="006156C3">
      <w:pPr>
        <w:pStyle w:val="FootnoteText"/>
      </w:pPr>
      <w:r>
        <w:rPr>
          <w:rStyle w:val="FootnoteReference"/>
        </w:rPr>
        <w:footnoteRef/>
      </w:r>
      <w:r>
        <w:t xml:space="preserve"> </w:t>
      </w:r>
      <w:proofErr w:type="spellStart"/>
      <w:r>
        <w:t>Teutsch</w:t>
      </w:r>
      <w:proofErr w:type="spellEnd"/>
      <w:r>
        <w:t xml:space="preserve"> SM. Considerations in planning a surveillance system. In: Lee LM, </w:t>
      </w:r>
      <w:proofErr w:type="spellStart"/>
      <w:r>
        <w:t>Teutsch</w:t>
      </w:r>
      <w:proofErr w:type="spellEnd"/>
      <w:r>
        <w:t xml:space="preserve"> SM, Thacker SB, St. Louis ME, editors. Principles and practices of public health surveillance. New York (NY): Oxford University Press; 2010.</w:t>
      </w:r>
    </w:p>
  </w:footnote>
  <w:footnote w:id="4">
    <w:p w14:paraId="30A5C8DB" w14:textId="77777777" w:rsidR="006156C3" w:rsidRDefault="006156C3" w:rsidP="006156C3">
      <w:pPr>
        <w:pStyle w:val="FootnoteText"/>
      </w:pPr>
      <w:r>
        <w:rPr>
          <w:rStyle w:val="FootnoteReference"/>
        </w:rPr>
        <w:footnoteRef/>
      </w:r>
      <w:r>
        <w:t xml:space="preserve"> Sullivan PS, McKenna MT, Waller LA, Williamson GD, Lee LM. Analyzing and interpreting public health surveillance data. In: Lee LM, </w:t>
      </w:r>
      <w:proofErr w:type="spellStart"/>
      <w:r>
        <w:t>Teutsch</w:t>
      </w:r>
      <w:proofErr w:type="spellEnd"/>
      <w:r>
        <w:t xml:space="preserve"> SM, Thacker SB, St. Louis ME, editors. Principles and practice of public health surveillance. New York (NY): Oxford University Press; 2010.</w:t>
      </w:r>
    </w:p>
  </w:footnote>
  <w:footnote w:id="5">
    <w:p w14:paraId="631747DB" w14:textId="77777777" w:rsidR="006156C3" w:rsidRDefault="006156C3" w:rsidP="006156C3">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 w:id="6">
    <w:p w14:paraId="0F2C95A5" w14:textId="77777777" w:rsidR="006156C3" w:rsidRDefault="006156C3" w:rsidP="006156C3">
      <w:pPr>
        <w:pStyle w:val="FootnoteText"/>
      </w:pPr>
      <w:r>
        <w:rPr>
          <w:rStyle w:val="FootnoteReference"/>
        </w:rPr>
        <w:footnoteRef/>
      </w:r>
      <w:r>
        <w:t xml:space="preserve"> Abdallah S, Panjabi R. Epidemiology and surveillance. In: Christensen Rand E, editor. The Johns Hopkins and Red Cross Red Crescent public health guide in emergencies. 2</w:t>
      </w:r>
      <w:r w:rsidRPr="00954436">
        <w:rPr>
          <w:vertAlign w:val="superscript"/>
        </w:rPr>
        <w:t>nd</w:t>
      </w:r>
      <w:r>
        <w:t xml:space="preserve"> ed. Geneva: International Federation of Red Cross and Red Crescent Societies; 2008. Available from: http://www.jhsph. Edu/research/centers-and-institutes/center-for-refugee-and-disaster-response/publications_tools/publications/_CRDR_ICRC_Public_Health_Guide_Book/Forward.pdf</w:t>
      </w:r>
    </w:p>
  </w:footnote>
  <w:footnote w:id="7">
    <w:p w14:paraId="3C75A2CC" w14:textId="77777777" w:rsidR="006156C3" w:rsidRPr="001F0800" w:rsidRDefault="006156C3" w:rsidP="006156C3">
      <w:pPr>
        <w:pStyle w:val="FootnoteText"/>
        <w:rPr>
          <w:vertAlign w:val="superscript"/>
        </w:rPr>
      </w:pPr>
      <w:r>
        <w:rPr>
          <w:rStyle w:val="FootnoteReference"/>
        </w:rPr>
        <w:footnoteRef/>
      </w:r>
      <w:r>
        <w:t xml:space="preserve"> </w:t>
      </w:r>
      <w:r w:rsidRPr="00954436">
        <w:rPr>
          <w:rStyle w:val="A3"/>
        </w:rPr>
        <w:t>CDC. Principles of epidemiology in public health practice: an introduction to applied epidemiology and biostatistics. 3rd ed. Atlanta (GA): CDC; 2012c. Available from: http://www.cdc.gov/ophs</w:t>
      </w:r>
      <w:r>
        <w:rPr>
          <w:rStyle w:val="A3"/>
        </w:rPr>
        <w:t>s/csels/dsepd/SS1978/SS1978.pdf</w:t>
      </w:r>
    </w:p>
  </w:footnote>
  <w:footnote w:id="8">
    <w:p w14:paraId="07F34D5F" w14:textId="77777777" w:rsidR="006156C3" w:rsidRDefault="006156C3" w:rsidP="006156C3">
      <w:pPr>
        <w:pStyle w:val="FootnoteText"/>
      </w:pPr>
      <w:r>
        <w:rPr>
          <w:rStyle w:val="FootnoteReference"/>
        </w:rPr>
        <w:footnoteRef/>
      </w:r>
      <w:r>
        <w:t xml:space="preserve"> </w:t>
      </w:r>
      <w:r w:rsidRPr="00954436">
        <w:rPr>
          <w:rStyle w:val="A3"/>
        </w:rPr>
        <w:t>CDC. Principles of epidemiology in public health practice: an introduction to applied epidemiology and biostatistics. 3rd ed. Atlanta (GA): CDC; 2012c. Available from: http://www.cdc.gov/ophss/csels/dsepd/SS1978/SS1978.pdf</w:t>
      </w:r>
    </w:p>
  </w:footnote>
  <w:footnote w:id="9">
    <w:p w14:paraId="1BEBE026" w14:textId="77777777" w:rsidR="006156C3" w:rsidRDefault="006156C3" w:rsidP="006156C3">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 w:id="10">
    <w:p w14:paraId="4302D2D8" w14:textId="77777777" w:rsidR="006156C3" w:rsidRDefault="006156C3" w:rsidP="006156C3">
      <w:pPr>
        <w:pStyle w:val="FootnoteText"/>
      </w:pPr>
      <w:r>
        <w:rPr>
          <w:rStyle w:val="FootnoteReference"/>
        </w:rPr>
        <w:footnoteRef/>
      </w:r>
      <w:r>
        <w:t xml:space="preserve"> Adapted from CDC. A Primer for Understanding the Principles and Practice of Disaster Surveillance in the United States: first edition. Atlanta (GA): CDC; 2016.</w:t>
      </w:r>
    </w:p>
    <w:p w14:paraId="5E5F756B" w14:textId="77777777" w:rsidR="006156C3" w:rsidRDefault="006156C3" w:rsidP="006156C3">
      <w:pPr>
        <w:pStyle w:val="FootnoteText"/>
      </w:pPr>
    </w:p>
  </w:footnote>
  <w:footnote w:id="11">
    <w:p w14:paraId="0F28789E" w14:textId="77777777" w:rsidR="006156C3" w:rsidRDefault="006156C3" w:rsidP="006156C3">
      <w:pPr>
        <w:pStyle w:val="FootnoteText"/>
      </w:pPr>
      <w:r>
        <w:rPr>
          <w:rStyle w:val="FootnoteReference"/>
        </w:rPr>
        <w:footnoteRef/>
      </w:r>
      <w:r>
        <w:t xml:space="preserve"> Adapted from Appendix D in </w:t>
      </w:r>
      <w:hyperlink r:id="rId1" w:history="1">
        <w:r w:rsidRPr="008F4438">
          <w:rPr>
            <w:rStyle w:val="Hyperlink"/>
          </w:rPr>
          <w:t>http://www.apic.org/Resource_/TinyMceFileManager/Practice_Guidance/Emergency_Preparedness/Shelters_Disasters.pdf</w:t>
        </w:r>
      </w:hyperlink>
    </w:p>
  </w:footnote>
  <w:footnote w:id="12">
    <w:p w14:paraId="1EA80AB6" w14:textId="77777777" w:rsidR="006156C3" w:rsidRDefault="006156C3" w:rsidP="006156C3">
      <w:pPr>
        <w:pStyle w:val="FootnoteText"/>
      </w:pPr>
      <w:r>
        <w:rPr>
          <w:rStyle w:val="FootnoteReference"/>
        </w:rPr>
        <w:footnoteRef/>
      </w:r>
      <w:r>
        <w:t xml:space="preserve"> </w:t>
      </w:r>
      <w:hyperlink r:id="rId2" w:history="1">
        <w:r w:rsidRPr="00BB1413">
          <w:rPr>
            <w:rStyle w:val="Hyperlink"/>
          </w:rPr>
          <w:t>http://www.jhsph.edu/research/centers-and-institutes/center-for-refugee-and-disaster-response/publications_tools/publications/2009/PDM_Kirsch.pdf</w:t>
        </w:r>
      </w:hyperlink>
    </w:p>
  </w:footnote>
  <w:footnote w:id="13">
    <w:p w14:paraId="2FAF9C45" w14:textId="77777777" w:rsidR="006156C3" w:rsidRDefault="006156C3" w:rsidP="006156C3">
      <w:pPr>
        <w:pStyle w:val="FootnoteText"/>
      </w:pPr>
      <w:r>
        <w:rPr>
          <w:rStyle w:val="FootnoteReference"/>
        </w:rPr>
        <w:footnoteRef/>
      </w:r>
      <w:r>
        <w:t xml:space="preserve"> </w:t>
      </w:r>
      <w:proofErr w:type="spellStart"/>
      <w:r w:rsidRPr="00A30171">
        <w:rPr>
          <w:rStyle w:val="A3"/>
        </w:rPr>
        <w:t>Wetterhall</w:t>
      </w:r>
      <w:proofErr w:type="spellEnd"/>
      <w:r w:rsidRPr="00A30171">
        <w:rPr>
          <w:rStyle w:val="A3"/>
        </w:rPr>
        <w:t xml:space="preserve"> SF, </w:t>
      </w:r>
      <w:proofErr w:type="spellStart"/>
      <w:r w:rsidRPr="00A30171">
        <w:rPr>
          <w:rStyle w:val="A3"/>
        </w:rPr>
        <w:t>Noji</w:t>
      </w:r>
      <w:proofErr w:type="spellEnd"/>
      <w:r w:rsidRPr="00A30171">
        <w:rPr>
          <w:rStyle w:val="A3"/>
        </w:rPr>
        <w:t xml:space="preserve"> EK. Surveillance and epidemiology. In </w:t>
      </w:r>
      <w:proofErr w:type="spellStart"/>
      <w:r w:rsidRPr="00A30171">
        <w:rPr>
          <w:rStyle w:val="A3"/>
        </w:rPr>
        <w:t>Noji</w:t>
      </w:r>
      <w:proofErr w:type="spellEnd"/>
      <w:r w:rsidRPr="00A30171">
        <w:rPr>
          <w:rStyle w:val="A3"/>
        </w:rPr>
        <w:t xml:space="preserve"> EK, editor. The public health consequences of disasters. New York (NY): Oxford University Press; 1997.</w:t>
      </w:r>
    </w:p>
  </w:footnote>
  <w:footnote w:id="14">
    <w:p w14:paraId="7F0AC6B9" w14:textId="77777777" w:rsidR="006156C3" w:rsidRDefault="006156C3" w:rsidP="006156C3">
      <w:pPr>
        <w:pStyle w:val="FootnoteText"/>
      </w:pPr>
      <w:r>
        <w:rPr>
          <w:rStyle w:val="FootnoteReference"/>
        </w:rPr>
        <w:footnoteRef/>
      </w:r>
      <w:r>
        <w:t xml:space="preserve"> </w:t>
      </w:r>
      <w:r w:rsidRPr="00954436">
        <w:rPr>
          <w:rFonts w:cs="Myriad Pro"/>
          <w:color w:val="221E1F"/>
        </w:rPr>
        <w:t>Centers for Disease Control and Prevention (CDC). A Primer for Understanding the Principles and Practices of Disaster Surveillance in the United States: First edition. Atlanta (GA): CDC;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A3EEE"/>
    <w:multiLevelType w:val="hybridMultilevel"/>
    <w:tmpl w:val="EF3C5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4192F"/>
    <w:multiLevelType w:val="hybridMultilevel"/>
    <w:tmpl w:val="D22A4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257CAB"/>
    <w:multiLevelType w:val="hybridMultilevel"/>
    <w:tmpl w:val="F17A9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415B77"/>
    <w:multiLevelType w:val="hybridMultilevel"/>
    <w:tmpl w:val="76D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861EA9"/>
    <w:multiLevelType w:val="hybridMultilevel"/>
    <w:tmpl w:val="CD748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C3"/>
    <w:rsid w:val="001A0894"/>
    <w:rsid w:val="006156C3"/>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15DDB"/>
  <w15:chartTrackingRefBased/>
  <w15:docId w15:val="{1EC3B55B-B98F-4238-BF13-92162CADC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56C3"/>
    <w:pPr>
      <w:spacing w:after="200" w:line="276" w:lineRule="auto"/>
    </w:pPr>
  </w:style>
  <w:style w:type="paragraph" w:styleId="Heading1">
    <w:name w:val="heading 1"/>
    <w:basedOn w:val="Normal"/>
    <w:next w:val="Normal"/>
    <w:link w:val="Heading1Char"/>
    <w:uiPriority w:val="9"/>
    <w:qFormat/>
    <w:rsid w:val="006156C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6156C3"/>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6C3"/>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6156C3"/>
    <w:rPr>
      <w:rFonts w:asciiTheme="majorHAnsi" w:eastAsiaTheme="majorEastAsia" w:hAnsiTheme="majorHAnsi" w:cstheme="majorBidi"/>
      <w:b/>
      <w:bCs/>
      <w:color w:val="4472C4" w:themeColor="accent1"/>
    </w:rPr>
  </w:style>
  <w:style w:type="paragraph" w:styleId="Subtitle">
    <w:name w:val="Subtitle"/>
    <w:basedOn w:val="Normal"/>
    <w:next w:val="Normal"/>
    <w:link w:val="SubtitleChar"/>
    <w:uiPriority w:val="11"/>
    <w:qFormat/>
    <w:rsid w:val="006156C3"/>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6156C3"/>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6156C3"/>
    <w:rPr>
      <w:i/>
      <w:iCs/>
      <w:color w:val="808080" w:themeColor="text1" w:themeTint="7F"/>
    </w:rPr>
  </w:style>
  <w:style w:type="paragraph" w:styleId="Footer">
    <w:name w:val="footer"/>
    <w:basedOn w:val="Normal"/>
    <w:link w:val="FooterChar"/>
    <w:uiPriority w:val="99"/>
    <w:unhideWhenUsed/>
    <w:rsid w:val="00615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6C3"/>
  </w:style>
  <w:style w:type="character" w:styleId="FootnoteReference">
    <w:name w:val="footnote reference"/>
    <w:basedOn w:val="DefaultParagraphFont"/>
    <w:uiPriority w:val="99"/>
    <w:semiHidden/>
    <w:unhideWhenUsed/>
    <w:rsid w:val="006156C3"/>
    <w:rPr>
      <w:vertAlign w:val="superscript"/>
    </w:rPr>
  </w:style>
  <w:style w:type="paragraph" w:styleId="FootnoteText">
    <w:name w:val="footnote text"/>
    <w:basedOn w:val="Normal"/>
    <w:link w:val="FootnoteTextChar"/>
    <w:uiPriority w:val="99"/>
    <w:semiHidden/>
    <w:unhideWhenUsed/>
    <w:rsid w:val="006156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56C3"/>
    <w:rPr>
      <w:sz w:val="20"/>
      <w:szCs w:val="20"/>
    </w:rPr>
  </w:style>
  <w:style w:type="character" w:styleId="Hyperlink">
    <w:name w:val="Hyperlink"/>
    <w:basedOn w:val="DefaultParagraphFont"/>
    <w:uiPriority w:val="99"/>
    <w:unhideWhenUsed/>
    <w:rsid w:val="006156C3"/>
    <w:rPr>
      <w:color w:val="0563C1" w:themeColor="hyperlink"/>
      <w:u w:val="single"/>
    </w:rPr>
  </w:style>
  <w:style w:type="paragraph" w:styleId="ListParagraph">
    <w:name w:val="List Paragraph"/>
    <w:basedOn w:val="Normal"/>
    <w:uiPriority w:val="34"/>
    <w:qFormat/>
    <w:rsid w:val="006156C3"/>
    <w:pPr>
      <w:ind w:left="720"/>
      <w:contextualSpacing/>
    </w:pPr>
  </w:style>
  <w:style w:type="table" w:styleId="LightList-Accent1">
    <w:name w:val="Light List Accent 1"/>
    <w:basedOn w:val="TableNormal"/>
    <w:uiPriority w:val="61"/>
    <w:rsid w:val="006156C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CommentText">
    <w:name w:val="annotation text"/>
    <w:basedOn w:val="Normal"/>
    <w:link w:val="CommentTextChar"/>
    <w:unhideWhenUsed/>
    <w:rsid w:val="006156C3"/>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6156C3"/>
    <w:rPr>
      <w:rFonts w:ascii="Calibri" w:hAnsi="Calibri" w:cs="Times New Roman"/>
      <w:sz w:val="20"/>
      <w:szCs w:val="20"/>
    </w:rPr>
  </w:style>
  <w:style w:type="character" w:styleId="CommentReference">
    <w:name w:val="annotation reference"/>
    <w:basedOn w:val="DefaultParagraphFont"/>
    <w:uiPriority w:val="99"/>
    <w:semiHidden/>
    <w:unhideWhenUsed/>
    <w:rsid w:val="006156C3"/>
    <w:rPr>
      <w:sz w:val="16"/>
      <w:szCs w:val="16"/>
    </w:rPr>
  </w:style>
  <w:style w:type="character" w:customStyle="1" w:styleId="A3">
    <w:name w:val="A3"/>
    <w:uiPriority w:val="99"/>
    <w:rsid w:val="006156C3"/>
    <w:rPr>
      <w:rFonts w:cs="Myriad Pro"/>
      <w:color w:val="221E1F"/>
      <w:sz w:val="20"/>
      <w:szCs w:val="20"/>
    </w:rPr>
  </w:style>
  <w:style w:type="paragraph" w:styleId="BalloonText">
    <w:name w:val="Balloon Text"/>
    <w:basedOn w:val="Normal"/>
    <w:link w:val="BalloonTextChar"/>
    <w:uiPriority w:val="99"/>
    <w:semiHidden/>
    <w:unhideWhenUsed/>
    <w:rsid w:val="00615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6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jhsph.edu/research/centers-and-institutes/center-for-refugee-and-disaster-response/publications_tools/publications/2009/PDM_Kirsch.pdf" TargetMode="External"/><Relationship Id="rId1" Type="http://schemas.openxmlformats.org/officeDocument/2006/relationships/hyperlink" Target="http://www.apic.org/Resource_/TinyMceFileManager/Practice_Guidance/Emergency_Preparedness/Shelters_Disast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2018-10-09T19:07:00Z</dcterms:created>
  <dcterms:modified xsi:type="dcterms:W3CDTF">2018-10-09T19:07:00Z</dcterms:modified>
</cp:coreProperties>
</file>