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47CB5" w14:textId="77777777" w:rsidR="004F0458" w:rsidRDefault="004F0458" w:rsidP="004F0458">
      <w:pPr>
        <w:pStyle w:val="Heading1"/>
        <w:spacing w:before="0"/>
        <w:rPr>
          <w:rFonts w:cs="Times New Roman"/>
          <w:b w:val="0"/>
          <w:color w:val="3957B9"/>
          <w:sz w:val="52"/>
          <w:szCs w:val="52"/>
          <w:u w:val="single"/>
        </w:rPr>
      </w:pPr>
      <w:commentRangeStart w:id="0"/>
      <w:commentRangeStart w:id="1"/>
      <w:commentRangeStart w:id="2"/>
      <w:commentRangeStart w:id="3"/>
      <w:r>
        <w:rPr>
          <w:rFonts w:cs="Times New Roman"/>
          <w:b w:val="0"/>
          <w:color w:val="3957B9"/>
          <w:sz w:val="52"/>
          <w:szCs w:val="52"/>
          <w:u w:val="single"/>
        </w:rPr>
        <w:t>Introduction_</w:t>
      </w:r>
      <w:commentRangeEnd w:id="0"/>
      <w:r>
        <w:rPr>
          <w:rStyle w:val="CommentReference"/>
          <w:rFonts w:ascii="Calibri" w:eastAsiaTheme="minorHAnsi" w:hAnsi="Calibri" w:cs="Times New Roman"/>
          <w:b w:val="0"/>
          <w:bCs w:val="0"/>
          <w:color w:val="auto"/>
        </w:rPr>
        <w:commentReference w:id="0"/>
      </w:r>
      <w:commentRangeEnd w:id="1"/>
      <w:r>
        <w:rPr>
          <w:rStyle w:val="CommentReference"/>
          <w:rFonts w:ascii="Calibri" w:eastAsiaTheme="minorHAnsi" w:hAnsi="Calibri" w:cs="Times New Roman"/>
          <w:b w:val="0"/>
          <w:bCs w:val="0"/>
          <w:color w:val="auto"/>
        </w:rPr>
        <w:commentReference w:id="1"/>
      </w:r>
      <w:commentRangeEnd w:id="2"/>
      <w:r>
        <w:rPr>
          <w:rStyle w:val="CommentReference"/>
          <w:rFonts w:ascii="Calibri" w:eastAsiaTheme="minorHAnsi" w:hAnsi="Calibri" w:cs="Times New Roman"/>
          <w:b w:val="0"/>
          <w:bCs w:val="0"/>
          <w:color w:val="auto"/>
        </w:rPr>
        <w:commentReference w:id="2"/>
      </w:r>
      <w:commentRangeEnd w:id="3"/>
      <w:r>
        <w:rPr>
          <w:rStyle w:val="CommentReference"/>
          <w:rFonts w:ascii="Calibri" w:eastAsiaTheme="minorHAnsi" w:hAnsi="Calibri" w:cs="Times New Roman"/>
          <w:b w:val="0"/>
          <w:bCs w:val="0"/>
          <w:color w:val="auto"/>
        </w:rPr>
        <w:commentReference w:id="3"/>
      </w:r>
      <w:r>
        <w:rPr>
          <w:rFonts w:cs="Times New Roman"/>
          <w:b w:val="0"/>
          <w:color w:val="3957B9"/>
          <w:sz w:val="52"/>
          <w:szCs w:val="52"/>
          <w:u w:val="single"/>
        </w:rPr>
        <w:t>________________________________</w:t>
      </w:r>
    </w:p>
    <w:p w14:paraId="2ED41FC9" w14:textId="3B443752" w:rsidR="007B00BB" w:rsidRPr="00D22E5D" w:rsidRDefault="007B00BB" w:rsidP="007B00BB">
      <w:pPr>
        <w:spacing w:line="360" w:lineRule="auto"/>
        <w:jc w:val="both"/>
        <w:rPr>
          <w:sz w:val="24"/>
          <w:szCs w:val="24"/>
        </w:rPr>
      </w:pPr>
      <w:r w:rsidRPr="00D22E5D">
        <w:rPr>
          <w:sz w:val="24"/>
          <w:szCs w:val="24"/>
        </w:rPr>
        <w:t xml:space="preserve">Disasters are complex events that can have </w:t>
      </w:r>
      <w:r>
        <w:rPr>
          <w:sz w:val="24"/>
          <w:szCs w:val="24"/>
        </w:rPr>
        <w:t xml:space="preserve">a </w:t>
      </w:r>
      <w:r w:rsidRPr="00D22E5D">
        <w:rPr>
          <w:sz w:val="24"/>
          <w:szCs w:val="24"/>
        </w:rPr>
        <w:t>significant impact on the health status of the affected populations</w:t>
      </w:r>
      <w:r>
        <w:rPr>
          <w:sz w:val="24"/>
          <w:szCs w:val="24"/>
        </w:rPr>
        <w:t>: exacerbation of symptoms associated with chronic diseases, exposure to environmental teratogens, risk of contracting and spreading infectious diseases, sustaining injury, and exposure to/victim of violence</w:t>
      </w:r>
      <w:r w:rsidRPr="00D22E5D">
        <w:rPr>
          <w:sz w:val="24"/>
          <w:szCs w:val="24"/>
        </w:rPr>
        <w:t xml:space="preserve">. </w:t>
      </w:r>
      <w:r>
        <w:rPr>
          <w:sz w:val="24"/>
          <w:szCs w:val="24"/>
        </w:rPr>
        <w:t xml:space="preserve">In some disasters, temporary relocation of a population to shelters is required due to evacuation or loss of housing. In such situations, shelters may provide housing for an extended </w:t>
      </w:r>
      <w:proofErr w:type="gramStart"/>
      <w:r>
        <w:rPr>
          <w:sz w:val="24"/>
          <w:szCs w:val="24"/>
        </w:rPr>
        <w:t>period of time</w:t>
      </w:r>
      <w:proofErr w:type="gramEnd"/>
      <w:r>
        <w:rPr>
          <w:sz w:val="24"/>
          <w:szCs w:val="24"/>
        </w:rPr>
        <w:t xml:space="preserve"> (72 hours to 2-weeks) for a population which will embody a diverse distribution of unknown risk and protective factors for which shelter staff must be cognizant of to reduce short- and long-term sequelae. For example, universal design of restroom facilities (ADA-accessible) is required to maintain health and hygiene, or ample supply of medical counter measures, including routine prescription medications for chronic disease, may be required to prevent exacerbation of illness. Thus, to protect public health, disaster surveillance is needed to capture: a) Pre-disaster event descriptive statistics on risk and protective factors to preemptively plan for shelter space, supplies, and qualified staff; b) Continuous monitoring of shelter residents’ health and needs to guide standardized operating procedures; and, c) Enable state and local health departments to evaluate shelter activities for program improvement.  </w:t>
      </w:r>
    </w:p>
    <w:p w14:paraId="1AD42E60" w14:textId="77777777" w:rsidR="007B00BB" w:rsidRPr="00D22E5D" w:rsidRDefault="007B00BB" w:rsidP="007B00BB">
      <w:pPr>
        <w:spacing w:line="360" w:lineRule="auto"/>
        <w:jc w:val="both"/>
        <w:rPr>
          <w:sz w:val="24"/>
          <w:szCs w:val="24"/>
        </w:rPr>
      </w:pPr>
      <w:r w:rsidRPr="00D22E5D">
        <w:rPr>
          <w:sz w:val="24"/>
          <w:szCs w:val="24"/>
        </w:rPr>
        <w:t xml:space="preserve">This document </w:t>
      </w:r>
      <w:r>
        <w:rPr>
          <w:sz w:val="24"/>
          <w:szCs w:val="24"/>
        </w:rPr>
        <w:t>was developed through a collaborative effort with the intent to assist health departments and other response partners in</w:t>
      </w:r>
      <w:r w:rsidRPr="00D22E5D">
        <w:rPr>
          <w:sz w:val="24"/>
          <w:szCs w:val="24"/>
        </w:rPr>
        <w:t xml:space="preserve"> planning for </w:t>
      </w:r>
      <w:r>
        <w:rPr>
          <w:sz w:val="24"/>
          <w:szCs w:val="24"/>
        </w:rPr>
        <w:t xml:space="preserve">the implementation of </w:t>
      </w:r>
      <w:r w:rsidRPr="00D22E5D">
        <w:rPr>
          <w:sz w:val="24"/>
          <w:szCs w:val="24"/>
        </w:rPr>
        <w:t>shelter surveillance</w:t>
      </w:r>
      <w:r>
        <w:rPr>
          <w:sz w:val="24"/>
          <w:szCs w:val="24"/>
        </w:rPr>
        <w:t xml:space="preserve"> and incorporating the information into the public health response</w:t>
      </w:r>
      <w:r w:rsidRPr="00D22E5D">
        <w:rPr>
          <w:sz w:val="24"/>
          <w:szCs w:val="24"/>
        </w:rPr>
        <w:t xml:space="preserve">. </w:t>
      </w:r>
      <w:r>
        <w:rPr>
          <w:sz w:val="24"/>
          <w:szCs w:val="24"/>
        </w:rPr>
        <w:t xml:space="preserve">While this document focuses solely on shelter surveillance, additional components of disaster epidemiology should be considered to inform the overall response; a suggested resource is </w:t>
      </w:r>
      <w:hyperlink r:id="rId7" w:history="1">
        <w:r w:rsidRPr="002F0EB8">
          <w:rPr>
            <w:rStyle w:val="Hyperlink"/>
            <w:sz w:val="24"/>
            <w:szCs w:val="24"/>
          </w:rPr>
          <w:t>https://www.cdc.gov/nceh/hsb/disaster/epidemiology.htm</w:t>
        </w:r>
      </w:hyperlink>
      <w:r>
        <w:rPr>
          <w:sz w:val="24"/>
          <w:szCs w:val="24"/>
        </w:rPr>
        <w:t xml:space="preserve">. </w:t>
      </w:r>
    </w:p>
    <w:p w14:paraId="5903CFDF" w14:textId="77777777" w:rsidR="007B00BB" w:rsidRDefault="007B00BB" w:rsidP="007B00BB">
      <w:pPr>
        <w:jc w:val="both"/>
        <w:rPr>
          <w:b/>
        </w:rPr>
      </w:pPr>
      <w:r>
        <w:rPr>
          <w:b/>
        </w:rPr>
        <w:t>Purpose</w:t>
      </w:r>
    </w:p>
    <w:p w14:paraId="024A844B" w14:textId="77777777" w:rsidR="007B00BB" w:rsidRPr="002F2703" w:rsidRDefault="007B00BB" w:rsidP="007B00BB">
      <w:pPr>
        <w:jc w:val="both"/>
      </w:pPr>
      <w:r>
        <w:t xml:space="preserve">The </w:t>
      </w:r>
      <w:r w:rsidRPr="002D710B">
        <w:t>purpose</w:t>
      </w:r>
      <w:r>
        <w:t xml:space="preserve"> of this document is to provide a resource to assist state and local health departments with the development and implementation of shelter surveillance through the presentation of potential approaches, methods, and best practices, including lessons learned from previous experience. </w:t>
      </w:r>
    </w:p>
    <w:p w14:paraId="7FC1E265" w14:textId="77777777" w:rsidR="007B00BB" w:rsidRDefault="007B00BB" w:rsidP="007B00BB">
      <w:pPr>
        <w:jc w:val="both"/>
        <w:rPr>
          <w:b/>
        </w:rPr>
      </w:pPr>
      <w:r>
        <w:rPr>
          <w:b/>
        </w:rPr>
        <w:lastRenderedPageBreak/>
        <w:t>Definitions</w:t>
      </w:r>
    </w:p>
    <w:p w14:paraId="336DFB85" w14:textId="71E07B05" w:rsidR="007B00BB" w:rsidRDefault="007B00BB" w:rsidP="007B00BB">
      <w:bookmarkStart w:id="4" w:name="_GoBack"/>
      <w:bookmarkEnd w:id="4"/>
      <w:r>
        <w:rPr>
          <w:b/>
        </w:rPr>
        <w:t>Shelter</w:t>
      </w:r>
      <w:r>
        <w:t xml:space="preserve"> - any</w:t>
      </w:r>
      <w:r w:rsidRPr="00BB73D3">
        <w:t xml:space="preserve"> </w:t>
      </w:r>
      <w:r>
        <w:t xml:space="preserve">existing facility (or facilities) such as a school, community center, convention center, or church that the Authority Having Jurisdiction (AHJ) has temporarily converted for use as a shelter for disaster survivors. Shelters may be established and managed by a variety of public and private entities, including the American Red Cross, Emergency Management Agencies, churches, and community organizations. [referenced APIC, CDC, and FEMA to account for comments on side-bar: </w:t>
      </w:r>
      <w:hyperlink r:id="rId8" w:history="1">
        <w:r w:rsidRPr="00DB00AE">
          <w:rPr>
            <w:rStyle w:val="Hyperlink"/>
          </w:rPr>
          <w:t>https://apic.org/Resource_/TinyMceFileManager/Practice_Guidance/Emergency_Preparedness/Shelters_Disasters.pdf</w:t>
        </w:r>
      </w:hyperlink>
      <w:r>
        <w:t xml:space="preserve">; </w:t>
      </w:r>
      <w:r w:rsidRPr="00637F5F">
        <w:t>https://www.cdc.gov/nceh/ehs/etp/shelter.htm</w:t>
      </w:r>
      <w:r>
        <w:t>]</w:t>
      </w:r>
    </w:p>
    <w:p w14:paraId="1D56FD3A" w14:textId="77777777" w:rsidR="007B00BB" w:rsidRDefault="007B00BB" w:rsidP="007B00BB">
      <w:pPr>
        <w:jc w:val="both"/>
      </w:pPr>
      <w:r>
        <w:t>Under the umbrella of shelter are two different types applicable to the scope of this document:</w:t>
      </w:r>
    </w:p>
    <w:p w14:paraId="2D3D60BB" w14:textId="77777777" w:rsidR="007B00BB" w:rsidRDefault="007B00BB" w:rsidP="007B00BB">
      <w:pPr>
        <w:ind w:left="720"/>
        <w:jc w:val="both"/>
      </w:pPr>
      <w:r w:rsidRPr="00E465A1">
        <w:rPr>
          <w:b/>
        </w:rPr>
        <w:t>Evacuation Shelter</w:t>
      </w:r>
      <w:r>
        <w:t xml:space="preserve">: Serves the general population with the overall function to: a) Provide for the immediate needs of disaster survivors, typically for less than 72 hours; and, b) Provide basic life-sustaining services until the threat has passed, or until shelter residents transfer or transition to a short-term shelter. [last accessed: </w:t>
      </w:r>
      <w:r w:rsidRPr="008968AA">
        <w:t>https://www.fema.gov/media-library-data/1494266026284-7c1983fda7d14a6fbfc0ec0480faa2db/NIMS_508_Evacuation_Shelter_MAR212017.pdf</w:t>
      </w:r>
      <w:r>
        <w:t>]</w:t>
      </w:r>
    </w:p>
    <w:p w14:paraId="26B4A46D" w14:textId="77777777" w:rsidR="007B00BB" w:rsidRDefault="007B00BB" w:rsidP="007B00BB">
      <w:pPr>
        <w:ind w:left="720"/>
        <w:jc w:val="both"/>
      </w:pPr>
      <w:r w:rsidRPr="008968AA">
        <w:rPr>
          <w:b/>
        </w:rPr>
        <w:t>Short</w:t>
      </w:r>
      <w:r w:rsidRPr="00E465A1">
        <w:rPr>
          <w:b/>
        </w:rPr>
        <w:t>-term shelter</w:t>
      </w:r>
      <w:r>
        <w:t>: Serves the needs of essential resident services, as dictated by the needs of disaster survivors and the resources available to the AHJ survivors for up to two weeks. [last accessed12/07/</w:t>
      </w:r>
      <w:proofErr w:type="gramStart"/>
      <w:r>
        <w:t>2018:</w:t>
      </w:r>
      <w:r w:rsidRPr="008968AA">
        <w:t>https://www.fema.gov/media-library-data/1494264802106-ba1fb3179987a4a68241d0b66c68f748/NIMS_508_Short_Term_Shelter_MAR212017.pdf</w:t>
      </w:r>
      <w:proofErr w:type="gramEnd"/>
      <w:r>
        <w:t>]</w:t>
      </w:r>
    </w:p>
    <w:p w14:paraId="7B14AFCD" w14:textId="77777777" w:rsidR="007B00BB" w:rsidRDefault="007B00BB" w:rsidP="007B00BB">
      <w:pPr>
        <w:jc w:val="both"/>
      </w:pPr>
      <w:commentRangeStart w:id="5"/>
      <w:commentRangeStart w:id="6"/>
      <w:commentRangeStart w:id="7"/>
      <w:r w:rsidRPr="00D47E99">
        <w:rPr>
          <w:b/>
        </w:rPr>
        <w:t>Shelter surveillance</w:t>
      </w:r>
      <w:r w:rsidRPr="002D7FF9">
        <w:t xml:space="preserve"> </w:t>
      </w:r>
      <w:commentRangeEnd w:id="5"/>
      <w:r>
        <w:rPr>
          <w:rStyle w:val="CommentReference"/>
          <w:rFonts w:ascii="Calibri" w:hAnsi="Calibri" w:cs="Times New Roman"/>
        </w:rPr>
        <w:commentReference w:id="5"/>
      </w:r>
      <w:commentRangeEnd w:id="6"/>
      <w:r>
        <w:rPr>
          <w:rStyle w:val="CommentReference"/>
          <w:rFonts w:ascii="Calibri" w:hAnsi="Calibri" w:cs="Times New Roman"/>
        </w:rPr>
        <w:commentReference w:id="6"/>
      </w:r>
      <w:commentRangeEnd w:id="7"/>
      <w:r>
        <w:rPr>
          <w:rStyle w:val="CommentReference"/>
          <w:rFonts w:ascii="Calibri" w:hAnsi="Calibri" w:cs="Times New Roman"/>
        </w:rPr>
        <w:commentReference w:id="7"/>
      </w:r>
      <w:r>
        <w:rPr>
          <w:rStyle w:val="CommentReference"/>
          <w:rFonts w:ascii="Calibri" w:hAnsi="Calibri" w:cs="Times New Roman"/>
        </w:rPr>
        <w:t>-</w:t>
      </w:r>
      <w:r w:rsidRPr="002D7FF9">
        <w:t xml:space="preserve"> the systematic collection, management, analysis</w:t>
      </w:r>
      <w:r>
        <w:t>,</w:t>
      </w:r>
      <w:r w:rsidRPr="002D7FF9">
        <w:t xml:space="preserve"> and interpretation of data of potential public health concern among </w:t>
      </w:r>
      <w:r>
        <w:t>shelter</w:t>
      </w:r>
      <w:r w:rsidRPr="002D7FF9">
        <w:t xml:space="preserve"> residents and staff during </w:t>
      </w:r>
      <w:r>
        <w:t xml:space="preserve">disaster </w:t>
      </w:r>
      <w:r w:rsidRPr="002D7FF9">
        <w:t xml:space="preserve">operations </w:t>
      </w:r>
      <w:proofErr w:type="gramStart"/>
      <w:r w:rsidRPr="002D7FF9">
        <w:t>for the purpose of</w:t>
      </w:r>
      <w:proofErr w:type="gramEnd"/>
      <w:r w:rsidRPr="002D7FF9">
        <w:t xml:space="preserve"> rapidly implementing control measures, contributing to situational awareness of the response</w:t>
      </w:r>
      <w:r>
        <w:t>,</w:t>
      </w:r>
      <w:r w:rsidRPr="002D7FF9">
        <w:t xml:space="preserve"> and developing recommendations to improve future disaster planning and response.</w:t>
      </w:r>
    </w:p>
    <w:p w14:paraId="63A9533E" w14:textId="77777777" w:rsidR="007B00BB" w:rsidRDefault="007B00BB" w:rsidP="007B00BB">
      <w:pPr>
        <w:jc w:val="both"/>
      </w:pPr>
      <w:r w:rsidRPr="00E465A1">
        <w:rPr>
          <w:b/>
        </w:rPr>
        <w:t>Basic life-sustaining needs</w:t>
      </w:r>
      <w:r>
        <w:t xml:space="preserve"> – include the following: a) basic food items or snacks; b) hydration; c) basic medical care; d) sanitation; and, e) disaster-related information.</w:t>
      </w:r>
    </w:p>
    <w:p w14:paraId="71EB5074" w14:textId="7C9A01CE" w:rsidR="007B00BB" w:rsidRDefault="007B00BB" w:rsidP="007B00BB">
      <w:pPr>
        <w:jc w:val="both"/>
      </w:pPr>
      <w:r w:rsidRPr="00E465A1">
        <w:rPr>
          <w:b/>
        </w:rPr>
        <w:t>Essential resident services</w:t>
      </w:r>
      <w:r>
        <w:t xml:space="preserve"> – include the following: a) support for people with access and functional needs; b) health and mental health behavioral health services; c) family reunification assistance; d) childcare; e) service animal and household pet care; f) distribution of life sustaining, comfort, and other essential supplies; g) laundry; h) access to transportation; and, </w:t>
      </w:r>
      <w:proofErr w:type="spellStart"/>
      <w:r>
        <w:t>i</w:t>
      </w:r>
      <w:proofErr w:type="spellEnd"/>
      <w:r>
        <w:t>) disaster recovery related information and services.</w:t>
      </w:r>
    </w:p>
    <w:p w14:paraId="6B7A77A9" w14:textId="77777777" w:rsidR="007B00BB" w:rsidRDefault="007B00BB" w:rsidP="007B00BB">
      <w:pPr>
        <w:rPr>
          <w:b/>
        </w:rPr>
      </w:pPr>
      <w:r>
        <w:rPr>
          <w:b/>
        </w:rPr>
        <w:t>Scope</w:t>
      </w:r>
    </w:p>
    <w:p w14:paraId="544D829B" w14:textId="77777777" w:rsidR="007B00BB" w:rsidRDefault="007B00BB" w:rsidP="007B00BB">
      <w:pPr>
        <w:jc w:val="both"/>
      </w:pPr>
      <w:r>
        <w:rPr>
          <w:sz w:val="24"/>
          <w:szCs w:val="24"/>
        </w:rPr>
        <w:t>This document does not serve as disaster plan for shelters. This document is intended to support public health departments in developing a shelter surveillance actionable framework applicable to their population and context to be incorporated into the interdisciplinary public health disaster plan. As such, t</w:t>
      </w:r>
      <w:r>
        <w:t xml:space="preserve">his document is limited in scope to the approaches, </w:t>
      </w:r>
      <w:proofErr w:type="gramStart"/>
      <w:r>
        <w:t>logistics</w:t>
      </w:r>
      <w:proofErr w:type="gramEnd"/>
      <w:r>
        <w:t xml:space="preserve">, and methods used for data collection, as well as the management, analysis, and reporting of public health surveillance in shelters serving a general population where provision of food, lodging, basic first aid, and referral services to </w:t>
      </w:r>
      <w:r>
        <w:lastRenderedPageBreak/>
        <w:t>medical care are provided. T</w:t>
      </w:r>
      <w:commentRangeStart w:id="8"/>
      <w:commentRangeStart w:id="9"/>
      <w:commentRangeStart w:id="10"/>
      <w:r>
        <w:t>he focus of this document is limited to the surveillance of issues of potential public health concern; the assessment of needs for case management or medical care at the individual level is beyond the scope of this document.</w:t>
      </w:r>
      <w:commentRangeEnd w:id="8"/>
      <w:r>
        <w:rPr>
          <w:rStyle w:val="CommentReference"/>
          <w:rFonts w:ascii="Calibri" w:hAnsi="Calibri" w:cs="Times New Roman"/>
        </w:rPr>
        <w:commentReference w:id="8"/>
      </w:r>
      <w:commentRangeEnd w:id="9"/>
      <w:r>
        <w:rPr>
          <w:rStyle w:val="CommentReference"/>
          <w:rFonts w:ascii="Calibri" w:hAnsi="Calibri" w:cs="Times New Roman"/>
        </w:rPr>
        <w:commentReference w:id="9"/>
      </w:r>
      <w:commentRangeEnd w:id="10"/>
      <w:r>
        <w:rPr>
          <w:rStyle w:val="CommentReference"/>
          <w:rFonts w:ascii="Calibri" w:hAnsi="Calibri" w:cs="Times New Roman"/>
        </w:rPr>
        <w:commentReference w:id="10"/>
      </w:r>
      <w:r>
        <w:t xml:space="preserve"> </w:t>
      </w:r>
    </w:p>
    <w:p w14:paraId="56391E2B" w14:textId="77777777" w:rsidR="00E74E9C" w:rsidRDefault="007B00BB" w:rsidP="007B00BB">
      <w:pPr>
        <w:spacing w:line="360" w:lineRule="auto"/>
      </w:pPr>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09T16:52:00Z" w:initials="MM(">
    <w:p w14:paraId="5208B504" w14:textId="77777777" w:rsidR="004F0458" w:rsidRDefault="004F0458" w:rsidP="004F0458">
      <w:pPr>
        <w:pStyle w:val="CommentText"/>
      </w:pPr>
      <w:r>
        <w:rPr>
          <w:rStyle w:val="CommentReference"/>
        </w:rPr>
        <w:annotationRef/>
      </w:r>
      <w:r>
        <w:t>Need to add a section on scope and definitions – not sure if it should go into the introduction or be a separate section following the intro.</w:t>
      </w:r>
    </w:p>
  </w:comment>
  <w:comment w:id="1" w:author="Alva,Herminia (DSHS)" w:date="2018-07-24T18:17:00Z" w:initials="A(">
    <w:p w14:paraId="331530A0" w14:textId="77777777" w:rsidR="004F0458" w:rsidRDefault="004F0458" w:rsidP="004F0458">
      <w:pPr>
        <w:pStyle w:val="CommentText"/>
      </w:pPr>
      <w:r>
        <w:rPr>
          <w:rStyle w:val="CommentReference"/>
        </w:rPr>
        <w:annotationRef/>
      </w:r>
      <w:r>
        <w:t xml:space="preserve">I like the option of including the scope and definitions into the introduction as this will outline who the audience of the document is and the intended purpose right from the beginning.   </w:t>
      </w:r>
    </w:p>
    <w:p w14:paraId="4EF73042" w14:textId="77777777" w:rsidR="004F0458" w:rsidRDefault="004F0458" w:rsidP="004F0458">
      <w:pPr>
        <w:pStyle w:val="CommentText"/>
      </w:pPr>
    </w:p>
    <w:p w14:paraId="7C032E69" w14:textId="77777777" w:rsidR="004F0458" w:rsidRDefault="004F0458" w:rsidP="004F0458">
      <w:pPr>
        <w:pStyle w:val="CommentText"/>
      </w:pPr>
      <w:r>
        <w:t xml:space="preserve">If the introduction is kept as it currently is, consider including a factor relating to the easy spread of disease in congregate settings as just this factor alone is reason enough for monitoring the health of the shelter population. This is also the most recognizable factor for why shelter surveillance is important.  </w:t>
      </w:r>
    </w:p>
  </w:comment>
  <w:comment w:id="2" w:author="Hayleigh McCall" w:date="2018-07-25T14:06:00Z" w:initials="HM">
    <w:p w14:paraId="21187B91" w14:textId="77777777" w:rsidR="004F0458" w:rsidRDefault="004F0458" w:rsidP="004F0458">
      <w:pPr>
        <w:pStyle w:val="CommentText"/>
      </w:pPr>
      <w:r>
        <w:rPr>
          <w:rStyle w:val="CommentReference"/>
        </w:rPr>
        <w:annotationRef/>
      </w:r>
      <w:r>
        <w:t>Melissa – added a straw man draft beyond the introduction, think it would be helpful to have everything laid out in the beginning</w:t>
      </w:r>
    </w:p>
  </w:comment>
  <w:comment w:id="3" w:author="Hayleigh McCall" w:date="2018-07-25T14:07:00Z" w:initials="HM">
    <w:p w14:paraId="4349223F" w14:textId="77777777" w:rsidR="004F0458" w:rsidRDefault="004F0458" w:rsidP="004F0458">
      <w:pPr>
        <w:pStyle w:val="CommentText"/>
      </w:pPr>
      <w:r>
        <w:rPr>
          <w:rStyle w:val="CommentReference"/>
        </w:rPr>
        <w:annotationRef/>
      </w:r>
      <w:r>
        <w:t>Melissa – agree to add statement regarding the easy spread of disease</w:t>
      </w:r>
    </w:p>
  </w:comment>
  <w:comment w:id="5" w:author="Alva,Herminia (DSHS)" w:date="2018-07-24T18:59:00Z" w:initials="A(">
    <w:p w14:paraId="3C986A05" w14:textId="77777777" w:rsidR="007B00BB" w:rsidRDefault="007B00BB" w:rsidP="007B00BB">
      <w:pPr>
        <w:pStyle w:val="CommentText"/>
      </w:pPr>
      <w:r>
        <w:rPr>
          <w:rStyle w:val="CommentReference"/>
        </w:rPr>
        <w:annotationRef/>
      </w:r>
      <w:r>
        <w:t>The terms “shelter surveillance” needs to be used throughout the document the way it is defined here. Currently, throughout the document “shelter surveillance” is used interchangeably to mean other components of shelter surveillance, such as reporting of data from the shelter to the health department, etc.</w:t>
      </w:r>
    </w:p>
  </w:comment>
  <w:comment w:id="6" w:author="Hayleigh McCall" w:date="2018-07-25T14:08:00Z" w:initials="HM">
    <w:p w14:paraId="3E28295E" w14:textId="77777777" w:rsidR="007B00BB" w:rsidRDefault="007B00BB" w:rsidP="007B00BB">
      <w:pPr>
        <w:pStyle w:val="CommentText"/>
      </w:pPr>
      <w:r>
        <w:rPr>
          <w:rStyle w:val="CommentReference"/>
        </w:rPr>
        <w:annotationRef/>
      </w:r>
      <w:r>
        <w:t>Herminia: expanding upon, this additional section is very beneficial for the audience’s framework on the document, now that we have a definition for shelter surveillance, need to make sure that how we use the term in the beginning should be consistent through the document (sometimes use “shelter surveillance” to mean data collection which doesn’t include the analysis like the definition implies.</w:t>
      </w:r>
    </w:p>
  </w:comment>
  <w:comment w:id="7" w:author="Hayleigh McCall" w:date="2018-07-25T14:11:00Z" w:initials="HM">
    <w:p w14:paraId="25C7D60A" w14:textId="77777777" w:rsidR="007B00BB" w:rsidRDefault="007B00BB" w:rsidP="007B00BB">
      <w:pPr>
        <w:pStyle w:val="CommentText"/>
      </w:pPr>
      <w:r>
        <w:rPr>
          <w:rStyle w:val="CommentReference"/>
        </w:rPr>
        <w:annotationRef/>
      </w:r>
      <w:r>
        <w:t>Melissa: seconds, should go back through the document, maybe need to define other types of data collection that are done to not have them confused</w:t>
      </w:r>
    </w:p>
  </w:comment>
  <w:comment w:id="8" w:author="Morrison, Melissa (CDC/OPHPR/DSLR)" w:date="2018-07-10T10:48:00Z" w:initials="MM(">
    <w:p w14:paraId="7E6AFDC5" w14:textId="77777777" w:rsidR="007B00BB" w:rsidRDefault="007B00BB" w:rsidP="007B00BB">
      <w:pPr>
        <w:pStyle w:val="CommentText"/>
      </w:pPr>
      <w:r>
        <w:rPr>
          <w:rStyle w:val="CommentReference"/>
        </w:rPr>
        <w:annotationRef/>
      </w:r>
      <w:r>
        <w:t>Need to come to consensus on this – I think we went back and forth on how far to go into functional needs, etc., but I am thinking that would need to be a separate document to truly address that. I am going to review the rest of the document with this approach.</w:t>
      </w:r>
    </w:p>
  </w:comment>
  <w:comment w:id="9" w:author="Alva,Herminia (DSHS)" w:date="2018-07-24T19:33:00Z" w:initials="A(">
    <w:p w14:paraId="69965AFC" w14:textId="77777777" w:rsidR="007B00BB" w:rsidRDefault="007B00BB" w:rsidP="007B00BB">
      <w:pPr>
        <w:pStyle w:val="CommentText"/>
      </w:pPr>
      <w:r>
        <w:rPr>
          <w:rStyle w:val="CommentReference"/>
        </w:rPr>
        <w:annotationRef/>
      </w:r>
      <w:r>
        <w:t>Texas (Steven and Herminia) agrees with keeping the focus of this document to only the surveillance of issues of potential public health concern.</w:t>
      </w:r>
    </w:p>
  </w:comment>
  <w:comment w:id="10" w:author="Hayleigh McCall" w:date="2018-07-25T14:24:00Z" w:initials="HM">
    <w:p w14:paraId="482D6F74" w14:textId="77777777" w:rsidR="007B00BB" w:rsidRDefault="007B00BB" w:rsidP="007B00BB">
      <w:pPr>
        <w:pStyle w:val="CommentText"/>
      </w:pPr>
      <w:r>
        <w:rPr>
          <w:rStyle w:val="CommentReference"/>
        </w:rPr>
        <w:annotationRef/>
      </w:r>
      <w:r>
        <w:t xml:space="preserve">Miguel/Tess: agreed.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08B504" w15:done="0"/>
  <w15:commentEx w15:paraId="7C032E69" w15:paraIdParent="5208B504" w15:done="0"/>
  <w15:commentEx w15:paraId="21187B91" w15:paraIdParent="5208B504" w15:done="0"/>
  <w15:commentEx w15:paraId="4349223F" w15:paraIdParent="5208B504" w15:done="0"/>
  <w15:commentEx w15:paraId="3C986A05" w15:done="0"/>
  <w15:commentEx w15:paraId="3E28295E" w15:paraIdParent="3C986A05" w15:done="0"/>
  <w15:commentEx w15:paraId="25C7D60A" w15:paraIdParent="3C986A05" w15:done="0"/>
  <w15:commentEx w15:paraId="7E6AFDC5" w15:done="0"/>
  <w15:commentEx w15:paraId="69965AFC" w15:paraIdParent="7E6AFDC5" w15:done="0"/>
  <w15:commentEx w15:paraId="482D6F74" w15:paraIdParent="7E6AFD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8B504" w16cid:durableId="1F0301CF"/>
  <w16cid:commentId w16cid:paraId="7C032E69" w16cid:durableId="1F0301D0"/>
  <w16cid:commentId w16cid:paraId="21187B91" w16cid:durableId="1F030276"/>
  <w16cid:commentId w16cid:paraId="4349223F" w16cid:durableId="1F0302AB"/>
  <w16cid:commentId w16cid:paraId="3C986A05" w16cid:durableId="1FB4C1FD"/>
  <w16cid:commentId w16cid:paraId="3E28295E" w16cid:durableId="1FB4C1FC"/>
  <w16cid:commentId w16cid:paraId="25C7D60A" w16cid:durableId="1FB4C1FB"/>
  <w16cid:commentId w16cid:paraId="7E6AFDC5" w16cid:durableId="1FB4C2BB"/>
  <w16cid:commentId w16cid:paraId="69965AFC" w16cid:durableId="1FB4C2BA"/>
  <w16cid:commentId w16cid:paraId="482D6F74" w16cid:durableId="1FB4C2B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Hayleigh McCall">
    <w15:presenceInfo w15:providerId="None" w15:userId="Hayleigh McC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58"/>
    <w:rsid w:val="004F0458"/>
    <w:rsid w:val="007B00BB"/>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159E"/>
  <w15:chartTrackingRefBased/>
  <w15:docId w15:val="{7C0ECCD6-DDD5-4199-BEFE-D3A9FC9E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458"/>
    <w:pPr>
      <w:spacing w:after="200" w:line="276" w:lineRule="auto"/>
    </w:pPr>
  </w:style>
  <w:style w:type="paragraph" w:styleId="Heading1">
    <w:name w:val="heading 1"/>
    <w:basedOn w:val="Normal"/>
    <w:next w:val="Normal"/>
    <w:link w:val="Heading1Char"/>
    <w:uiPriority w:val="9"/>
    <w:qFormat/>
    <w:rsid w:val="004F04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58"/>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4F0458"/>
    <w:rPr>
      <w:color w:val="0563C1" w:themeColor="hyperlink"/>
      <w:u w:val="single"/>
    </w:rPr>
  </w:style>
  <w:style w:type="paragraph" w:styleId="CommentText">
    <w:name w:val="annotation text"/>
    <w:basedOn w:val="Normal"/>
    <w:link w:val="CommentTextChar"/>
    <w:unhideWhenUsed/>
    <w:rsid w:val="004F0458"/>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4F0458"/>
    <w:rPr>
      <w:rFonts w:ascii="Calibri" w:hAnsi="Calibri" w:cs="Times New Roman"/>
      <w:sz w:val="20"/>
      <w:szCs w:val="20"/>
    </w:rPr>
  </w:style>
  <w:style w:type="character" w:styleId="CommentReference">
    <w:name w:val="annotation reference"/>
    <w:basedOn w:val="DefaultParagraphFont"/>
    <w:uiPriority w:val="99"/>
    <w:semiHidden/>
    <w:unhideWhenUsed/>
    <w:rsid w:val="004F0458"/>
    <w:rPr>
      <w:sz w:val="16"/>
      <w:szCs w:val="16"/>
    </w:rPr>
  </w:style>
  <w:style w:type="paragraph" w:styleId="BalloonText">
    <w:name w:val="Balloon Text"/>
    <w:basedOn w:val="Normal"/>
    <w:link w:val="BalloonTextChar"/>
    <w:uiPriority w:val="99"/>
    <w:semiHidden/>
    <w:unhideWhenUsed/>
    <w:rsid w:val="004F0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c.org/Resource_/TinyMceFileManager/Practice_Guidance/Emergency_Preparedness/Shelters_Disasters.pdf" TargetMode="External"/><Relationship Id="rId3" Type="http://schemas.openxmlformats.org/officeDocument/2006/relationships/webSettings" Target="webSettings.xml"/><Relationship Id="rId7" Type="http://schemas.openxmlformats.org/officeDocument/2006/relationships/hyperlink" Target="https://www.cdc.gov/nceh/hsb/disaster/epidemiology.htm"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Bulpett, Nicole</cp:lastModifiedBy>
  <cp:revision>2</cp:revision>
  <dcterms:created xsi:type="dcterms:W3CDTF">2018-12-07T18:33:00Z</dcterms:created>
  <dcterms:modified xsi:type="dcterms:W3CDTF">2018-12-07T18:33:00Z</dcterms:modified>
</cp:coreProperties>
</file>