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B61CE" w14:textId="77777777" w:rsidR="006C7AEF" w:rsidRPr="00D4171A" w:rsidRDefault="00A47DAB" w:rsidP="0066377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Soft 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Tick-borne Relapsing Fever (including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hermsii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parkerii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B. turicatae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) </w:t>
      </w:r>
    </w:p>
    <w:p w14:paraId="11D419DE" w14:textId="77777777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10F1210F" w14:textId="1E49138F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Pr="00D4171A">
        <w:rPr>
          <w:rFonts w:ascii="Arial" w:hAnsi="Arial" w:cs="Arial"/>
          <w:bCs/>
          <w:i/>
          <w:sz w:val="24"/>
          <w:szCs w:val="24"/>
        </w:rPr>
        <w:t>Borrelia hermsii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, Borrelia parkerii,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r w:rsidRPr="00D4171A">
        <w:rPr>
          <w:rFonts w:ascii="Arial" w:hAnsi="Arial" w:cs="Arial"/>
          <w:bCs/>
          <w:i/>
          <w:sz w:val="24"/>
          <w:szCs w:val="24"/>
        </w:rPr>
        <w:t xml:space="preserve">Borrelia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r w:rsidR="003C5F90">
        <w:rPr>
          <w:rFonts w:ascii="Arial" w:hAnsi="Arial" w:cs="Arial"/>
          <w:bCs/>
          <w:i/>
          <w:sz w:val="24"/>
          <w:szCs w:val="24"/>
        </w:rPr>
        <w:t>.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BF5F41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</w:t>
      </w:r>
      <w:r w:rsidR="003C5F90">
        <w:rPr>
          <w:rFonts w:ascii="Arial" w:hAnsi="Arial" w:cs="Arial"/>
          <w:bCs/>
          <w:sz w:val="24"/>
          <w:szCs w:val="24"/>
        </w:rPr>
        <w:t>spirochetes</w:t>
      </w:r>
      <w:r w:rsidR="003C5F90"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that cause TBRF are transmitted to humans through the bite of infected “soft ticks” of the genus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. </w:t>
      </w:r>
      <w:r w:rsidR="003C5F90">
        <w:rPr>
          <w:rFonts w:ascii="Arial" w:hAnsi="Arial" w:cs="Arial"/>
          <w:bCs/>
          <w:sz w:val="24"/>
          <w:szCs w:val="24"/>
        </w:rPr>
        <w:t>Each RF group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</w:t>
      </w:r>
      <w:r w:rsidR="003C5F90" w:rsidRPr="008F2EE2">
        <w:rPr>
          <w:rFonts w:ascii="Arial" w:hAnsi="Arial" w:cs="Arial"/>
          <w:bCs/>
          <w:i/>
          <w:sz w:val="24"/>
          <w:szCs w:val="24"/>
        </w:rPr>
        <w:t>Borrelia</w:t>
      </w:r>
      <w:r w:rsidR="003C5F90"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species </w:t>
      </w:r>
      <w:r w:rsidR="003C5F90">
        <w:rPr>
          <w:rFonts w:ascii="Arial" w:hAnsi="Arial" w:cs="Arial"/>
          <w:bCs/>
          <w:sz w:val="24"/>
          <w:szCs w:val="24"/>
        </w:rPr>
        <w:t>is</w:t>
      </w:r>
      <w:r w:rsidR="003C5F90"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usually associated with </w:t>
      </w:r>
      <w:r w:rsidR="003C5F90">
        <w:rPr>
          <w:rFonts w:ascii="Arial" w:hAnsi="Arial" w:cs="Arial"/>
          <w:bCs/>
          <w:sz w:val="24"/>
          <w:szCs w:val="24"/>
        </w:rPr>
        <w:t xml:space="preserve">a 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B. hermsii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hermsi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B, parkerii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parkeri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B. turicatae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>O. turicata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</w:t>
      </w:r>
      <w:r w:rsidR="0046784B">
        <w:rPr>
          <w:rFonts w:ascii="Arial" w:hAnsi="Arial" w:cs="Arial"/>
          <w:bCs/>
          <w:sz w:val="24"/>
          <w:szCs w:val="24"/>
        </w:rPr>
        <w:t xml:space="preserve">incubation </w:t>
      </w:r>
      <w:r w:rsidR="00D510A2">
        <w:rPr>
          <w:rFonts w:ascii="Arial" w:hAnsi="Arial" w:cs="Arial"/>
          <w:bCs/>
          <w:sz w:val="24"/>
          <w:szCs w:val="24"/>
        </w:rPr>
        <w:t>averages one week following a tick bite. Illness is characterized by periods of fever</w:t>
      </w:r>
      <w:r w:rsidR="003C5F90">
        <w:rPr>
          <w:rFonts w:ascii="Arial" w:hAnsi="Arial" w:cs="Arial"/>
          <w:bCs/>
          <w:sz w:val="24"/>
          <w:szCs w:val="24"/>
        </w:rPr>
        <w:t xml:space="preserve">, often exceeding </w:t>
      </w:r>
      <w:r w:rsidR="00611145" w:rsidRPr="00611145">
        <w:rPr>
          <w:rFonts w:ascii="Arial" w:hAnsi="Arial" w:cs="Arial"/>
          <w:bCs/>
          <w:sz w:val="24"/>
          <w:szCs w:val="24"/>
        </w:rPr>
        <w:t>38.8</w:t>
      </w:r>
      <w:r w:rsidR="00611145" w:rsidRPr="008F70F8">
        <w:rPr>
          <w:rFonts w:ascii="Arial" w:hAnsi="Arial" w:cs="Arial"/>
          <w:bCs/>
          <w:sz w:val="24"/>
          <w:szCs w:val="24"/>
          <w:vertAlign w:val="superscript"/>
        </w:rPr>
        <w:t>o</w:t>
      </w:r>
      <w:r w:rsidR="00611145" w:rsidRPr="00611145">
        <w:rPr>
          <w:rFonts w:ascii="Arial" w:hAnsi="Arial" w:cs="Arial"/>
          <w:bCs/>
          <w:sz w:val="24"/>
          <w:szCs w:val="24"/>
        </w:rPr>
        <w:t>C (102°F),</w:t>
      </w:r>
      <w:r w:rsidR="00D510A2">
        <w:rPr>
          <w:rFonts w:ascii="Arial" w:hAnsi="Arial" w:cs="Arial"/>
          <w:bCs/>
          <w:sz w:val="24"/>
          <w:szCs w:val="24"/>
        </w:rPr>
        <w:t xml:space="preserve"> lasting 2-7 days alternating with afebrile periods of 4-14 days. Febrile periods are often </w:t>
      </w:r>
      <w:r w:rsidR="003C5F90">
        <w:rPr>
          <w:rFonts w:ascii="Arial" w:hAnsi="Arial" w:cs="Arial"/>
          <w:bCs/>
          <w:sz w:val="24"/>
          <w:szCs w:val="24"/>
        </w:rPr>
        <w:t>accompanied by</w:t>
      </w:r>
      <w:r w:rsidR="00D510A2">
        <w:rPr>
          <w:rFonts w:ascii="Arial" w:hAnsi="Arial" w:cs="Arial"/>
          <w:bCs/>
          <w:sz w:val="24"/>
          <w:szCs w:val="24"/>
        </w:rPr>
        <w:t xml:space="preserve"> shaking chills, sweats, headache, muscle and joint pain, </w:t>
      </w:r>
      <w:r w:rsidR="00BF35E5">
        <w:rPr>
          <w:rFonts w:ascii="Arial" w:hAnsi="Arial" w:cs="Arial"/>
          <w:bCs/>
          <w:sz w:val="24"/>
          <w:szCs w:val="24"/>
        </w:rPr>
        <w:t>arthralgia, or nausea/vomiting</w:t>
      </w:r>
      <w:r w:rsidR="00D510A2">
        <w:rPr>
          <w:rFonts w:ascii="Arial" w:hAnsi="Arial" w:cs="Arial"/>
          <w:bCs/>
          <w:sz w:val="24"/>
          <w:szCs w:val="24"/>
        </w:rPr>
        <w:t xml:space="preserve">. TBRF may be fatal in 5-10% of untreated cases. TBRF contracted during pregnancy can cause spontaneous abortion, premature birth, and neonatal death. </w:t>
      </w:r>
    </w:p>
    <w:p w14:paraId="0D8DF3E6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19D281EB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3BCED32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0887ADFB" w14:textId="77777777" w:rsidR="009E0E50" w:rsidRDefault="00663779" w:rsidP="00DF1ABB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</w:t>
      </w:r>
      <w:r w:rsidRPr="00B17288">
        <w:rPr>
          <w:rFonts w:ascii="Arial" w:hAnsi="Arial" w:cs="Arial"/>
        </w:rPr>
        <w:t>febrile illness</w:t>
      </w:r>
      <w:r w:rsidR="00A47DAB" w:rsidRPr="00B17288">
        <w:rPr>
          <w:rFonts w:ascii="Arial" w:hAnsi="Arial" w:cs="Arial"/>
        </w:rPr>
        <w:t xml:space="preserve">, </w:t>
      </w:r>
      <w:r w:rsidRPr="00B17288">
        <w:rPr>
          <w:rFonts w:ascii="Arial" w:hAnsi="Arial" w:cs="Arial"/>
        </w:rPr>
        <w:t>with</w:t>
      </w:r>
      <w:r w:rsidR="009E0E50">
        <w:rPr>
          <w:rFonts w:ascii="Arial" w:hAnsi="Arial" w:cs="Arial"/>
        </w:rPr>
        <w:t>:</w:t>
      </w:r>
    </w:p>
    <w:p w14:paraId="582A20BE" w14:textId="49D48724" w:rsidR="009E0E50" w:rsidRDefault="009E0E50" w:rsidP="009E0E50">
      <w:pPr>
        <w:pStyle w:val="Defaul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Measured fever </w:t>
      </w:r>
      <w:r>
        <w:rPr>
          <w:rFonts w:ascii="Arial" w:hAnsi="Arial" w:cs="Arial"/>
          <w:u w:val="single"/>
        </w:rPr>
        <w:t>&gt;</w:t>
      </w:r>
      <w:r>
        <w:rPr>
          <w:rFonts w:ascii="Arial" w:hAnsi="Arial" w:cs="Arial"/>
        </w:rPr>
        <w:t xml:space="preserve"> 38.</w:t>
      </w:r>
      <w:r w:rsidR="00F1491F">
        <w:rPr>
          <w:rFonts w:ascii="Arial" w:hAnsi="Arial" w:cs="Arial"/>
        </w:rPr>
        <w:t>8</w:t>
      </w:r>
      <w:r w:rsidRPr="008F2EE2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>C (10</w:t>
      </w:r>
      <w:r w:rsidR="00F1491F">
        <w:rPr>
          <w:rFonts w:ascii="Arial" w:hAnsi="Arial" w:cs="Arial"/>
        </w:rPr>
        <w:t>2</w:t>
      </w:r>
      <w:r w:rsidRPr="008F2EE2">
        <w:rPr>
          <w:rFonts w:ascii="Arial" w:hAnsi="Arial" w:cs="Arial"/>
          <w:vertAlign w:val="superscript"/>
        </w:rPr>
        <w:t>o</w:t>
      </w:r>
      <w:r>
        <w:rPr>
          <w:rFonts w:ascii="Arial" w:hAnsi="Arial" w:cs="Arial"/>
        </w:rPr>
        <w:t>F)</w:t>
      </w:r>
      <w:r w:rsidR="00994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</w:t>
      </w:r>
    </w:p>
    <w:p w14:paraId="6336F974" w14:textId="322AC29F" w:rsidR="00663779" w:rsidRPr="00D4171A" w:rsidRDefault="009E0E50" w:rsidP="009948D8">
      <w:pPr>
        <w:pStyle w:val="Defaul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96113C" w:rsidRPr="00B17288">
        <w:rPr>
          <w:rFonts w:ascii="Arial" w:hAnsi="Arial" w:cs="Arial"/>
        </w:rPr>
        <w:t>ne or more episode</w:t>
      </w:r>
      <w:r w:rsidR="00BF5F41" w:rsidRPr="00B17288">
        <w:rPr>
          <w:rFonts w:ascii="Arial" w:hAnsi="Arial" w:cs="Arial"/>
        </w:rPr>
        <w:t>s</w:t>
      </w:r>
      <w:r w:rsidR="0096113C" w:rsidRPr="00B17288">
        <w:rPr>
          <w:rFonts w:ascii="Arial" w:hAnsi="Arial" w:cs="Arial"/>
        </w:rPr>
        <w:t xml:space="preserve"> of</w:t>
      </w:r>
      <w:r w:rsidR="00663779" w:rsidRPr="00B17288">
        <w:rPr>
          <w:rFonts w:ascii="Arial" w:hAnsi="Arial" w:cs="Arial"/>
        </w:rPr>
        <w:t xml:space="preserve"> </w:t>
      </w:r>
      <w:r w:rsidR="00AD3287">
        <w:rPr>
          <w:rFonts w:ascii="Arial" w:hAnsi="Arial" w:cs="Arial"/>
        </w:rPr>
        <w:t xml:space="preserve">lower measured or </w:t>
      </w:r>
      <w:r>
        <w:rPr>
          <w:rFonts w:ascii="Arial" w:hAnsi="Arial" w:cs="Arial"/>
        </w:rPr>
        <w:t xml:space="preserve">subjective </w:t>
      </w:r>
      <w:r w:rsidR="006C7AEF" w:rsidRPr="00B17288">
        <w:rPr>
          <w:rFonts w:ascii="Arial" w:hAnsi="Arial" w:cs="Arial"/>
        </w:rPr>
        <w:t>fever</w:t>
      </w:r>
      <w:r w:rsidR="00A47DAB" w:rsidRPr="00B172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</w:t>
      </w:r>
      <w:r w:rsidRPr="002A74A1">
        <w:rPr>
          <w:rFonts w:ascii="Arial" w:hAnsi="Arial" w:cs="Arial"/>
          <w:color w:val="auto"/>
        </w:rPr>
        <w:t xml:space="preserve">D </w:t>
      </w:r>
      <w:r w:rsidR="00B17288" w:rsidRPr="002A74A1">
        <w:rPr>
          <w:rFonts w:ascii="Arial" w:hAnsi="Arial" w:cs="Arial"/>
          <w:color w:val="auto"/>
          <w:lang w:val="en"/>
        </w:rPr>
        <w:t>two or more of the following: headache, myalgia, nausea/vomiting, or arth</w:t>
      </w:r>
      <w:r w:rsidR="00C10919" w:rsidRPr="002A74A1">
        <w:rPr>
          <w:rFonts w:ascii="Arial" w:hAnsi="Arial" w:cs="Arial"/>
          <w:color w:val="auto"/>
          <w:lang w:val="en"/>
        </w:rPr>
        <w:t>r</w:t>
      </w:r>
      <w:r w:rsidR="00B17288" w:rsidRPr="002A74A1">
        <w:rPr>
          <w:rFonts w:ascii="Arial" w:hAnsi="Arial" w:cs="Arial"/>
          <w:color w:val="auto"/>
          <w:lang w:val="en"/>
        </w:rPr>
        <w:t xml:space="preserve">algia. </w:t>
      </w:r>
    </w:p>
    <w:p w14:paraId="4F0CCE93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95DCBC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5E5F33C2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05518899" w14:textId="77777777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Serology can be useful for </w:t>
      </w:r>
      <w:r w:rsidR="00EF49A8">
        <w:rPr>
          <w:rFonts w:ascii="Arial" w:hAnsi="Arial" w:cs="Arial"/>
        </w:rPr>
        <w:t>surveillance</w:t>
      </w:r>
      <w:r>
        <w:rPr>
          <w:rFonts w:ascii="Arial" w:hAnsi="Arial" w:cs="Arial"/>
        </w:rPr>
        <w:t>, however, antibody response may not be detectable in acute samples.</w:t>
      </w:r>
      <w:r w:rsidR="004E2E7F">
        <w:rPr>
          <w:rFonts w:ascii="Arial" w:hAnsi="Arial" w:cs="Arial"/>
        </w:rPr>
        <w:t xml:space="preserve"> </w:t>
      </w:r>
      <w:r w:rsidR="007F3752">
        <w:rPr>
          <w:rFonts w:ascii="Arial" w:hAnsi="Arial" w:cs="Arial"/>
        </w:rPr>
        <w:t>A negative test result may be repeated if early in disease.</w:t>
      </w:r>
      <w:r w:rsidR="002B4B03" w:rsidRPr="002B4B03">
        <w:rPr>
          <w:rFonts w:ascii="Arial" w:hAnsi="Arial" w:cs="Arial"/>
          <w:shd w:val="clear" w:color="auto" w:fill="FFFFFF"/>
        </w:rPr>
        <w:t xml:space="preserve"> </w:t>
      </w:r>
      <w:r w:rsidR="002B4B03">
        <w:rPr>
          <w:rFonts w:ascii="Arial" w:hAnsi="Arial" w:cs="Arial"/>
          <w:shd w:val="clear" w:color="auto" w:fill="FFFFFF"/>
        </w:rPr>
        <w:t>Antibodies stimulated by</w:t>
      </w:r>
      <w:r w:rsidR="002B4B03" w:rsidRPr="008C606D">
        <w:rPr>
          <w:rFonts w:ascii="Arial" w:hAnsi="Arial" w:cs="Arial"/>
          <w:shd w:val="clear" w:color="auto" w:fill="FFFFFF"/>
        </w:rPr>
        <w:t xml:space="preserve"> other </w:t>
      </w:r>
      <w:r w:rsidR="002B4B03" w:rsidRPr="003F0493">
        <w:rPr>
          <w:rFonts w:ascii="Arial" w:hAnsi="Arial" w:cs="Arial"/>
          <w:i/>
          <w:shd w:val="clear" w:color="auto" w:fill="FFFFFF"/>
        </w:rPr>
        <w:t>Borrelia</w:t>
      </w:r>
      <w:r w:rsidR="002B4B03">
        <w:rPr>
          <w:rFonts w:ascii="Arial" w:hAnsi="Arial" w:cs="Arial"/>
          <w:shd w:val="clear" w:color="auto" w:fill="FFFFFF"/>
        </w:rPr>
        <w:t xml:space="preserve"> sp. infections (e.g. </w:t>
      </w:r>
      <w:r w:rsidR="002B4B03" w:rsidRPr="003F0493">
        <w:rPr>
          <w:rFonts w:ascii="Arial" w:hAnsi="Arial" w:cs="Arial"/>
          <w:i/>
          <w:shd w:val="clear" w:color="auto" w:fill="FFFFFF"/>
        </w:rPr>
        <w:t>B. miyamotoi</w:t>
      </w:r>
      <w:r w:rsidR="002B4B03">
        <w:rPr>
          <w:rFonts w:ascii="Arial" w:hAnsi="Arial" w:cs="Arial"/>
          <w:shd w:val="clear" w:color="auto" w:fill="FFFFFF"/>
        </w:rPr>
        <w:t xml:space="preserve">) are expected to cross-react on TBRF serologic assays. Likewise, tests for other spirochetal infections (e.g. Lyme disease) may be false-positive in a patient infected with </w:t>
      </w:r>
      <w:r w:rsidR="002B4B03" w:rsidRPr="003F0493">
        <w:rPr>
          <w:rFonts w:ascii="Arial" w:hAnsi="Arial" w:cs="Arial"/>
          <w:i/>
          <w:shd w:val="clear" w:color="auto" w:fill="FFFFFF"/>
        </w:rPr>
        <w:t>B. hermsii</w:t>
      </w:r>
      <w:r w:rsidR="002B4B03">
        <w:rPr>
          <w:rFonts w:ascii="Arial" w:hAnsi="Arial" w:cs="Arial"/>
          <w:shd w:val="clear" w:color="auto" w:fill="FFFFFF"/>
        </w:rPr>
        <w:t xml:space="preserve">. </w:t>
      </w:r>
      <w:r w:rsidR="002B4B03">
        <w:rPr>
          <w:rFonts w:ascii="Arial" w:hAnsi="Arial" w:cs="Arial"/>
        </w:rPr>
        <w:t>Epidemiological information including e</w:t>
      </w:r>
      <w:r w:rsidR="002B4B03" w:rsidRPr="008C606D">
        <w:rPr>
          <w:rFonts w:ascii="Arial" w:hAnsi="Arial" w:cs="Arial"/>
        </w:rPr>
        <w:t>xposure history</w:t>
      </w:r>
      <w:r w:rsidR="002B4B03">
        <w:rPr>
          <w:rFonts w:ascii="Arial" w:hAnsi="Arial" w:cs="Arial"/>
        </w:rPr>
        <w:t xml:space="preserve"> is</w:t>
      </w:r>
      <w:r w:rsidR="002B4B03" w:rsidRPr="008C606D">
        <w:rPr>
          <w:rFonts w:ascii="Arial" w:hAnsi="Arial" w:cs="Arial"/>
        </w:rPr>
        <w:t xml:space="preserve"> crucial to differentiat</w:t>
      </w:r>
      <w:r w:rsidR="002B4B03">
        <w:rPr>
          <w:rFonts w:ascii="Arial" w:hAnsi="Arial" w:cs="Arial"/>
        </w:rPr>
        <w:t>e</w:t>
      </w:r>
      <w:r w:rsidR="002B4B03" w:rsidRPr="008C606D">
        <w:rPr>
          <w:rFonts w:ascii="Arial" w:hAnsi="Arial" w:cs="Arial"/>
        </w:rPr>
        <w:t xml:space="preserve"> positive </w:t>
      </w:r>
      <w:r w:rsidR="002B4B03">
        <w:rPr>
          <w:rFonts w:ascii="Arial" w:hAnsi="Arial" w:cs="Arial"/>
        </w:rPr>
        <w:t>serology results</w:t>
      </w:r>
      <w:r w:rsidR="002B4B03" w:rsidRPr="008C606D">
        <w:rPr>
          <w:rFonts w:ascii="Arial" w:hAnsi="Arial" w:cs="Arial"/>
        </w:rPr>
        <w:t>.</w:t>
      </w:r>
    </w:p>
    <w:p w14:paraId="23F2175F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19775D6C" w14:textId="77777777" w:rsidR="00D32415" w:rsidRPr="00D4171A" w:rsidRDefault="009E0E50" w:rsidP="00663779">
      <w:pPr>
        <w:pStyle w:val="Default"/>
        <w:spacing w:after="46"/>
        <w:rPr>
          <w:rFonts w:ascii="Arial" w:hAnsi="Arial" w:cs="Arial"/>
        </w:rPr>
      </w:pPr>
      <w:r>
        <w:rPr>
          <w:rFonts w:ascii="Arial" w:hAnsi="Arial" w:cs="Arial"/>
        </w:rPr>
        <w:t>Confirmatory</w:t>
      </w:r>
      <w:r w:rsidR="00D32415" w:rsidRPr="00D4171A">
        <w:rPr>
          <w:rFonts w:ascii="Arial" w:hAnsi="Arial" w:cs="Arial"/>
        </w:rPr>
        <w:t>:</w:t>
      </w:r>
    </w:p>
    <w:p w14:paraId="1347BDC5" w14:textId="789B2093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r w:rsidR="00663779" w:rsidRPr="00D4171A">
        <w:rPr>
          <w:rFonts w:ascii="Arial" w:hAnsi="Arial" w:cs="Arial"/>
          <w:i/>
          <w:iCs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 w:rsidR="00494F45">
        <w:rPr>
          <w:rFonts w:ascii="Arial" w:hAnsi="Arial" w:cs="Arial"/>
          <w:i/>
        </w:rPr>
        <w:t xml:space="preserve">, B. parkerii,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turicatae</w:t>
      </w:r>
      <w:r w:rsidR="00663779" w:rsidRPr="00D4171A">
        <w:rPr>
          <w:rFonts w:ascii="Arial" w:hAnsi="Arial" w:cs="Arial"/>
        </w:rPr>
        <w:t xml:space="preserve"> from blood </w:t>
      </w:r>
      <w:r w:rsidR="00B17288">
        <w:rPr>
          <w:rFonts w:ascii="Arial" w:hAnsi="Arial" w:cs="Arial"/>
        </w:rPr>
        <w:t xml:space="preserve">using </w:t>
      </w:r>
      <w:r w:rsidR="00D06DBF">
        <w:rPr>
          <w:rFonts w:ascii="Arial" w:hAnsi="Arial" w:cs="Arial"/>
        </w:rPr>
        <w:t xml:space="preserve">a </w:t>
      </w:r>
      <w:r w:rsidR="00D06DBF" w:rsidRPr="008F2EE2">
        <w:rPr>
          <w:rFonts w:ascii="Arial" w:hAnsi="Arial" w:cs="Arial"/>
          <w:i/>
        </w:rPr>
        <w:t>Borrelia</w:t>
      </w:r>
      <w:r w:rsidR="00D06DBF">
        <w:rPr>
          <w:rFonts w:ascii="Arial" w:hAnsi="Arial" w:cs="Arial"/>
        </w:rPr>
        <w:t xml:space="preserve">-specific medium such as </w:t>
      </w:r>
      <w:r w:rsidR="00B17288" w:rsidRPr="00E60AEA">
        <w:rPr>
          <w:rFonts w:ascii="Arial" w:hAnsi="Arial" w:cs="Arial"/>
        </w:rPr>
        <w:t xml:space="preserve">Barbour-Stoenner-Kelly </w:t>
      </w:r>
      <w:r w:rsidR="009948D8">
        <w:rPr>
          <w:rFonts w:ascii="Arial" w:hAnsi="Arial" w:cs="Arial"/>
        </w:rPr>
        <w:t xml:space="preserve">(BSK) </w:t>
      </w:r>
      <w:r w:rsidR="00B17288" w:rsidRPr="00E60AEA">
        <w:rPr>
          <w:rFonts w:ascii="Arial" w:hAnsi="Arial" w:cs="Arial"/>
        </w:rPr>
        <w:t>broth medium</w:t>
      </w:r>
      <w:r w:rsidR="00A56B04">
        <w:rPr>
          <w:rFonts w:ascii="Arial" w:hAnsi="Arial" w:cs="Arial"/>
        </w:rPr>
        <w:t>.</w:t>
      </w:r>
    </w:p>
    <w:p w14:paraId="4247F79F" w14:textId="66C276FB" w:rsidR="00175991" w:rsidRPr="008F70F8" w:rsidRDefault="006C7AEF" w:rsidP="00663779">
      <w:pPr>
        <w:pStyle w:val="Default"/>
        <w:rPr>
          <w:rFonts w:ascii="Arial" w:hAnsi="Arial" w:cs="Arial"/>
          <w:vertAlign w:val="superscript"/>
        </w:rPr>
      </w:pPr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r w:rsidR="00494F45" w:rsidRPr="00D4171A">
        <w:rPr>
          <w:rFonts w:ascii="Arial" w:hAnsi="Arial" w:cs="Arial"/>
          <w:i/>
          <w:iCs/>
        </w:rPr>
        <w:t xml:space="preserve">Borrelia </w:t>
      </w:r>
      <w:r w:rsidR="00494F45" w:rsidRPr="00D4171A">
        <w:rPr>
          <w:rFonts w:ascii="Arial" w:hAnsi="Arial" w:cs="Arial"/>
          <w:i/>
        </w:rPr>
        <w:t>hermsii</w:t>
      </w:r>
      <w:r w:rsidR="00494F45">
        <w:rPr>
          <w:rFonts w:ascii="Arial" w:hAnsi="Arial" w:cs="Arial"/>
          <w:i/>
        </w:rPr>
        <w:t xml:space="preserve">, B. parkerii,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turicatae</w:t>
      </w:r>
      <w:r w:rsidR="00494F45" w:rsidRPr="00D4171A">
        <w:rPr>
          <w:rFonts w:ascii="Arial" w:hAnsi="Arial" w:cs="Arial"/>
        </w:rPr>
        <w:t xml:space="preserve"> </w:t>
      </w:r>
      <w:r w:rsidR="001D2F29" w:rsidRPr="00D4171A">
        <w:rPr>
          <w:rFonts w:ascii="Arial" w:hAnsi="Arial" w:cs="Arial"/>
        </w:rPr>
        <w:t>detection through nucleic acid testing, such as PCR</w:t>
      </w:r>
      <w:r w:rsidR="00C867A4" w:rsidRPr="009948D8">
        <w:rPr>
          <w:rFonts w:ascii="Arial" w:hAnsi="Arial" w:cs="Arial"/>
          <w:b/>
        </w:rPr>
        <w:t xml:space="preserve">, </w:t>
      </w:r>
      <w:r w:rsidR="009948D8" w:rsidRPr="009948D8">
        <w:rPr>
          <w:rFonts w:ascii="Arial" w:hAnsi="Arial" w:cs="Arial"/>
        </w:rPr>
        <w:t>which</w:t>
      </w:r>
      <w:r w:rsidR="00C867A4" w:rsidRPr="009948D8">
        <w:rPr>
          <w:rFonts w:ascii="Arial" w:hAnsi="Arial" w:cs="Arial"/>
        </w:rPr>
        <w:t xml:space="preserve"> </w:t>
      </w:r>
      <w:r w:rsidR="0081377B">
        <w:rPr>
          <w:rFonts w:ascii="Arial" w:hAnsi="Arial" w:cs="Arial"/>
        </w:rPr>
        <w:t>differentiate</w:t>
      </w:r>
      <w:r w:rsidR="009948D8">
        <w:rPr>
          <w:rFonts w:ascii="Arial" w:hAnsi="Arial" w:cs="Arial"/>
        </w:rPr>
        <w:t>s</w:t>
      </w:r>
      <w:r w:rsidR="0081377B">
        <w:rPr>
          <w:rFonts w:ascii="Arial" w:hAnsi="Arial" w:cs="Arial"/>
        </w:rPr>
        <w:t xml:space="preserve"> </w:t>
      </w:r>
      <w:r w:rsidR="00C867A4">
        <w:rPr>
          <w:rFonts w:ascii="Arial" w:hAnsi="Arial" w:cs="Arial"/>
        </w:rPr>
        <w:t xml:space="preserve">soft-tick relapsing fever </w:t>
      </w:r>
      <w:r w:rsidR="00C867A4" w:rsidRPr="009F0210">
        <w:rPr>
          <w:rFonts w:ascii="Arial" w:hAnsi="Arial" w:cs="Arial"/>
          <w:i/>
        </w:rPr>
        <w:t>Borrelia</w:t>
      </w:r>
      <w:r w:rsidR="00C867A4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C867A4">
        <w:rPr>
          <w:rFonts w:ascii="Arial" w:hAnsi="Arial" w:cs="Arial"/>
        </w:rPr>
        <w:t xml:space="preserve"> </w:t>
      </w:r>
      <w:r w:rsidR="00C867A4" w:rsidRPr="009F0210">
        <w:rPr>
          <w:rFonts w:ascii="Arial" w:hAnsi="Arial" w:cs="Arial"/>
          <w:i/>
        </w:rPr>
        <w:t>Borrelia</w:t>
      </w:r>
      <w:r w:rsidR="00C867A4">
        <w:rPr>
          <w:rFonts w:ascii="Arial" w:hAnsi="Arial" w:cs="Arial"/>
        </w:rPr>
        <w:t xml:space="preserve"> sp.</w:t>
      </w:r>
      <w:r w:rsidR="007D0564">
        <w:rPr>
          <w:rFonts w:ascii="Arial" w:hAnsi="Arial" w:cs="Arial"/>
          <w:vertAlign w:val="superscript"/>
        </w:rPr>
        <w:t>1</w:t>
      </w:r>
    </w:p>
    <w:p w14:paraId="5DF36C6C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E934705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53187836" w14:textId="723DA607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Identification of </w:t>
      </w:r>
      <w:r w:rsidR="005D4E7D" w:rsidRPr="009948D8">
        <w:rPr>
          <w:rFonts w:ascii="Arial" w:hAnsi="Arial" w:cs="Arial"/>
          <w:i/>
        </w:rPr>
        <w:t>Borrelia</w:t>
      </w:r>
      <w:r w:rsidR="005D4E7D">
        <w:rPr>
          <w:rFonts w:ascii="Arial" w:hAnsi="Arial" w:cs="Arial"/>
        </w:rPr>
        <w:t xml:space="preserve"> </w:t>
      </w:r>
      <w:r w:rsidRPr="00D4171A">
        <w:rPr>
          <w:rFonts w:ascii="Arial" w:hAnsi="Arial" w:cs="Arial"/>
        </w:rPr>
        <w:t xml:space="preserve">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>peripheral blood, bone marrow, or cerebral spinal fluid (CSF)</w:t>
      </w:r>
      <w:r w:rsidR="00A56B04">
        <w:rPr>
          <w:rFonts w:ascii="Arial" w:hAnsi="Arial" w:cs="Arial"/>
        </w:rPr>
        <w:t>.</w:t>
      </w:r>
    </w:p>
    <w:p w14:paraId="7145D726" w14:textId="421759D9" w:rsidR="00BA0B2A" w:rsidRDefault="00BA0B2A" w:rsidP="00BA0B2A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r>
        <w:rPr>
          <w:rFonts w:ascii="Arial" w:hAnsi="Arial" w:cs="Arial"/>
          <w:i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>
        <w:rPr>
          <w:rFonts w:ascii="Arial" w:hAnsi="Arial" w:cs="Arial"/>
          <w:i/>
        </w:rPr>
        <w:t xml:space="preserve">, B. parkerii,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turicatae </w:t>
      </w:r>
      <w:r>
        <w:rPr>
          <w:rFonts w:ascii="Arial" w:hAnsi="Arial" w:cs="Arial"/>
        </w:rPr>
        <w:t>infection</w:t>
      </w:r>
      <w:r>
        <w:rPr>
          <w:rFonts w:ascii="Arial" w:hAnsi="Arial" w:cs="Arial"/>
        </w:rPr>
        <w:t xml:space="preserve"> by EIA positive or equivocal followed by</w:t>
      </w:r>
      <w:r w:rsidR="00A56B04">
        <w:rPr>
          <w:rFonts w:ascii="Arial" w:hAnsi="Arial" w:cs="Arial"/>
        </w:rPr>
        <w:t xml:space="preserve"> a positive IgM or IgG western immunoblot (WB).</w:t>
      </w:r>
    </w:p>
    <w:p w14:paraId="4694FE9A" w14:textId="77777777" w:rsidR="00BA0B2A" w:rsidRDefault="00BA0B2A" w:rsidP="00706A7B">
      <w:pPr>
        <w:pStyle w:val="Default"/>
        <w:rPr>
          <w:rFonts w:ascii="Arial" w:hAnsi="Arial" w:cs="Arial"/>
          <w:iCs/>
        </w:rPr>
      </w:pPr>
    </w:p>
    <w:p w14:paraId="257B7962" w14:textId="322B12F1" w:rsidR="00D91ECD" w:rsidRPr="00BA0B2A" w:rsidRDefault="00D91ECD" w:rsidP="00706A7B">
      <w:pPr>
        <w:pStyle w:val="Default"/>
        <w:rPr>
          <w:rFonts w:ascii="Arial" w:hAnsi="Arial" w:cs="Arial"/>
          <w:iCs/>
        </w:rPr>
      </w:pPr>
      <w:r w:rsidRPr="00BA0B2A">
        <w:rPr>
          <w:rFonts w:ascii="Arial" w:hAnsi="Arial" w:cs="Arial"/>
          <w:iCs/>
        </w:rPr>
        <w:t>Supportive:</w:t>
      </w:r>
    </w:p>
    <w:p w14:paraId="0CEC6186" w14:textId="14DEA4B0" w:rsidR="00D91ECD" w:rsidRPr="00D91ECD" w:rsidRDefault="00D91ECD" w:rsidP="00BA0B2A">
      <w:pPr>
        <w:pStyle w:val="Default"/>
        <w:numPr>
          <w:ilvl w:val="0"/>
          <w:numId w:val="8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r>
        <w:rPr>
          <w:rFonts w:ascii="Arial" w:hAnsi="Arial" w:cs="Arial"/>
          <w:i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>
        <w:rPr>
          <w:rFonts w:ascii="Arial" w:hAnsi="Arial" w:cs="Arial"/>
          <w:i/>
        </w:rPr>
        <w:t xml:space="preserve">, B. parkerii,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turicatae </w:t>
      </w:r>
      <w:r>
        <w:rPr>
          <w:rFonts w:ascii="Arial" w:hAnsi="Arial" w:cs="Arial"/>
        </w:rPr>
        <w:t>infection by</w:t>
      </w:r>
      <w:r w:rsidR="00A56B04">
        <w:rPr>
          <w:rFonts w:ascii="Arial" w:hAnsi="Arial" w:cs="Arial"/>
        </w:rPr>
        <w:t xml:space="preserve"> single</w:t>
      </w:r>
      <w:r>
        <w:rPr>
          <w:rFonts w:ascii="Arial" w:hAnsi="Arial" w:cs="Arial"/>
        </w:rPr>
        <w:t xml:space="preserve"> EIA, </w:t>
      </w:r>
      <w:r w:rsidR="00A56B04">
        <w:rPr>
          <w:rFonts w:ascii="Arial" w:hAnsi="Arial" w:cs="Arial"/>
        </w:rPr>
        <w:t xml:space="preserve">IFA, </w:t>
      </w:r>
      <w:r>
        <w:rPr>
          <w:rFonts w:ascii="Arial" w:hAnsi="Arial" w:cs="Arial"/>
        </w:rPr>
        <w:t xml:space="preserve">WB, or another method specific for relapsing fever </w:t>
      </w:r>
      <w:r w:rsidRPr="008F70F8">
        <w:rPr>
          <w:rFonts w:ascii="Arial" w:hAnsi="Arial" w:cs="Arial"/>
          <w:i/>
        </w:rPr>
        <w:t>Borrelia</w:t>
      </w:r>
      <w:r w:rsidR="00A56B04">
        <w:rPr>
          <w:rFonts w:ascii="Arial" w:hAnsi="Arial" w:cs="Arial"/>
        </w:rPr>
        <w:t xml:space="preserve"> species.</w:t>
      </w:r>
      <w:r>
        <w:rPr>
          <w:rFonts w:ascii="Arial" w:hAnsi="Arial" w:cs="Arial"/>
        </w:rPr>
        <w:t xml:space="preserve">  </w:t>
      </w:r>
    </w:p>
    <w:p w14:paraId="440D403F" w14:textId="74B77094" w:rsidR="0085526A" w:rsidRDefault="0085526A" w:rsidP="00BA0B2A">
      <w:pPr>
        <w:pStyle w:val="Default"/>
        <w:numPr>
          <w:ilvl w:val="0"/>
          <w:numId w:val="8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 xml:space="preserve">Borrelia </w:t>
      </w:r>
      <w:r w:rsidRPr="00D4171A">
        <w:rPr>
          <w:rFonts w:ascii="Arial" w:hAnsi="Arial" w:cs="Arial"/>
          <w:i/>
        </w:rPr>
        <w:t>hermsii</w:t>
      </w:r>
      <w:r>
        <w:rPr>
          <w:rFonts w:ascii="Arial" w:hAnsi="Arial" w:cs="Arial"/>
          <w:i/>
        </w:rPr>
        <w:t xml:space="preserve">, B. parkerii,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turicatae</w:t>
      </w:r>
      <w:r w:rsidRPr="00D4171A">
        <w:rPr>
          <w:rFonts w:ascii="Arial" w:hAnsi="Arial" w:cs="Arial"/>
        </w:rPr>
        <w:t xml:space="preserve"> detection through nucleic acid testing, such as PCR</w:t>
      </w:r>
      <w:r>
        <w:rPr>
          <w:rFonts w:ascii="Arial" w:hAnsi="Arial" w:cs="Arial"/>
        </w:rPr>
        <w:t xml:space="preserve">, </w:t>
      </w:r>
      <w:r w:rsidRPr="00FA1B51">
        <w:rPr>
          <w:rFonts w:ascii="Arial" w:hAnsi="Arial" w:cs="Arial"/>
        </w:rPr>
        <w:t>which does not</w:t>
      </w:r>
      <w:r>
        <w:rPr>
          <w:rFonts w:ascii="Arial" w:hAnsi="Arial" w:cs="Arial"/>
        </w:rPr>
        <w:t xml:space="preserve"> differentiate soft-tick relapsing fever </w:t>
      </w:r>
      <w:r w:rsidRPr="009F0210">
        <w:rPr>
          <w:rFonts w:ascii="Arial" w:hAnsi="Arial" w:cs="Arial"/>
          <w:i/>
        </w:rPr>
        <w:t>Borrelia</w:t>
      </w:r>
      <w:r>
        <w:rPr>
          <w:rFonts w:ascii="Arial" w:hAnsi="Arial" w:cs="Arial"/>
        </w:rPr>
        <w:t xml:space="preserve"> spp. from other relapsing fever </w:t>
      </w:r>
      <w:r w:rsidRPr="009F0210">
        <w:rPr>
          <w:rFonts w:ascii="Arial" w:hAnsi="Arial" w:cs="Arial"/>
          <w:i/>
        </w:rPr>
        <w:t>Borrelia</w:t>
      </w:r>
      <w:r>
        <w:rPr>
          <w:rFonts w:ascii="Arial" w:hAnsi="Arial" w:cs="Arial"/>
        </w:rPr>
        <w:t xml:space="preserve"> sp.</w:t>
      </w:r>
      <w:r>
        <w:rPr>
          <w:rFonts w:ascii="Arial" w:hAnsi="Arial" w:cs="Arial"/>
          <w:vertAlign w:val="superscript"/>
        </w:rPr>
        <w:t xml:space="preserve">2 </w:t>
      </w:r>
    </w:p>
    <w:p w14:paraId="32BF66E8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4905E55F" w14:textId="77777777" w:rsidR="007D0564" w:rsidRDefault="007D0564" w:rsidP="00663779">
      <w:pPr>
        <w:pStyle w:val="Default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 w:rsidR="00FD5270">
        <w:rPr>
          <w:rFonts w:ascii="Arial" w:hAnsi="Arial" w:cs="Arial"/>
        </w:rPr>
        <w:t>This includes</w:t>
      </w:r>
      <w:r>
        <w:rPr>
          <w:rFonts w:ascii="Arial" w:hAnsi="Arial" w:cs="Arial"/>
        </w:rPr>
        <w:t xml:space="preserve"> only PCR test</w:t>
      </w:r>
      <w:r w:rsidR="00FD527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that can differentiate </w:t>
      </w:r>
      <w:r w:rsidR="00FD5270">
        <w:rPr>
          <w:rFonts w:ascii="Arial" w:hAnsi="Arial" w:cs="Arial"/>
        </w:rPr>
        <w:t xml:space="preserve">individual </w:t>
      </w:r>
      <w:r>
        <w:rPr>
          <w:rFonts w:ascii="Arial" w:hAnsi="Arial" w:cs="Arial"/>
        </w:rPr>
        <w:t xml:space="preserve">species of relapsing fever </w:t>
      </w:r>
      <w:r w:rsidRPr="00A42A0B">
        <w:rPr>
          <w:rFonts w:ascii="Arial" w:hAnsi="Arial" w:cs="Arial"/>
          <w:i/>
        </w:rPr>
        <w:t>Borrelia</w:t>
      </w:r>
      <w:r w:rsidR="00FD5270">
        <w:rPr>
          <w:rFonts w:ascii="Arial" w:hAnsi="Arial" w:cs="Arial"/>
          <w:i/>
        </w:rPr>
        <w:t xml:space="preserve">. </w:t>
      </w:r>
      <w:r w:rsidR="00FD5270">
        <w:rPr>
          <w:rFonts w:ascii="Arial" w:hAnsi="Arial" w:cs="Arial"/>
        </w:rPr>
        <w:t xml:space="preserve">At the time of writing, this </w:t>
      </w:r>
      <w:r w:rsidR="00BB60E1">
        <w:rPr>
          <w:rFonts w:ascii="Arial" w:hAnsi="Arial" w:cs="Arial"/>
        </w:rPr>
        <w:t xml:space="preserve">type of </w:t>
      </w:r>
      <w:r w:rsidR="00FD5270">
        <w:rPr>
          <w:rFonts w:ascii="Arial" w:hAnsi="Arial" w:cs="Arial"/>
        </w:rPr>
        <w:t>test</w:t>
      </w:r>
      <w:r>
        <w:rPr>
          <w:rFonts w:ascii="Arial" w:hAnsi="Arial" w:cs="Arial"/>
        </w:rPr>
        <w:t xml:space="preserve"> is </w:t>
      </w:r>
      <w:r w:rsidR="00FD5270">
        <w:rPr>
          <w:rFonts w:ascii="Arial" w:hAnsi="Arial" w:cs="Arial"/>
        </w:rPr>
        <w:t xml:space="preserve">only </w:t>
      </w:r>
      <w:r>
        <w:rPr>
          <w:rFonts w:ascii="Arial" w:hAnsi="Arial" w:cs="Arial"/>
        </w:rPr>
        <w:t>available from CDC.</w:t>
      </w:r>
    </w:p>
    <w:p w14:paraId="023D42DC" w14:textId="77777777" w:rsidR="0023464A" w:rsidRPr="00A42A0B" w:rsidRDefault="0023464A" w:rsidP="00663779">
      <w:pPr>
        <w:pStyle w:val="Default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This includes PCR tests that are specific to relapsing fever </w:t>
      </w:r>
      <w:r w:rsidRPr="00A42A0B">
        <w:rPr>
          <w:rFonts w:ascii="Arial" w:hAnsi="Arial" w:cs="Arial"/>
          <w:i/>
        </w:rPr>
        <w:t>Borrelia</w:t>
      </w:r>
      <w:r>
        <w:rPr>
          <w:rFonts w:ascii="Arial" w:hAnsi="Arial" w:cs="Arial"/>
        </w:rPr>
        <w:t xml:space="preserve"> sp. but that cannot differentiate individual species. This does not include pan-</w:t>
      </w:r>
      <w:r w:rsidRPr="00A42A0B">
        <w:rPr>
          <w:rFonts w:ascii="Arial" w:hAnsi="Arial" w:cs="Arial"/>
          <w:i/>
        </w:rPr>
        <w:t>Borrelia</w:t>
      </w:r>
      <w:r>
        <w:rPr>
          <w:rFonts w:ascii="Arial" w:hAnsi="Arial" w:cs="Arial"/>
        </w:rPr>
        <w:t xml:space="preserve"> PCR tests.</w:t>
      </w:r>
    </w:p>
    <w:p w14:paraId="033AA121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7B443319" w14:textId="77777777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2693B32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0495CD0C" w14:textId="3DCE7E07" w:rsidR="00371D3F" w:rsidRDefault="0022137B" w:rsidP="00357D1B">
      <w:pPr>
        <w:pStyle w:val="Default"/>
        <w:rPr>
          <w:rFonts w:ascii="Arial" w:hAnsi="Arial" w:cs="Arial"/>
          <w:bCs/>
        </w:rPr>
      </w:pPr>
      <w:r>
        <w:rPr>
          <w:rFonts w:ascii="Helvetica" w:eastAsia="Times New Roman" w:hAnsi="Helvetica"/>
        </w:rPr>
        <w:t xml:space="preserve">The habitats for the TBRF </w:t>
      </w:r>
      <w:r>
        <w:rPr>
          <w:rStyle w:val="Emphasis"/>
          <w:rFonts w:ascii="Helvetica" w:eastAsia="Times New Roman" w:hAnsi="Helvetica"/>
        </w:rPr>
        <w:t>Borrelia</w:t>
      </w:r>
      <w:r>
        <w:rPr>
          <w:rFonts w:ascii="Helvetica" w:eastAsia="Times New Roman" w:hAnsi="Helvetica"/>
        </w:rPr>
        <w:t xml:space="preserve"> spp. are sympatric with that of their </w:t>
      </w:r>
      <w:r>
        <w:rPr>
          <w:rStyle w:val="Emphasis"/>
          <w:rFonts w:ascii="Helvetica" w:eastAsia="Times New Roman" w:hAnsi="Helvetica"/>
        </w:rPr>
        <w:t>Ornithodoros</w:t>
      </w:r>
      <w:r>
        <w:rPr>
          <w:rFonts w:ascii="Helvetica" w:eastAsia="Times New Roman" w:hAnsi="Helvetica"/>
        </w:rPr>
        <w:t xml:space="preserve"> spp. tick vectors. </w:t>
      </w:r>
      <w:r>
        <w:rPr>
          <w:rStyle w:val="Emphasis"/>
          <w:rFonts w:ascii="Helvetica" w:eastAsia="Times New Roman" w:hAnsi="Helvetica"/>
        </w:rPr>
        <w:t>Ornithodoros hermsi</w:t>
      </w:r>
      <w:r>
        <w:rPr>
          <w:rFonts w:ascii="Helvetica" w:eastAsia="Times New Roman" w:hAnsi="Helvetica"/>
        </w:rPr>
        <w:t xml:space="preserve">, the vector for </w:t>
      </w:r>
      <w:r>
        <w:rPr>
          <w:rStyle w:val="Emphasis"/>
          <w:rFonts w:ascii="Helvetica" w:eastAsia="Times New Roman" w:hAnsi="Helvetica"/>
        </w:rPr>
        <w:t>B. hermsii</w:t>
      </w:r>
      <w:r>
        <w:rPr>
          <w:rFonts w:ascii="Helvetica" w:eastAsia="Times New Roman" w:hAnsi="Helvetica"/>
        </w:rPr>
        <w:t>, is typically found in rodent nests in mountainous areas</w:t>
      </w:r>
      <w:r w:rsidR="00463A42">
        <w:rPr>
          <w:rFonts w:ascii="Helvetica" w:eastAsia="Times New Roman" w:hAnsi="Helvetica"/>
        </w:rPr>
        <w:t xml:space="preserve"> above </w:t>
      </w:r>
      <w:r w:rsidR="00EF38BB">
        <w:rPr>
          <w:rFonts w:ascii="Helvetica" w:eastAsia="Times New Roman" w:hAnsi="Helvetica"/>
        </w:rPr>
        <w:t>450</w:t>
      </w:r>
      <w:r w:rsidR="00463A42">
        <w:rPr>
          <w:rFonts w:ascii="Helvetica" w:eastAsia="Times New Roman" w:hAnsi="Helvetica"/>
        </w:rPr>
        <w:t xml:space="preserve"> m (</w:t>
      </w:r>
      <w:r w:rsidR="00EF38BB">
        <w:rPr>
          <w:rFonts w:ascii="Helvetica" w:eastAsia="Times New Roman" w:hAnsi="Helvetica"/>
        </w:rPr>
        <w:t>1,500</w:t>
      </w:r>
      <w:r w:rsidR="00463A42">
        <w:rPr>
          <w:rFonts w:ascii="Helvetica" w:eastAsia="Times New Roman" w:hAnsi="Helvetica"/>
        </w:rPr>
        <w:t xml:space="preserve"> ft) elevation</w:t>
      </w:r>
      <w:r>
        <w:rPr>
          <w:rFonts w:ascii="Helvetica" w:eastAsia="Times New Roman" w:hAnsi="Helvetica"/>
        </w:rPr>
        <w:t xml:space="preserve"> where chipmunks or squirrels are present. The vector for </w:t>
      </w:r>
      <w:r>
        <w:rPr>
          <w:rStyle w:val="Emphasis"/>
          <w:rFonts w:ascii="Helvetica" w:eastAsia="Times New Roman" w:hAnsi="Helvetica"/>
        </w:rPr>
        <w:t>B. parkerii</w:t>
      </w:r>
      <w:r>
        <w:rPr>
          <w:rFonts w:ascii="Helvetica" w:eastAsia="Times New Roman" w:hAnsi="Helvetica"/>
        </w:rPr>
        <w:t xml:space="preserve">, </w:t>
      </w:r>
      <w:r>
        <w:rPr>
          <w:rStyle w:val="Emphasis"/>
          <w:rFonts w:ascii="Helvetica" w:eastAsia="Times New Roman" w:hAnsi="Helvetica"/>
        </w:rPr>
        <w:t>O. parkeri</w:t>
      </w:r>
      <w:r>
        <w:rPr>
          <w:rFonts w:ascii="Helvetica" w:eastAsia="Times New Roman" w:hAnsi="Helvetica"/>
        </w:rPr>
        <w:t xml:space="preserve">, is found at lower </w:t>
      </w:r>
      <w:r w:rsidR="009F7178">
        <w:rPr>
          <w:rFonts w:ascii="Helvetica" w:eastAsia="Times New Roman" w:hAnsi="Helvetica"/>
        </w:rPr>
        <w:t>elevations</w:t>
      </w:r>
      <w:r>
        <w:rPr>
          <w:rFonts w:ascii="Helvetica" w:eastAsia="Times New Roman" w:hAnsi="Helvetica"/>
        </w:rPr>
        <w:t xml:space="preserve"> in the Southwest and inhabits burrows of prairie dogs, ground squirrels and burrowing owls. </w:t>
      </w:r>
      <w:r>
        <w:rPr>
          <w:rStyle w:val="Emphasis"/>
          <w:rFonts w:ascii="Helvetica" w:eastAsia="Times New Roman" w:hAnsi="Helvetica"/>
        </w:rPr>
        <w:t>Ornithodoros turicata</w:t>
      </w:r>
      <w:r>
        <w:rPr>
          <w:rFonts w:ascii="Helvetica" w:eastAsia="Times New Roman" w:hAnsi="Helvetica"/>
        </w:rPr>
        <w:t xml:space="preserve">, the vector for </w:t>
      </w:r>
      <w:r>
        <w:rPr>
          <w:rStyle w:val="Emphasis"/>
          <w:rFonts w:ascii="Helvetica" w:eastAsia="Times New Roman" w:hAnsi="Helvetica"/>
        </w:rPr>
        <w:t>B. turicatae</w:t>
      </w:r>
      <w:r>
        <w:rPr>
          <w:rFonts w:ascii="Helvetica" w:eastAsia="Times New Roman" w:hAnsi="Helvetica"/>
        </w:rPr>
        <w:t xml:space="preserve">, occurs in caves, </w:t>
      </w:r>
      <w:r w:rsidR="009F7178">
        <w:rPr>
          <w:rFonts w:ascii="Helvetica" w:eastAsia="Times New Roman" w:hAnsi="Helvetica"/>
        </w:rPr>
        <w:t xml:space="preserve">and </w:t>
      </w:r>
      <w:r>
        <w:rPr>
          <w:rFonts w:ascii="Helvetica" w:eastAsia="Times New Roman" w:hAnsi="Helvetica"/>
        </w:rPr>
        <w:t xml:space="preserve">nests and burrows </w:t>
      </w:r>
      <w:r w:rsidR="009F7178">
        <w:rPr>
          <w:rFonts w:ascii="Helvetica" w:eastAsia="Times New Roman" w:hAnsi="Helvetica"/>
        </w:rPr>
        <w:t xml:space="preserve">of prairie dogs and ground squirrels </w:t>
      </w:r>
      <w:r>
        <w:rPr>
          <w:rFonts w:ascii="Helvetica" w:eastAsia="Times New Roman" w:hAnsi="Helvetica"/>
        </w:rPr>
        <w:t>in the plains regions of the Southwest.</w:t>
      </w:r>
      <w:r>
        <w:rPr>
          <w:rFonts w:ascii="Helvetica" w:eastAsia="Times New Roman" w:hAnsi="Helvetica"/>
        </w:rPr>
        <w:br/>
      </w:r>
    </w:p>
    <w:p w14:paraId="01E7F8B0" w14:textId="77777777" w:rsidR="000D4481" w:rsidRDefault="004C7907" w:rsidP="00357D1B">
      <w:pPr>
        <w:pStyle w:val="Default"/>
        <w:rPr>
          <w:rFonts w:ascii="Arial" w:hAnsi="Arial" w:cs="Arial"/>
          <w:bCs/>
        </w:rPr>
      </w:pPr>
      <w:r w:rsidRPr="00D4171A">
        <w:rPr>
          <w:rFonts w:ascii="Arial" w:hAnsi="Arial" w:cs="Arial"/>
          <w:bCs/>
        </w:rPr>
        <w:t xml:space="preserve">Exposure is defined as </w:t>
      </w:r>
      <w:r w:rsidR="0046784B">
        <w:rPr>
          <w:rFonts w:ascii="Arial" w:hAnsi="Arial" w:cs="Arial"/>
          <w:bCs/>
        </w:rPr>
        <w:t>living</w:t>
      </w:r>
      <w:r w:rsidR="003F0899">
        <w:rPr>
          <w:rFonts w:ascii="Arial" w:hAnsi="Arial" w:cs="Arial"/>
          <w:bCs/>
        </w:rPr>
        <w:t xml:space="preserve"> in</w:t>
      </w:r>
      <w:r w:rsidR="0046784B">
        <w:rPr>
          <w:rFonts w:ascii="Arial" w:hAnsi="Arial" w:cs="Arial"/>
          <w:bCs/>
        </w:rPr>
        <w:t>, working</w:t>
      </w:r>
      <w:r w:rsidR="003F0899">
        <w:rPr>
          <w:rFonts w:ascii="Arial" w:hAnsi="Arial" w:cs="Arial"/>
          <w:bCs/>
        </w:rPr>
        <w:t xml:space="preserve"> in</w:t>
      </w:r>
      <w:r w:rsidR="0046784B">
        <w:rPr>
          <w:rFonts w:ascii="Arial" w:hAnsi="Arial" w:cs="Arial"/>
          <w:bCs/>
        </w:rPr>
        <w:t>, or visiting a county</w:t>
      </w:r>
      <w:r w:rsidRPr="00D4171A">
        <w:rPr>
          <w:rFonts w:ascii="Arial" w:hAnsi="Arial" w:cs="Arial"/>
          <w:bCs/>
        </w:rPr>
        <w:t xml:space="preserve"> </w:t>
      </w:r>
      <w:r w:rsidR="0046784B">
        <w:rPr>
          <w:rFonts w:ascii="Arial" w:hAnsi="Arial" w:cs="Arial"/>
          <w:bCs/>
        </w:rPr>
        <w:t xml:space="preserve">in which </w:t>
      </w:r>
      <w:r w:rsidR="003F0899" w:rsidRPr="003F0899">
        <w:rPr>
          <w:rFonts w:ascii="Arial" w:hAnsi="Arial" w:cs="Arial"/>
          <w:bCs/>
          <w:i/>
        </w:rPr>
        <w:t>Ornithodoros</w:t>
      </w:r>
      <w:r w:rsidR="003F0899">
        <w:rPr>
          <w:rFonts w:ascii="Arial" w:hAnsi="Arial" w:cs="Arial"/>
          <w:bCs/>
          <w:i/>
        </w:rPr>
        <w:t xml:space="preserve"> </w:t>
      </w:r>
      <w:r w:rsidR="0046784B" w:rsidRPr="003F0899">
        <w:rPr>
          <w:rFonts w:ascii="Arial" w:hAnsi="Arial" w:cs="Arial"/>
          <w:bCs/>
        </w:rPr>
        <w:t>soft</w:t>
      </w:r>
      <w:r w:rsidR="0046784B" w:rsidRPr="004465B0">
        <w:rPr>
          <w:rFonts w:ascii="Arial" w:hAnsi="Arial" w:cs="Arial"/>
          <w:bCs/>
        </w:rPr>
        <w:t xml:space="preserve"> ticks</w:t>
      </w:r>
      <w:r w:rsidR="0046784B">
        <w:rPr>
          <w:rFonts w:ascii="Arial" w:hAnsi="Arial" w:cs="Arial"/>
          <w:bCs/>
        </w:rPr>
        <w:t xml:space="preserve"> are present or</w:t>
      </w:r>
      <w:r w:rsidR="000D4481">
        <w:rPr>
          <w:rFonts w:ascii="Arial" w:hAnsi="Arial" w:cs="Arial"/>
          <w:bCs/>
        </w:rPr>
        <w:t xml:space="preserve"> </w:t>
      </w:r>
      <w:r w:rsidR="00463A42">
        <w:rPr>
          <w:rFonts w:ascii="Arial" w:hAnsi="Arial" w:cs="Arial"/>
          <w:bCs/>
        </w:rPr>
        <w:t xml:space="preserve">where </w:t>
      </w:r>
      <w:r w:rsidR="0046784B">
        <w:rPr>
          <w:rFonts w:ascii="Arial" w:hAnsi="Arial" w:cs="Arial"/>
          <w:bCs/>
        </w:rPr>
        <w:t>a</w:t>
      </w:r>
      <w:r w:rsidR="00CA6480">
        <w:rPr>
          <w:rFonts w:ascii="Arial" w:hAnsi="Arial" w:cs="Arial"/>
          <w:bCs/>
        </w:rPr>
        <w:t xml:space="preserve"> confirmed</w:t>
      </w:r>
      <w:r w:rsidR="0046784B">
        <w:rPr>
          <w:rFonts w:ascii="Arial" w:hAnsi="Arial" w:cs="Arial"/>
          <w:bCs/>
        </w:rPr>
        <w:t xml:space="preserve"> </w:t>
      </w:r>
      <w:r w:rsidR="00BB2408">
        <w:rPr>
          <w:rFonts w:ascii="Arial" w:hAnsi="Arial" w:cs="Arial"/>
          <w:bCs/>
        </w:rPr>
        <w:t xml:space="preserve">autochthonous </w:t>
      </w:r>
      <w:r w:rsidR="000D4481">
        <w:rPr>
          <w:rFonts w:ascii="Arial" w:hAnsi="Arial" w:cs="Arial"/>
          <w:bCs/>
        </w:rPr>
        <w:t>case</w:t>
      </w:r>
      <w:r w:rsidR="0046784B">
        <w:rPr>
          <w:rFonts w:ascii="Arial" w:hAnsi="Arial" w:cs="Arial"/>
          <w:bCs/>
        </w:rPr>
        <w:t xml:space="preserve"> of TBRF has been previously reported. E</w:t>
      </w:r>
      <w:r w:rsidR="000D4481">
        <w:rPr>
          <w:rFonts w:ascii="Arial" w:hAnsi="Arial" w:cs="Arial"/>
          <w:bCs/>
        </w:rPr>
        <w:t xml:space="preserve">xposure </w:t>
      </w:r>
      <w:r w:rsidR="0046784B">
        <w:rPr>
          <w:rFonts w:ascii="Arial" w:hAnsi="Arial" w:cs="Arial"/>
          <w:bCs/>
        </w:rPr>
        <w:t xml:space="preserve">activities </w:t>
      </w:r>
      <w:r w:rsidR="000D4481">
        <w:rPr>
          <w:rFonts w:ascii="Arial" w:hAnsi="Arial" w:cs="Arial"/>
          <w:bCs/>
        </w:rPr>
        <w:t>include</w:t>
      </w:r>
      <w:r w:rsidR="0046784B">
        <w:rPr>
          <w:rFonts w:ascii="Arial" w:hAnsi="Arial" w:cs="Arial"/>
          <w:bCs/>
        </w:rPr>
        <w:t xml:space="preserve"> entering, sleeping, or working</w:t>
      </w:r>
      <w:r w:rsidR="00C10919">
        <w:rPr>
          <w:rFonts w:ascii="Arial" w:hAnsi="Arial" w:cs="Arial"/>
          <w:bCs/>
        </w:rPr>
        <w:t xml:space="preserve"> </w:t>
      </w:r>
      <w:r w:rsidRPr="00D4171A">
        <w:rPr>
          <w:rFonts w:ascii="Arial" w:hAnsi="Arial" w:cs="Arial"/>
          <w:bCs/>
        </w:rPr>
        <w:t xml:space="preserve">in cabins, caves, around firewood, or other possible soft tick habitat within </w:t>
      </w:r>
      <w:r w:rsidR="000D4481">
        <w:rPr>
          <w:rFonts w:ascii="Arial" w:hAnsi="Arial" w:cs="Arial"/>
          <w:bCs/>
        </w:rPr>
        <w:t>2-18</w:t>
      </w:r>
      <w:r w:rsidR="000D4481" w:rsidRPr="00D4171A">
        <w:rPr>
          <w:rFonts w:ascii="Arial" w:hAnsi="Arial" w:cs="Arial"/>
          <w:bCs/>
        </w:rPr>
        <w:t xml:space="preserve"> </w:t>
      </w:r>
      <w:r w:rsidRPr="00D4171A">
        <w:rPr>
          <w:rFonts w:ascii="Arial" w:hAnsi="Arial" w:cs="Arial"/>
          <w:bCs/>
        </w:rPr>
        <w:t xml:space="preserve">days of symptom onset. </w:t>
      </w:r>
    </w:p>
    <w:p w14:paraId="3B3C3BAC" w14:textId="77777777" w:rsidR="00293485" w:rsidRDefault="00293485" w:rsidP="00357D1B">
      <w:pPr>
        <w:pStyle w:val="Default"/>
        <w:rPr>
          <w:rFonts w:ascii="Arial" w:hAnsi="Arial" w:cs="Arial"/>
          <w:iCs/>
        </w:rPr>
      </w:pPr>
    </w:p>
    <w:p w14:paraId="10CA171F" w14:textId="77777777" w:rsidR="004C7907" w:rsidRPr="00D4171A" w:rsidRDefault="004C05BB" w:rsidP="00357D1B">
      <w:pPr>
        <w:pStyle w:val="Default"/>
        <w:rPr>
          <w:rFonts w:ascii="Arial" w:hAnsi="Arial" w:cs="Arial"/>
          <w:bCs/>
        </w:rPr>
      </w:pPr>
      <w:r>
        <w:rPr>
          <w:rFonts w:ascii="Arial" w:hAnsi="Arial" w:cs="Arial"/>
          <w:iCs/>
        </w:rPr>
        <w:t xml:space="preserve">Epidemiologic </w:t>
      </w:r>
      <w:r w:rsidR="00293485">
        <w:rPr>
          <w:rFonts w:ascii="Arial" w:hAnsi="Arial" w:cs="Arial"/>
          <w:iCs/>
        </w:rPr>
        <w:t xml:space="preserve">link: </w:t>
      </w:r>
      <w:r w:rsidR="004465B0">
        <w:rPr>
          <w:rFonts w:ascii="Arial" w:hAnsi="Arial" w:cs="Arial"/>
          <w:iCs/>
        </w:rPr>
        <w:t>Onset of clinically compatible illness 2-18 days after</w:t>
      </w:r>
      <w:r w:rsidR="00B512CF">
        <w:rPr>
          <w:rFonts w:ascii="Arial" w:hAnsi="Arial" w:cs="Arial"/>
          <w:iCs/>
        </w:rPr>
        <w:t xml:space="preserve"> </w:t>
      </w:r>
      <w:r w:rsidR="004465B0">
        <w:rPr>
          <w:rFonts w:ascii="Arial" w:hAnsi="Arial" w:cs="Arial"/>
          <w:iCs/>
        </w:rPr>
        <w:t xml:space="preserve">sharing </w:t>
      </w:r>
      <w:r w:rsidR="00B512CF">
        <w:rPr>
          <w:rFonts w:ascii="Arial" w:hAnsi="Arial" w:cs="Arial"/>
          <w:iCs/>
        </w:rPr>
        <w:t>exposure</w:t>
      </w:r>
      <w:r w:rsidR="00DA6A74">
        <w:rPr>
          <w:rFonts w:ascii="Arial" w:hAnsi="Arial" w:cs="Arial"/>
          <w:iCs/>
        </w:rPr>
        <w:t xml:space="preserve"> </w:t>
      </w:r>
      <w:r w:rsidR="00463A42">
        <w:rPr>
          <w:rFonts w:ascii="Arial" w:hAnsi="Arial" w:cs="Arial"/>
          <w:iCs/>
        </w:rPr>
        <w:t xml:space="preserve">site </w:t>
      </w:r>
      <w:r w:rsidR="00A57FB5">
        <w:rPr>
          <w:rFonts w:ascii="Arial" w:hAnsi="Arial" w:cs="Arial"/>
          <w:iCs/>
        </w:rPr>
        <w:t>and time</w:t>
      </w:r>
      <w:r w:rsidR="00DA6A74">
        <w:rPr>
          <w:rFonts w:ascii="Arial" w:hAnsi="Arial" w:cs="Arial"/>
          <w:iCs/>
        </w:rPr>
        <w:t xml:space="preserve"> as a </w:t>
      </w:r>
      <w:r w:rsidR="003F0899">
        <w:rPr>
          <w:rFonts w:ascii="Arial" w:hAnsi="Arial" w:cs="Arial"/>
          <w:iCs/>
        </w:rPr>
        <w:t xml:space="preserve">Confirmed </w:t>
      </w:r>
      <w:r w:rsidR="00DA6A74">
        <w:rPr>
          <w:rFonts w:ascii="Arial" w:hAnsi="Arial" w:cs="Arial"/>
          <w:iCs/>
        </w:rPr>
        <w:t>case</w:t>
      </w:r>
      <w:r w:rsidR="00293485">
        <w:rPr>
          <w:rFonts w:ascii="Arial" w:hAnsi="Arial" w:cs="Arial"/>
          <w:iCs/>
        </w:rPr>
        <w:t xml:space="preserve">. </w:t>
      </w:r>
    </w:p>
    <w:p w14:paraId="33E5BE61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0FC558F9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20F2F1BF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2330E316" w14:textId="77777777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92877FB" w14:textId="77777777" w:rsidR="007D67B3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 xml:space="preserve">e </w:t>
      </w:r>
      <w:r w:rsidR="0009688C">
        <w:rPr>
          <w:rFonts w:ascii="Arial" w:hAnsi="Arial" w:cs="Arial"/>
        </w:rPr>
        <w:t xml:space="preserve">that </w:t>
      </w:r>
      <w:r w:rsidR="004D3871">
        <w:rPr>
          <w:rFonts w:ascii="Arial" w:hAnsi="Arial" w:cs="Arial"/>
        </w:rPr>
        <w:t xml:space="preserve">is laboratory confirmed, </w:t>
      </w:r>
    </w:p>
    <w:p w14:paraId="25848D66" w14:textId="108FA42A" w:rsidR="00B344DA" w:rsidRDefault="004D3871" w:rsidP="007D67B3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OR</w:t>
      </w:r>
    </w:p>
    <w:p w14:paraId="693143B1" w14:textId="77777777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 clinically compatible case with presumptive laboratory evidence and </w:t>
      </w:r>
      <w:r w:rsidR="00DA6A74">
        <w:rPr>
          <w:rFonts w:ascii="Arial" w:hAnsi="Arial" w:cs="Arial"/>
          <w:iCs/>
        </w:rPr>
        <w:t>meets the criteria</w:t>
      </w:r>
      <w:r w:rsidR="00293485">
        <w:rPr>
          <w:rFonts w:ascii="Arial" w:hAnsi="Arial" w:cs="Arial"/>
          <w:iCs/>
        </w:rPr>
        <w:t xml:space="preserve"> </w:t>
      </w:r>
      <w:r w:rsidR="004465B0">
        <w:rPr>
          <w:rFonts w:ascii="Arial" w:hAnsi="Arial" w:cs="Arial"/>
          <w:iCs/>
        </w:rPr>
        <w:t>f</w:t>
      </w:r>
      <w:r w:rsidR="00293485">
        <w:rPr>
          <w:rFonts w:ascii="Arial" w:hAnsi="Arial" w:cs="Arial"/>
          <w:iCs/>
        </w:rPr>
        <w:t>or</w:t>
      </w:r>
      <w:r w:rsidR="004465B0">
        <w:rPr>
          <w:rFonts w:ascii="Arial" w:hAnsi="Arial" w:cs="Arial"/>
          <w:iCs/>
        </w:rPr>
        <w:t xml:space="preserve"> exposure or</w:t>
      </w:r>
      <w:r w:rsidR="00293485">
        <w:rPr>
          <w:rFonts w:ascii="Arial" w:hAnsi="Arial" w:cs="Arial"/>
          <w:iCs/>
        </w:rPr>
        <w:t xml:space="preserve"> epi</w:t>
      </w:r>
      <w:r w:rsidR="004465B0">
        <w:rPr>
          <w:rFonts w:ascii="Arial" w:hAnsi="Arial" w:cs="Arial"/>
          <w:iCs/>
        </w:rPr>
        <w:t xml:space="preserve">demiologic </w:t>
      </w:r>
      <w:r w:rsidR="00293485">
        <w:rPr>
          <w:rFonts w:ascii="Arial" w:hAnsi="Arial" w:cs="Arial"/>
          <w:iCs/>
        </w:rPr>
        <w:t>link</w:t>
      </w:r>
      <w:r w:rsidR="004465B0">
        <w:rPr>
          <w:rFonts w:ascii="Arial" w:hAnsi="Arial" w:cs="Arial"/>
          <w:iCs/>
        </w:rPr>
        <w:t>age</w:t>
      </w:r>
      <w:r w:rsidR="00DA6A74">
        <w:rPr>
          <w:rFonts w:ascii="Arial" w:hAnsi="Arial" w:cs="Arial"/>
          <w:iCs/>
        </w:rPr>
        <w:t xml:space="preserve">. </w:t>
      </w:r>
    </w:p>
    <w:p w14:paraId="21FEBBA3" w14:textId="77777777" w:rsidR="001E4443" w:rsidRPr="00D4171A" w:rsidRDefault="001E4443" w:rsidP="00663779">
      <w:pPr>
        <w:pStyle w:val="Default"/>
        <w:rPr>
          <w:rFonts w:ascii="Arial" w:hAnsi="Arial" w:cs="Arial"/>
        </w:rPr>
      </w:pPr>
    </w:p>
    <w:p w14:paraId="447129FE" w14:textId="719999C6" w:rsidR="00FE58B8" w:rsidRDefault="001E4443" w:rsidP="00357D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>: A clinically compatible case with presumptive laboratory evidence of infection</w:t>
      </w:r>
      <w:r w:rsidR="007D67B3">
        <w:rPr>
          <w:rFonts w:ascii="Arial" w:hAnsi="Arial" w:cs="Arial"/>
          <w:sz w:val="24"/>
          <w:szCs w:val="24"/>
        </w:rPr>
        <w:t>,</w:t>
      </w:r>
      <w:r w:rsidRPr="00D4171A">
        <w:rPr>
          <w:rFonts w:ascii="Arial" w:hAnsi="Arial" w:cs="Arial"/>
          <w:sz w:val="24"/>
          <w:szCs w:val="24"/>
        </w:rPr>
        <w:t xml:space="preserve"> </w:t>
      </w:r>
      <w:r w:rsidR="004D3871">
        <w:rPr>
          <w:rFonts w:ascii="Arial" w:hAnsi="Arial" w:cs="Arial"/>
          <w:sz w:val="24"/>
          <w:szCs w:val="24"/>
        </w:rPr>
        <w:t>OR</w:t>
      </w:r>
    </w:p>
    <w:p w14:paraId="7A4FA08A" w14:textId="0CDC7036" w:rsidR="008D62F7" w:rsidRPr="007D67B3" w:rsidRDefault="00171843" w:rsidP="007D67B3">
      <w:pPr>
        <w:pStyle w:val="ListParagraph"/>
        <w:rPr>
          <w:rFonts w:ascii="Arial" w:hAnsi="Arial" w:cs="Arial"/>
          <w:sz w:val="24"/>
          <w:szCs w:val="24"/>
        </w:rPr>
      </w:pPr>
      <w:r w:rsidRPr="00566CC1">
        <w:rPr>
          <w:rFonts w:ascii="Arial" w:hAnsi="Arial" w:cs="Arial"/>
          <w:iCs/>
          <w:sz w:val="24"/>
          <w:szCs w:val="24"/>
        </w:rPr>
        <w:t xml:space="preserve">A clinically compatible case </w:t>
      </w:r>
      <w:r w:rsidR="00844A6A" w:rsidRPr="00F314FE">
        <w:rPr>
          <w:rFonts w:ascii="Arial" w:hAnsi="Arial" w:cs="Arial"/>
          <w:sz w:val="24"/>
          <w:szCs w:val="24"/>
        </w:rPr>
        <w:t>who</w:t>
      </w:r>
      <w:r w:rsidRPr="00F314FE">
        <w:rPr>
          <w:rFonts w:ascii="Arial" w:hAnsi="Arial" w:cs="Arial"/>
          <w:sz w:val="24"/>
          <w:szCs w:val="24"/>
        </w:rPr>
        <w:t xml:space="preserve"> </w:t>
      </w:r>
      <w:r w:rsidR="004C05BB" w:rsidRPr="00F314FE">
        <w:rPr>
          <w:rFonts w:ascii="Arial" w:hAnsi="Arial" w:cs="Arial"/>
          <w:sz w:val="24"/>
          <w:szCs w:val="24"/>
        </w:rPr>
        <w:t>meets the epidemiologic</w:t>
      </w:r>
      <w:r w:rsidRPr="00F314FE">
        <w:rPr>
          <w:rFonts w:ascii="Arial" w:hAnsi="Arial" w:cs="Arial"/>
          <w:sz w:val="24"/>
          <w:szCs w:val="24"/>
        </w:rPr>
        <w:t xml:space="preserve"> link </w:t>
      </w:r>
      <w:r w:rsidR="004C05BB" w:rsidRPr="00F314FE">
        <w:rPr>
          <w:rFonts w:ascii="Arial" w:hAnsi="Arial" w:cs="Arial"/>
          <w:sz w:val="24"/>
          <w:szCs w:val="24"/>
        </w:rPr>
        <w:t>criteria</w:t>
      </w:r>
      <w:r w:rsidR="007D67B3">
        <w:rPr>
          <w:rFonts w:ascii="Arial" w:hAnsi="Arial" w:cs="Arial"/>
          <w:sz w:val="24"/>
          <w:szCs w:val="24"/>
        </w:rPr>
        <w:t>,</w:t>
      </w:r>
      <w:r w:rsidR="009F2C4C">
        <w:rPr>
          <w:rFonts w:ascii="Arial" w:hAnsi="Arial" w:cs="Arial"/>
          <w:sz w:val="24"/>
          <w:szCs w:val="24"/>
        </w:rPr>
        <w:t xml:space="preserve"> </w:t>
      </w:r>
    </w:p>
    <w:p w14:paraId="6D4DD2DE" w14:textId="77777777" w:rsidR="007D67B3" w:rsidRDefault="008D62F7" w:rsidP="007D67B3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</w:t>
      </w:r>
    </w:p>
    <w:p w14:paraId="460CFB07" w14:textId="394DF238" w:rsidR="00D91ECD" w:rsidRPr="00222743" w:rsidRDefault="00D91ECD" w:rsidP="00222743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</w:rPr>
        <w:t xml:space="preserve">A clinically compatible case with </w:t>
      </w:r>
      <w:r>
        <w:rPr>
          <w:rFonts w:ascii="Arial" w:hAnsi="Arial" w:cs="Arial"/>
          <w:iCs/>
        </w:rPr>
        <w:t>supportive</w:t>
      </w:r>
      <w:r>
        <w:rPr>
          <w:rFonts w:ascii="Arial" w:hAnsi="Arial" w:cs="Arial"/>
          <w:iCs/>
        </w:rPr>
        <w:t xml:space="preserve"> laboratory evidence and meets the criteria for exposure or epidemiologic linkage. </w:t>
      </w:r>
      <w:bookmarkStart w:id="0" w:name="_GoBack"/>
      <w:bookmarkEnd w:id="0"/>
    </w:p>
    <w:p w14:paraId="07DC035D" w14:textId="77777777" w:rsidR="007D67B3" w:rsidRDefault="001E4443" w:rsidP="00C10919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Suspect</w:t>
      </w:r>
      <w:r w:rsidRPr="00D4171A">
        <w:rPr>
          <w:rFonts w:ascii="Arial" w:hAnsi="Arial" w:cs="Arial"/>
        </w:rPr>
        <w:t xml:space="preserve">: </w:t>
      </w:r>
      <w:r w:rsidR="00171843" w:rsidRPr="00D4171A">
        <w:rPr>
          <w:rFonts w:ascii="Arial" w:hAnsi="Arial" w:cs="Arial"/>
        </w:rPr>
        <w:t xml:space="preserve">A clinically compatible case </w:t>
      </w:r>
      <w:r w:rsidR="00844A6A">
        <w:rPr>
          <w:rFonts w:ascii="Arial" w:hAnsi="Arial" w:cs="Arial"/>
        </w:rPr>
        <w:t>who</w:t>
      </w:r>
      <w:r w:rsidR="00171843" w:rsidRPr="00D4171A">
        <w:rPr>
          <w:rFonts w:ascii="Arial" w:hAnsi="Arial" w:cs="Arial"/>
        </w:rPr>
        <w:t xml:space="preserve"> </w:t>
      </w:r>
      <w:r w:rsidR="00C10919">
        <w:rPr>
          <w:rFonts w:ascii="Arial" w:hAnsi="Arial" w:cs="Arial"/>
          <w:iCs/>
        </w:rPr>
        <w:t>meets the exposure criteria</w:t>
      </w:r>
      <w:r w:rsidR="00171843">
        <w:rPr>
          <w:rFonts w:ascii="Arial" w:hAnsi="Arial" w:cs="Arial"/>
        </w:rPr>
        <w:t>, with no laboratory testing performed</w:t>
      </w:r>
      <w:r w:rsidR="007D67B3">
        <w:rPr>
          <w:rFonts w:ascii="Arial" w:hAnsi="Arial" w:cs="Arial"/>
        </w:rPr>
        <w:t>,</w:t>
      </w:r>
      <w:r w:rsidR="009C5169">
        <w:rPr>
          <w:rFonts w:ascii="Arial" w:hAnsi="Arial" w:cs="Arial"/>
        </w:rPr>
        <w:t xml:space="preserve"> </w:t>
      </w:r>
    </w:p>
    <w:p w14:paraId="726AB6CC" w14:textId="77777777" w:rsidR="007D67B3" w:rsidRDefault="009C5169" w:rsidP="007D67B3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OR</w:t>
      </w:r>
    </w:p>
    <w:p w14:paraId="4129C93A" w14:textId="02F39B69" w:rsidR="00C664AD" w:rsidRPr="009F2C4C" w:rsidRDefault="009F2C4C" w:rsidP="007D67B3">
      <w:pPr>
        <w:pStyle w:val="Default"/>
        <w:ind w:left="720"/>
        <w:rPr>
          <w:rFonts w:ascii="Arial" w:hAnsi="Arial" w:cs="Arial"/>
        </w:rPr>
      </w:pPr>
      <w:r w:rsidRPr="009F2C4C">
        <w:rPr>
          <w:rFonts w:ascii="Arial" w:hAnsi="Arial" w:cs="Arial"/>
          <w:iCs/>
        </w:rPr>
        <w:t>A case with laboratory evidence of infection but no clinical</w:t>
      </w:r>
      <w:r w:rsidR="006C783B">
        <w:rPr>
          <w:rFonts w:ascii="Arial" w:hAnsi="Arial" w:cs="Arial"/>
          <w:iCs/>
        </w:rPr>
        <w:t>, exposure, or epi-link</w:t>
      </w:r>
      <w:r w:rsidRPr="009F2C4C">
        <w:rPr>
          <w:rFonts w:ascii="Arial" w:hAnsi="Arial" w:cs="Arial"/>
          <w:iCs/>
        </w:rPr>
        <w:t xml:space="preserve"> information available. </w:t>
      </w:r>
    </w:p>
    <w:p w14:paraId="7B199FB7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21113408" w14:textId="77777777" w:rsidR="00AE2964" w:rsidRDefault="00AE2964">
      <w:pPr>
        <w:rPr>
          <w:rFonts w:ascii="Arial" w:hAnsi="Arial" w:cs="Arial"/>
          <w:sz w:val="24"/>
          <w:szCs w:val="24"/>
        </w:rPr>
      </w:pPr>
    </w:p>
    <w:p w14:paraId="2C05D6D2" w14:textId="77777777" w:rsidR="00D9653A" w:rsidRPr="00D4171A" w:rsidRDefault="00D9653A" w:rsidP="004F0632">
      <w:pPr>
        <w:rPr>
          <w:rFonts w:ascii="Arial" w:hAnsi="Arial" w:cs="Arial"/>
          <w:sz w:val="24"/>
          <w:szCs w:val="24"/>
        </w:rPr>
      </w:pPr>
    </w:p>
    <w:sectPr w:rsidR="00D9653A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A381B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3ED23489"/>
    <w:multiLevelType w:val="hybridMultilevel"/>
    <w:tmpl w:val="58C05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554E3"/>
    <w:multiLevelType w:val="hybridMultilevel"/>
    <w:tmpl w:val="7EA27C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B4F2CB9"/>
    <w:multiLevelType w:val="hybridMultilevel"/>
    <w:tmpl w:val="DF6CD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10A39"/>
    <w:multiLevelType w:val="hybridMultilevel"/>
    <w:tmpl w:val="BF54ADCE"/>
    <w:lvl w:ilvl="0" w:tplc="385A3D9E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9"/>
    <w:rsid w:val="00005A63"/>
    <w:rsid w:val="000520AE"/>
    <w:rsid w:val="000838F6"/>
    <w:rsid w:val="0009688C"/>
    <w:rsid w:val="000D4481"/>
    <w:rsid w:val="000F3796"/>
    <w:rsid w:val="001101A5"/>
    <w:rsid w:val="0011585C"/>
    <w:rsid w:val="001447A4"/>
    <w:rsid w:val="00171843"/>
    <w:rsid w:val="00175991"/>
    <w:rsid w:val="001779BF"/>
    <w:rsid w:val="00183AFD"/>
    <w:rsid w:val="00197EE6"/>
    <w:rsid w:val="001B0A2C"/>
    <w:rsid w:val="001D2F29"/>
    <w:rsid w:val="001E4443"/>
    <w:rsid w:val="001F790B"/>
    <w:rsid w:val="0021096A"/>
    <w:rsid w:val="0022137B"/>
    <w:rsid w:val="00222743"/>
    <w:rsid w:val="0023464A"/>
    <w:rsid w:val="002350FA"/>
    <w:rsid w:val="00293485"/>
    <w:rsid w:val="002A74A1"/>
    <w:rsid w:val="002B4B03"/>
    <w:rsid w:val="0031432B"/>
    <w:rsid w:val="00321051"/>
    <w:rsid w:val="00357D1B"/>
    <w:rsid w:val="00371D3F"/>
    <w:rsid w:val="003A27F8"/>
    <w:rsid w:val="003C5F90"/>
    <w:rsid w:val="003D2CBC"/>
    <w:rsid w:val="003F0899"/>
    <w:rsid w:val="00432690"/>
    <w:rsid w:val="004465B0"/>
    <w:rsid w:val="00463A42"/>
    <w:rsid w:val="0046784B"/>
    <w:rsid w:val="00471076"/>
    <w:rsid w:val="004900BA"/>
    <w:rsid w:val="004912C0"/>
    <w:rsid w:val="00494F45"/>
    <w:rsid w:val="004C05BB"/>
    <w:rsid w:val="004C7907"/>
    <w:rsid w:val="004D3871"/>
    <w:rsid w:val="004E2E7F"/>
    <w:rsid w:val="004F0632"/>
    <w:rsid w:val="004F7760"/>
    <w:rsid w:val="00530980"/>
    <w:rsid w:val="00554C27"/>
    <w:rsid w:val="00566CC1"/>
    <w:rsid w:val="005C1E45"/>
    <w:rsid w:val="005D4E7D"/>
    <w:rsid w:val="0060072B"/>
    <w:rsid w:val="00611145"/>
    <w:rsid w:val="00646DB6"/>
    <w:rsid w:val="00663779"/>
    <w:rsid w:val="006B7B95"/>
    <w:rsid w:val="006C4CF4"/>
    <w:rsid w:val="006C783B"/>
    <w:rsid w:val="006C7AEF"/>
    <w:rsid w:val="006F09C4"/>
    <w:rsid w:val="00706A7B"/>
    <w:rsid w:val="0072115F"/>
    <w:rsid w:val="007D0564"/>
    <w:rsid w:val="007D67B3"/>
    <w:rsid w:val="007E3FB4"/>
    <w:rsid w:val="007E42D6"/>
    <w:rsid w:val="007F3752"/>
    <w:rsid w:val="00813666"/>
    <w:rsid w:val="0081377B"/>
    <w:rsid w:val="00842C6A"/>
    <w:rsid w:val="0084304E"/>
    <w:rsid w:val="00844A6A"/>
    <w:rsid w:val="0085526A"/>
    <w:rsid w:val="008805A3"/>
    <w:rsid w:val="008A16EE"/>
    <w:rsid w:val="008C606D"/>
    <w:rsid w:val="008D05F7"/>
    <w:rsid w:val="008D4519"/>
    <w:rsid w:val="008D62F7"/>
    <w:rsid w:val="008E3950"/>
    <w:rsid w:val="008F2EE2"/>
    <w:rsid w:val="008F70F8"/>
    <w:rsid w:val="008F74A0"/>
    <w:rsid w:val="0090045B"/>
    <w:rsid w:val="009349F6"/>
    <w:rsid w:val="00953C01"/>
    <w:rsid w:val="0096113C"/>
    <w:rsid w:val="009948D8"/>
    <w:rsid w:val="009C5169"/>
    <w:rsid w:val="009E0E50"/>
    <w:rsid w:val="009F0210"/>
    <w:rsid w:val="009F2C4C"/>
    <w:rsid w:val="009F7178"/>
    <w:rsid w:val="00A42A0B"/>
    <w:rsid w:val="00A47DAB"/>
    <w:rsid w:val="00A56B04"/>
    <w:rsid w:val="00A57FB5"/>
    <w:rsid w:val="00A72D02"/>
    <w:rsid w:val="00AC7ABF"/>
    <w:rsid w:val="00AD3287"/>
    <w:rsid w:val="00AD6333"/>
    <w:rsid w:val="00AE2964"/>
    <w:rsid w:val="00AF3269"/>
    <w:rsid w:val="00B17288"/>
    <w:rsid w:val="00B25B57"/>
    <w:rsid w:val="00B344DA"/>
    <w:rsid w:val="00B512CF"/>
    <w:rsid w:val="00B95B0D"/>
    <w:rsid w:val="00BA0936"/>
    <w:rsid w:val="00BA0B2A"/>
    <w:rsid w:val="00BB2408"/>
    <w:rsid w:val="00BB60E1"/>
    <w:rsid w:val="00BF35E5"/>
    <w:rsid w:val="00BF5F41"/>
    <w:rsid w:val="00C10919"/>
    <w:rsid w:val="00C4146E"/>
    <w:rsid w:val="00C664AD"/>
    <w:rsid w:val="00C77580"/>
    <w:rsid w:val="00C867A4"/>
    <w:rsid w:val="00CA6480"/>
    <w:rsid w:val="00CB6DC8"/>
    <w:rsid w:val="00CF68C0"/>
    <w:rsid w:val="00D051F3"/>
    <w:rsid w:val="00D06DBF"/>
    <w:rsid w:val="00D22DC9"/>
    <w:rsid w:val="00D32415"/>
    <w:rsid w:val="00D40C13"/>
    <w:rsid w:val="00D4171A"/>
    <w:rsid w:val="00D510A2"/>
    <w:rsid w:val="00D67850"/>
    <w:rsid w:val="00D7321E"/>
    <w:rsid w:val="00D80204"/>
    <w:rsid w:val="00D91ECD"/>
    <w:rsid w:val="00D9653A"/>
    <w:rsid w:val="00DA58E6"/>
    <w:rsid w:val="00DA6A74"/>
    <w:rsid w:val="00DF1ABB"/>
    <w:rsid w:val="00DF48E4"/>
    <w:rsid w:val="00E14414"/>
    <w:rsid w:val="00E1643D"/>
    <w:rsid w:val="00E272AE"/>
    <w:rsid w:val="00E738AE"/>
    <w:rsid w:val="00E75DEF"/>
    <w:rsid w:val="00EF38BB"/>
    <w:rsid w:val="00EF49A8"/>
    <w:rsid w:val="00F1491F"/>
    <w:rsid w:val="00F314FE"/>
    <w:rsid w:val="00F80D0A"/>
    <w:rsid w:val="00F874EC"/>
    <w:rsid w:val="00FA1B51"/>
    <w:rsid w:val="00FA3B30"/>
    <w:rsid w:val="00FD5270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9B6F9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E29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7760"/>
    <w:rPr>
      <w:i/>
      <w:iCs/>
    </w:rPr>
  </w:style>
  <w:style w:type="paragraph" w:styleId="Revision">
    <w:name w:val="Revision"/>
    <w:hidden/>
    <w:uiPriority w:val="99"/>
    <w:semiHidden/>
    <w:rsid w:val="008F2E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5191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Oltean, Hanna (DOH)</cp:lastModifiedBy>
  <cp:revision>2</cp:revision>
  <dcterms:created xsi:type="dcterms:W3CDTF">2020-02-03T19:24:00Z</dcterms:created>
  <dcterms:modified xsi:type="dcterms:W3CDTF">2020-02-03T19:24:00Z</dcterms:modified>
</cp:coreProperties>
</file>