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CECD31" w14:textId="77777777" w:rsidR="000776CD" w:rsidRPr="00DC6371" w:rsidRDefault="009826C6">
      <w:pPr>
        <w:rPr>
          <w:b/>
        </w:rPr>
      </w:pPr>
      <w:r>
        <w:rPr>
          <w:b/>
        </w:rPr>
        <w:t>Calculating SIRs for Less than 1 Predicted Infection</w:t>
      </w:r>
    </w:p>
    <w:p w14:paraId="5AA2974F" w14:textId="77777777" w:rsidR="009826C6" w:rsidRDefault="005A7253" w:rsidP="005A7253">
      <w:r>
        <w:t xml:space="preserve">Presenting SIRs for hospitals with a low number of predicted infections enables stakeholders to view infection-specific SIRs for small and rural hospitals that may not have a large volume of patients or procedures performed.  Beginning in </w:t>
      </w:r>
      <w:r w:rsidRPr="009264B3">
        <w:t>2014</w:t>
      </w:r>
      <w:r>
        <w:t>,</w:t>
      </w:r>
      <w:r w:rsidR="002B5D40">
        <w:t xml:space="preserve"> CDPH </w:t>
      </w:r>
      <w:r w:rsidR="002B5D40" w:rsidRPr="005B01DD">
        <w:t xml:space="preserve">made </w:t>
      </w:r>
      <w:r w:rsidR="002B5D40">
        <w:t>the</w:t>
      </w:r>
      <w:r w:rsidR="002B5D40" w:rsidRPr="005B01DD">
        <w:t xml:space="preserve"> decision to calculate SIRs for hospitals with</w:t>
      </w:r>
      <w:r>
        <w:t xml:space="preserve"> less than one predicted infection. In 2014 this was limited to specific SSI data in hospitals performing at least 100 procedures, but in 2015 it was expanded to include all infection types where the </w:t>
      </w:r>
      <w:r w:rsidRPr="005B01DD">
        <w:t>expected</w:t>
      </w:r>
      <w:r>
        <w:t xml:space="preserve"> nu</w:t>
      </w:r>
      <w:r w:rsidR="009264B3">
        <w:t>mber of infections was above 0.</w:t>
      </w:r>
      <w:r>
        <w:t>2</w:t>
      </w:r>
      <w:r w:rsidR="009264B3">
        <w:t>0</w:t>
      </w:r>
      <w:r>
        <w:t xml:space="preserve">. </w:t>
      </w:r>
    </w:p>
    <w:p w14:paraId="2A93889E" w14:textId="77777777" w:rsidR="005E1416" w:rsidRDefault="005A7253" w:rsidP="005A7253">
      <w:r>
        <w:t xml:space="preserve">In the 2014 CDPH HAI Annual Report, the following language was included in </w:t>
      </w:r>
      <w:r w:rsidR="00F707DA">
        <w:t>t</w:t>
      </w:r>
      <w:r w:rsidR="00C000FE">
        <w:t>he SSI Technical Notes section:</w:t>
      </w:r>
    </w:p>
    <w:p w14:paraId="78ECE3D8" w14:textId="77777777" w:rsidR="00F707DA" w:rsidRDefault="005E1416" w:rsidP="005A7253">
      <w:r>
        <w:rPr>
          <w:i/>
        </w:rPr>
        <w:t>In balancing CDPH’s mandate to publicly report risk-adjusted SSI rates and NHSN’s concern for statistical precision, the SSI data tables include an SIR computed from the observed number of SSIs and the NHSN-generated expected number of SSIs for those procedures where a hospital reported at least 100 procedures and there is no NHSN SIR because the expected number of infections was less that none. These SIRs created at CDPH and their comparison results are marked the tables with an asterisk (*). They should be regarded as less precise and accurate than the SIRs calculated by NHSN where the expecte</w:t>
      </w:r>
      <w:r w:rsidR="00F707DA">
        <w:rPr>
          <w:i/>
        </w:rPr>
        <w:t>d number of SSIs is at least 1.</w:t>
      </w:r>
    </w:p>
    <w:p w14:paraId="32EDDC7E" w14:textId="77777777" w:rsidR="00F707DA" w:rsidRPr="009508EF" w:rsidRDefault="009264B3" w:rsidP="005A7253">
      <w:r>
        <w:t>T</w:t>
      </w:r>
      <w:r w:rsidR="00C000FE">
        <w:t>he following lan</w:t>
      </w:r>
      <w:r w:rsidR="00C000FE" w:rsidRPr="009508EF">
        <w:t>guage was included in the</w:t>
      </w:r>
      <w:r w:rsidR="009508EF">
        <w:t xml:space="preserve"> </w:t>
      </w:r>
      <w:hyperlink r:id="rId6" w:history="1">
        <w:r w:rsidR="009508EF" w:rsidRPr="00116E36">
          <w:rPr>
            <w:rStyle w:val="Hyperlink"/>
          </w:rPr>
          <w:t>2016 HAI in California Hospitals Annual Report</w:t>
        </w:r>
        <w:r w:rsidR="00116E36" w:rsidRPr="00116E36">
          <w:rPr>
            <w:rStyle w:val="Hyperlink"/>
          </w:rPr>
          <w:t xml:space="preserve"> Technical N</w:t>
        </w:r>
        <w:r w:rsidR="00C000FE" w:rsidRPr="00116E36">
          <w:rPr>
            <w:rStyle w:val="Hyperlink"/>
          </w:rPr>
          <w:t>otes</w:t>
        </w:r>
      </w:hyperlink>
      <w:r w:rsidR="00C000FE" w:rsidRPr="009508EF">
        <w:t>:</w:t>
      </w:r>
    </w:p>
    <w:p w14:paraId="6A308D89" w14:textId="77777777" w:rsidR="009508EF" w:rsidRDefault="009508EF">
      <w:pPr>
        <w:rPr>
          <w:i/>
        </w:rPr>
      </w:pPr>
      <w:r w:rsidRPr="009508EF">
        <w:rPr>
          <w:i/>
        </w:rPr>
        <w:t>NHSN calculated an SIR only when the predicted number of infections was greater than 1.00. In 2016, CDPH calculated an SIR when the predicted number of infections was less than 1.00, but greater than or equal to 0.20. This allowed more California hospitals (e.g., small and rural hospitals) to compare their infection incidence to the national experience and across time. However, caution should be used in interpreting these estimates based on very small number of predicted infections, where a single infection can greatly influence the SIR. SIRs calculated based on predicted infections less than one have wider confidence intervals and are less interpretable than SIRs based on predicted infection</w:t>
      </w:r>
      <w:r w:rsidR="00CA08C1">
        <w:rPr>
          <w:i/>
        </w:rPr>
        <w:t>s equal to or greater than one.</w:t>
      </w:r>
    </w:p>
    <w:p w14:paraId="63B2B0B6" w14:textId="77777777" w:rsidR="00F707DA" w:rsidRPr="00F707DA" w:rsidRDefault="009508EF">
      <w:pPr>
        <w:rPr>
          <w:b/>
        </w:rPr>
      </w:pPr>
      <w:r>
        <w:rPr>
          <w:b/>
        </w:rPr>
        <w:t>Impact</w:t>
      </w:r>
    </w:p>
    <w:p w14:paraId="59321E31" w14:textId="77777777" w:rsidR="00F707DA" w:rsidRDefault="00F707DA" w:rsidP="00F707DA">
      <w:r>
        <w:t xml:space="preserve">When </w:t>
      </w:r>
      <w:r w:rsidR="002D3CE3">
        <w:t>deciding</w:t>
      </w:r>
      <w:r>
        <w:t xml:space="preserve"> whether to calculate SIRs for hospitals with less than one procedure, first consider the impact of not including the SIR. The decision to calculate SIRs for hospitals with at least 0.2</w:t>
      </w:r>
      <w:r w:rsidR="009264B3">
        <w:t>0</w:t>
      </w:r>
      <w:r>
        <w:t xml:space="preserve"> predicted infections in 2014 for SSI was based on the fact that </w:t>
      </w:r>
      <w:r w:rsidRPr="00F707DA">
        <w:t>615 of 6596 (9%) of surgical procedure category entries in the 2014 annual report had less than one SSI expected even though the hospital reported 100 or more procedures.</w:t>
      </w:r>
      <w:r>
        <w:t xml:space="preserve"> </w:t>
      </w:r>
    </w:p>
    <w:p w14:paraId="72BD231A" w14:textId="77777777" w:rsidR="00F707DA" w:rsidRDefault="00F707DA" w:rsidP="00F707DA">
      <w:r>
        <w:t>In California, the 2014 Annual Report did not report data for a significant number of infections due to the predicted number of infections be</w:t>
      </w:r>
      <w:r w:rsidR="00241DDB">
        <w:t>ing less than one, prompting the decision to lower the threshold to 0.2</w:t>
      </w:r>
      <w:r w:rsidR="009264B3">
        <w:t>0</w:t>
      </w:r>
      <w:r w:rsidR="00241DDB">
        <w:t xml:space="preserve"> predicted infections in 2015. </w:t>
      </w:r>
    </w:p>
    <w:p w14:paraId="5CF88C76" w14:textId="77777777" w:rsidR="00F707DA" w:rsidRDefault="00CB599C" w:rsidP="00F707DA">
      <w:pPr>
        <w:pStyle w:val="ListParagraph"/>
        <w:numPr>
          <w:ilvl w:val="0"/>
          <w:numId w:val="1"/>
        </w:numPr>
      </w:pPr>
      <w:r>
        <w:t xml:space="preserve">In 2014 </w:t>
      </w:r>
      <w:r w:rsidR="00F707DA">
        <w:t>61 hospitals (17%) had no CLABSI SIR calculated</w:t>
      </w:r>
      <w:r w:rsidR="002B4039">
        <w:t xml:space="preserve"> due to having a predicted number of cases less than 1</w:t>
      </w:r>
      <w:r w:rsidR="002D3CE3">
        <w:t xml:space="preserve">; </w:t>
      </w:r>
      <w:r w:rsidR="002B4039">
        <w:t xml:space="preserve">in 2015 </w:t>
      </w:r>
      <w:r w:rsidR="002D3CE3">
        <w:t xml:space="preserve">23 hospitals (7%) had no CLABSI SIR calculated due to having a predicted number of </w:t>
      </w:r>
      <w:r w:rsidR="00C000FE">
        <w:t>cases less than 0.20</w:t>
      </w:r>
    </w:p>
    <w:p w14:paraId="463179FC" w14:textId="77777777" w:rsidR="002D3CE3" w:rsidRDefault="00CB599C" w:rsidP="004163E8">
      <w:pPr>
        <w:pStyle w:val="ListParagraph"/>
        <w:numPr>
          <w:ilvl w:val="0"/>
          <w:numId w:val="1"/>
        </w:numPr>
      </w:pPr>
      <w:r>
        <w:lastRenderedPageBreak/>
        <w:t xml:space="preserve">In 2014 </w:t>
      </w:r>
      <w:r w:rsidR="00F707DA">
        <w:t>119 hospitals (33%) had no MRSA BSI SIR calculated</w:t>
      </w:r>
      <w:r w:rsidR="002B4039" w:rsidRPr="002B4039">
        <w:t xml:space="preserve"> </w:t>
      </w:r>
      <w:r w:rsidR="002B4039">
        <w:t>due to having a predicted number of cases less than 1</w:t>
      </w:r>
      <w:r w:rsidR="002D3CE3">
        <w:t xml:space="preserve">; </w:t>
      </w:r>
      <w:r w:rsidR="002B4039">
        <w:t xml:space="preserve">in 2015 </w:t>
      </w:r>
      <w:r w:rsidR="002D3CE3">
        <w:t xml:space="preserve">33 </w:t>
      </w:r>
      <w:r w:rsidR="002B4039">
        <w:t xml:space="preserve">hospitals </w:t>
      </w:r>
      <w:r w:rsidR="002D3CE3">
        <w:t xml:space="preserve">(10%) had no MRSA BSI SIR calculated due to having a predicted number of </w:t>
      </w:r>
      <w:r w:rsidR="00C000FE">
        <w:t>cases less than 0.20</w:t>
      </w:r>
    </w:p>
    <w:p w14:paraId="7321A0B2" w14:textId="77777777" w:rsidR="00D44F21" w:rsidRDefault="00CB599C" w:rsidP="00F707DA">
      <w:pPr>
        <w:pStyle w:val="ListParagraph"/>
        <w:numPr>
          <w:ilvl w:val="0"/>
          <w:numId w:val="1"/>
        </w:numPr>
      </w:pPr>
      <w:r>
        <w:t xml:space="preserve">In 2014 </w:t>
      </w:r>
      <w:r w:rsidR="00F707DA">
        <w:t>29 hospitals (8%) had no CDI SIR calculated</w:t>
      </w:r>
      <w:r w:rsidR="002B4039">
        <w:t xml:space="preserve"> due to having a predicted number of cases less than 1; in 2015 5 hospitals (1%) had no CDI SIR calculated due to having a predicted nu</w:t>
      </w:r>
      <w:r w:rsidR="00C000FE">
        <w:t>mber of cases less than 0.20</w:t>
      </w:r>
    </w:p>
    <w:p w14:paraId="6C1EB8EF" w14:textId="77777777" w:rsidR="00F707DA" w:rsidRPr="00D44F21" w:rsidRDefault="00F707DA" w:rsidP="00D44F21">
      <w:r w:rsidRPr="00D44F21">
        <w:rPr>
          <w:b/>
        </w:rPr>
        <w:t>Measures of Uncertainty</w:t>
      </w:r>
    </w:p>
    <w:p w14:paraId="71A994CB" w14:textId="77777777" w:rsidR="00FA6AC5" w:rsidRDefault="00FA6AC5">
      <w:r>
        <w:t xml:space="preserve">The </w:t>
      </w:r>
      <w:hyperlink r:id="rId7" w:history="1">
        <w:r w:rsidR="00CA08C1" w:rsidRPr="009508EF">
          <w:rPr>
            <w:rStyle w:val="Hyperlink"/>
          </w:rPr>
          <w:t>2016 HAI in California Hospitals Annual Report</w:t>
        </w:r>
      </w:hyperlink>
      <w:r>
        <w:t xml:space="preserve"> listed SIRs for facilities with predicted infections greater than 0.20 and less than 1.00, and, like with infections with high numbers of predicted infections, confidence intervals were used to determine if SIRs were statistically higher or lower than the 2015 national baseline (i.e., threshold of one). </w:t>
      </w:r>
    </w:p>
    <w:p w14:paraId="11BE2636" w14:textId="77777777" w:rsidR="00FA6AC5" w:rsidRPr="00FA6AC5" w:rsidRDefault="00FA6AC5">
      <w:pPr>
        <w:rPr>
          <w:b/>
        </w:rPr>
      </w:pPr>
      <w:r>
        <w:rPr>
          <w:b/>
        </w:rPr>
        <w:t>Presentation</w:t>
      </w:r>
    </w:p>
    <w:p w14:paraId="46CC9FD6" w14:textId="77777777" w:rsidR="00FA6AC5" w:rsidRDefault="00C000FE">
      <w:r>
        <w:t xml:space="preserve">Because facilities with fewer than one predicted infection often had relatively low volumes of patient days, procedures performed, or other </w:t>
      </w:r>
      <w:r w:rsidR="00FA6AC5">
        <w:t>information</w:t>
      </w:r>
      <w:r>
        <w:t xml:space="preserve"> needed to calculate an SIR, confidence intervals were often wide and </w:t>
      </w:r>
      <w:r w:rsidR="00962EFC">
        <w:t xml:space="preserve">included the value of 1.00. This meant that, in the majority of cases, hospitals with less than one predicted infection had an SIR not significantly different than the national baseline. Even SIRs of 0.00 were not always significantly different than 1.00. </w:t>
      </w:r>
    </w:p>
    <w:p w14:paraId="331CB3C1" w14:textId="77777777" w:rsidR="00FA6AC5" w:rsidRPr="003D1976" w:rsidRDefault="00FA6AC5">
      <w:r>
        <w:t xml:space="preserve">Although CDPH does not list confidence intervals in the public report, they do include language and a symbol for each infection with an SIR- either Better, Worse, or the Same as the national baseline. </w:t>
      </w:r>
    </w:p>
    <w:p w14:paraId="6F28B2E0" w14:textId="77777777" w:rsidR="00065096" w:rsidRDefault="00BC74E0">
      <w:pPr>
        <w:rPr>
          <w:b/>
        </w:rPr>
      </w:pPr>
      <w:r>
        <w:rPr>
          <w:noProof/>
        </w:rPr>
        <w:drawing>
          <wp:inline distT="0" distB="0" distL="0" distR="0" wp14:anchorId="7CF14560" wp14:editId="7611357C">
            <wp:extent cx="6276346" cy="2000250"/>
            <wp:effectExtent l="19050" t="19050" r="10160" b="190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279716" cy="2001324"/>
                    </a:xfrm>
                    <a:prstGeom prst="rect">
                      <a:avLst/>
                    </a:prstGeom>
                    <a:ln>
                      <a:solidFill>
                        <a:schemeClr val="tx1"/>
                      </a:solidFill>
                    </a:ln>
                  </pic:spPr>
                </pic:pic>
              </a:graphicData>
            </a:graphic>
          </wp:inline>
        </w:drawing>
      </w:r>
    </w:p>
    <w:p w14:paraId="07632B52" w14:textId="77777777" w:rsidR="00BC74E0" w:rsidRDefault="00BC74E0">
      <w:pPr>
        <w:rPr>
          <w:b/>
        </w:rPr>
      </w:pPr>
    </w:p>
    <w:p w14:paraId="0281AAA8" w14:textId="77777777" w:rsidR="00BC74E0" w:rsidRDefault="00BC74E0">
      <w:pPr>
        <w:rPr>
          <w:b/>
        </w:rPr>
      </w:pPr>
      <w:r>
        <w:rPr>
          <w:noProof/>
        </w:rPr>
        <w:drawing>
          <wp:inline distT="0" distB="0" distL="0" distR="0" wp14:anchorId="61B50084" wp14:editId="1471480B">
            <wp:extent cx="6270366" cy="1352550"/>
            <wp:effectExtent l="19050" t="19050" r="16510" b="190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272638" cy="1353040"/>
                    </a:xfrm>
                    <a:prstGeom prst="rect">
                      <a:avLst/>
                    </a:prstGeom>
                    <a:ln>
                      <a:solidFill>
                        <a:schemeClr val="tx1"/>
                      </a:solidFill>
                    </a:ln>
                  </pic:spPr>
                </pic:pic>
              </a:graphicData>
            </a:graphic>
          </wp:inline>
        </w:drawing>
      </w:r>
    </w:p>
    <w:p w14:paraId="437C958B" w14:textId="77777777" w:rsidR="00962EFC" w:rsidRDefault="00962EFC">
      <w:pPr>
        <w:rPr>
          <w:b/>
        </w:rPr>
      </w:pPr>
    </w:p>
    <w:tbl>
      <w:tblPr>
        <w:tblStyle w:val="TableGrid"/>
        <w:tblW w:w="0" w:type="auto"/>
        <w:tblLook w:val="04A0" w:firstRow="1" w:lastRow="0" w:firstColumn="1" w:lastColumn="0" w:noHBand="0" w:noVBand="1"/>
      </w:tblPr>
      <w:tblGrid>
        <w:gridCol w:w="4675"/>
        <w:gridCol w:w="4675"/>
      </w:tblGrid>
      <w:tr w:rsidR="00962EFC" w14:paraId="58983D5B" w14:textId="77777777" w:rsidTr="001A2A6C">
        <w:tc>
          <w:tcPr>
            <w:tcW w:w="4675" w:type="dxa"/>
          </w:tcPr>
          <w:p w14:paraId="1D81DD47" w14:textId="77777777" w:rsidR="00962EFC" w:rsidRDefault="00962EFC" w:rsidP="001A2A6C">
            <w:pPr>
              <w:jc w:val="center"/>
              <w:rPr>
                <w:b/>
              </w:rPr>
            </w:pPr>
            <w:r>
              <w:rPr>
                <w:b/>
              </w:rPr>
              <w:t>Pros</w:t>
            </w:r>
          </w:p>
        </w:tc>
        <w:tc>
          <w:tcPr>
            <w:tcW w:w="4675" w:type="dxa"/>
          </w:tcPr>
          <w:p w14:paraId="1A12A6DD" w14:textId="77777777" w:rsidR="00962EFC" w:rsidRDefault="00962EFC" w:rsidP="001A2A6C">
            <w:pPr>
              <w:jc w:val="center"/>
              <w:rPr>
                <w:b/>
              </w:rPr>
            </w:pPr>
            <w:r>
              <w:rPr>
                <w:b/>
              </w:rPr>
              <w:t>Cons</w:t>
            </w:r>
          </w:p>
        </w:tc>
      </w:tr>
      <w:tr w:rsidR="00962EFC" w14:paraId="526EF280" w14:textId="77777777" w:rsidTr="001A2A6C">
        <w:tc>
          <w:tcPr>
            <w:tcW w:w="4675" w:type="dxa"/>
          </w:tcPr>
          <w:p w14:paraId="6376BA6D" w14:textId="77777777" w:rsidR="00962EFC" w:rsidRPr="009826C6" w:rsidRDefault="00962EFC" w:rsidP="001A2A6C">
            <w:r w:rsidRPr="00D44F21">
              <w:rPr>
                <w:u w:val="single"/>
              </w:rPr>
              <w:t>California:</w:t>
            </w:r>
            <w:r>
              <w:t xml:space="preserve"> Many hospitals have less than one predicted infection for specific HAI categories. Stakeholders still want an idea of how these hospitals perform compared to similar hospitals in the US.</w:t>
            </w:r>
          </w:p>
        </w:tc>
        <w:tc>
          <w:tcPr>
            <w:tcW w:w="4675" w:type="dxa"/>
          </w:tcPr>
          <w:p w14:paraId="5CDAD6CA" w14:textId="56AF91A1" w:rsidR="00962EFC" w:rsidRPr="008C1435" w:rsidRDefault="008C1435" w:rsidP="001A2A6C">
            <w:r>
              <w:t>Consider impact of statistical significance for facilities, especially because of lower risk.</w:t>
            </w:r>
            <w:r w:rsidR="0021435D">
              <w:t xml:space="preserve"> (e.g. if a facility has 1 or 2 infections)</w:t>
            </w:r>
          </w:p>
        </w:tc>
      </w:tr>
      <w:tr w:rsidR="00962EFC" w14:paraId="39D00F4D" w14:textId="77777777" w:rsidTr="001A2A6C">
        <w:tc>
          <w:tcPr>
            <w:tcW w:w="4675" w:type="dxa"/>
          </w:tcPr>
          <w:p w14:paraId="055A00A7" w14:textId="77777777" w:rsidR="00962EFC" w:rsidRDefault="00962EFC" w:rsidP="001A2A6C">
            <w:pPr>
              <w:rPr>
                <w:b/>
              </w:rPr>
            </w:pPr>
            <w:r w:rsidRPr="00D44F21">
              <w:rPr>
                <w:u w:val="single"/>
              </w:rPr>
              <w:t>California:</w:t>
            </w:r>
            <w:r>
              <w:t xml:space="preserve"> By using confidence intervals to account for statistical precision, hospitals with less than one predicted infection are not unfairly promoted or penalized because of small sample sizes.</w:t>
            </w:r>
          </w:p>
        </w:tc>
        <w:tc>
          <w:tcPr>
            <w:tcW w:w="4675" w:type="dxa"/>
          </w:tcPr>
          <w:p w14:paraId="68D7CC93" w14:textId="2C7CD641" w:rsidR="00962EFC" w:rsidRPr="008C1435" w:rsidRDefault="008C1435" w:rsidP="001A2A6C">
            <w:r>
              <w:t>Time and effort to calculate.</w:t>
            </w:r>
          </w:p>
        </w:tc>
      </w:tr>
      <w:tr w:rsidR="00962EFC" w14:paraId="32071ED4" w14:textId="77777777" w:rsidTr="001A2A6C">
        <w:tc>
          <w:tcPr>
            <w:tcW w:w="4675" w:type="dxa"/>
          </w:tcPr>
          <w:p w14:paraId="7DE7C606" w14:textId="77777777" w:rsidR="00962EFC" w:rsidRPr="00962EFC" w:rsidRDefault="00962EFC" w:rsidP="001A2A6C">
            <w:pPr>
              <w:rPr>
                <w:b/>
              </w:rPr>
            </w:pPr>
            <w:r w:rsidRPr="001261D6">
              <w:rPr>
                <w:u w:val="single"/>
              </w:rPr>
              <w:t>California:</w:t>
            </w:r>
            <w:r>
              <w:rPr>
                <w:u w:val="single"/>
              </w:rPr>
              <w:t xml:space="preserve"> </w:t>
            </w:r>
            <w:r>
              <w:t>Presenting the SIR as significantly worse, same, or better than the national baseline allows small and rural hospitals to be compared to larger facilities</w:t>
            </w:r>
          </w:p>
        </w:tc>
        <w:tc>
          <w:tcPr>
            <w:tcW w:w="4675" w:type="dxa"/>
          </w:tcPr>
          <w:p w14:paraId="3FA4D834" w14:textId="04C910D2" w:rsidR="00962EFC" w:rsidRPr="0021435D" w:rsidRDefault="0021435D" w:rsidP="001A2A6C">
            <w:r w:rsidRPr="0021435D">
              <w:t>Discrepancy</w:t>
            </w:r>
            <w:r>
              <w:t xml:space="preserve"> between hospital compare and state report</w:t>
            </w:r>
            <w:bookmarkStart w:id="0" w:name="_GoBack"/>
            <w:bookmarkEnd w:id="0"/>
          </w:p>
        </w:tc>
      </w:tr>
      <w:tr w:rsidR="00962EFC" w14:paraId="2D3CA8EE" w14:textId="77777777" w:rsidTr="001A2A6C">
        <w:tc>
          <w:tcPr>
            <w:tcW w:w="4675" w:type="dxa"/>
          </w:tcPr>
          <w:p w14:paraId="56367FFC" w14:textId="6740694E" w:rsidR="00962EFC" w:rsidRDefault="00533D48" w:rsidP="001A2A6C">
            <w:pPr>
              <w:rPr>
                <w:b/>
              </w:rPr>
            </w:pPr>
            <w:r>
              <w:rPr>
                <w:b/>
              </w:rPr>
              <w:t xml:space="preserve"> </w:t>
            </w:r>
          </w:p>
        </w:tc>
        <w:tc>
          <w:tcPr>
            <w:tcW w:w="4675" w:type="dxa"/>
          </w:tcPr>
          <w:p w14:paraId="03D8BFA4" w14:textId="77777777" w:rsidR="00962EFC" w:rsidRDefault="00962EFC" w:rsidP="001A2A6C">
            <w:pPr>
              <w:rPr>
                <w:b/>
              </w:rPr>
            </w:pPr>
          </w:p>
        </w:tc>
      </w:tr>
    </w:tbl>
    <w:p w14:paraId="0B298EB4" w14:textId="77777777" w:rsidR="00962EFC" w:rsidRPr="00DC6371" w:rsidRDefault="00962EFC">
      <w:pPr>
        <w:rPr>
          <w:b/>
        </w:rPr>
      </w:pPr>
    </w:p>
    <w:sectPr w:rsidR="00962EFC" w:rsidRPr="00DC63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381162"/>
    <w:multiLevelType w:val="hybridMultilevel"/>
    <w:tmpl w:val="3A264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6CD"/>
    <w:rsid w:val="00065096"/>
    <w:rsid w:val="000776CD"/>
    <w:rsid w:val="000B6942"/>
    <w:rsid w:val="00116E36"/>
    <w:rsid w:val="001261D6"/>
    <w:rsid w:val="0021435D"/>
    <w:rsid w:val="00241DDB"/>
    <w:rsid w:val="00246D34"/>
    <w:rsid w:val="002B4039"/>
    <w:rsid w:val="002B5D40"/>
    <w:rsid w:val="002D3CE3"/>
    <w:rsid w:val="003853C2"/>
    <w:rsid w:val="003B6599"/>
    <w:rsid w:val="003D1976"/>
    <w:rsid w:val="00533D48"/>
    <w:rsid w:val="005A7253"/>
    <w:rsid w:val="005B01DD"/>
    <w:rsid w:val="005E1416"/>
    <w:rsid w:val="005E48F7"/>
    <w:rsid w:val="00685413"/>
    <w:rsid w:val="008C1435"/>
    <w:rsid w:val="008C41CC"/>
    <w:rsid w:val="009264B3"/>
    <w:rsid w:val="009508EF"/>
    <w:rsid w:val="00962EFC"/>
    <w:rsid w:val="009826C6"/>
    <w:rsid w:val="00A27F94"/>
    <w:rsid w:val="00B767B8"/>
    <w:rsid w:val="00BC74E0"/>
    <w:rsid w:val="00C000FE"/>
    <w:rsid w:val="00CA08C1"/>
    <w:rsid w:val="00CB599C"/>
    <w:rsid w:val="00D44F21"/>
    <w:rsid w:val="00DC6371"/>
    <w:rsid w:val="00F707DA"/>
    <w:rsid w:val="00FA4073"/>
    <w:rsid w:val="00FA6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DE9BB"/>
  <w15:chartTrackingRefBased/>
  <w15:docId w15:val="{10A9C666-D575-47D0-BC20-5EA567DDE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5D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707DA"/>
    <w:pPr>
      <w:ind w:left="720"/>
      <w:contextualSpacing/>
    </w:pPr>
  </w:style>
  <w:style w:type="character" w:styleId="Hyperlink">
    <w:name w:val="Hyperlink"/>
    <w:basedOn w:val="DefaultParagraphFont"/>
    <w:uiPriority w:val="99"/>
    <w:unhideWhenUsed/>
    <w:rsid w:val="009508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https://www.cdph.ca.gov/Programs/CHCQ/HAI/Pages/AnnualHAIReports.asp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dph.ca.gov/Programs/CHCQ/HAI/CDPH%20Document%20Library/TechNotes_2016Data%20Report_%20Approved12.1.17.pdf"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DD10EC-D738-4FDB-94EE-C941AE8A6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842</Words>
  <Characters>4805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CDPH</Company>
  <LinksUpToDate>false</LinksUpToDate>
  <CharactersWithSpaces>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Horwich-Scholefield, Sam (CDPH-CHCQ-HAI)</dc:creator>
  <cp:keywords/>
  <dc:description/>
  <cp:lastModifiedBy>Chisty, Zeshan</cp:lastModifiedBy>
  <cp:revision>7</cp:revision>
  <dcterms:created xsi:type="dcterms:W3CDTF">2018-04-02T16:25:00Z</dcterms:created>
  <dcterms:modified xsi:type="dcterms:W3CDTF">2018-04-03T19:54:00Z</dcterms:modified>
</cp:coreProperties>
</file>