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9A8178" w14:textId="77777777" w:rsidR="008C173E" w:rsidRPr="008C173E" w:rsidRDefault="008C173E" w:rsidP="008C173E">
      <w:pPr>
        <w:pStyle w:val="Default"/>
        <w:jc w:val="center"/>
        <w:rPr>
          <w:rFonts w:asciiTheme="minorHAnsi" w:hAnsiTheme="minorHAnsi" w:cstheme="minorHAnsi"/>
          <w:b/>
          <w:bCs/>
          <w:i/>
          <w:iCs/>
          <w:sz w:val="22"/>
          <w:szCs w:val="22"/>
        </w:rPr>
      </w:pPr>
      <w:r w:rsidRPr="008C173E">
        <w:rPr>
          <w:rFonts w:asciiTheme="minorHAnsi" w:hAnsiTheme="minorHAnsi" w:cstheme="minorHAnsi"/>
          <w:b/>
          <w:bCs/>
          <w:i/>
          <w:iCs/>
          <w:sz w:val="22"/>
          <w:szCs w:val="22"/>
        </w:rPr>
        <w:t xml:space="preserve">VI. Considerations for </w:t>
      </w:r>
      <w:r w:rsidR="00B838E3">
        <w:rPr>
          <w:rFonts w:asciiTheme="minorHAnsi" w:hAnsiTheme="minorHAnsi" w:cstheme="minorHAnsi"/>
          <w:b/>
          <w:bCs/>
          <w:i/>
          <w:iCs/>
          <w:sz w:val="22"/>
          <w:szCs w:val="22"/>
        </w:rPr>
        <w:t xml:space="preserve">Facilities without an NHSN-calculated SIR </w:t>
      </w:r>
    </w:p>
    <w:p w14:paraId="2365CD7C" w14:textId="77777777" w:rsidR="008C173E" w:rsidRPr="008C173E" w:rsidRDefault="008C173E" w:rsidP="008C173E">
      <w:pPr>
        <w:pStyle w:val="Default"/>
        <w:rPr>
          <w:rFonts w:asciiTheme="minorHAnsi" w:hAnsiTheme="minorHAnsi" w:cstheme="minorHAnsi"/>
          <w:sz w:val="22"/>
          <w:szCs w:val="22"/>
        </w:rPr>
      </w:pPr>
    </w:p>
    <w:p w14:paraId="45FC0ADE" w14:textId="1B6B52AE" w:rsidR="00340B8C" w:rsidRPr="00340B8C" w:rsidRDefault="00340B8C" w:rsidP="00340B8C">
      <w:pPr>
        <w:pStyle w:val="Default"/>
        <w:rPr>
          <w:rFonts w:asciiTheme="minorHAnsi" w:hAnsiTheme="minorHAnsi" w:cstheme="minorHAnsi"/>
          <w:sz w:val="22"/>
          <w:szCs w:val="22"/>
        </w:rPr>
      </w:pPr>
      <w:r>
        <w:rPr>
          <w:rFonts w:asciiTheme="minorHAnsi" w:hAnsiTheme="minorHAnsi" w:cstheme="minorHAnsi"/>
          <w:sz w:val="22"/>
          <w:szCs w:val="22"/>
        </w:rPr>
        <w:t xml:space="preserve">The </w:t>
      </w:r>
      <w:hyperlink r:id="rId7" w:history="1">
        <w:r w:rsidRPr="00A8607A">
          <w:rPr>
            <w:rStyle w:val="Hyperlink"/>
            <w:rFonts w:asciiTheme="minorHAnsi" w:hAnsiTheme="minorHAnsi" w:cstheme="minorHAnsi"/>
            <w:sz w:val="22"/>
            <w:szCs w:val="22"/>
          </w:rPr>
          <w:t>CDC Guide to the SIR</w:t>
        </w:r>
      </w:hyperlink>
      <w:r>
        <w:rPr>
          <w:rFonts w:asciiTheme="minorHAnsi" w:hAnsiTheme="minorHAnsi" w:cstheme="minorHAnsi"/>
          <w:sz w:val="22"/>
          <w:szCs w:val="22"/>
        </w:rPr>
        <w:t xml:space="preserve"> states</w:t>
      </w:r>
      <w:r w:rsidRPr="00340B8C">
        <w:rPr>
          <w:rFonts w:asciiTheme="minorHAnsi" w:hAnsiTheme="minorHAnsi" w:cstheme="minorHAnsi"/>
          <w:sz w:val="22"/>
          <w:szCs w:val="22"/>
        </w:rPr>
        <w:t xml:space="preserve">: “In order to enforce a minimum precision criterion, </w:t>
      </w:r>
      <w:r w:rsidRPr="00340B8C">
        <w:rPr>
          <w:rFonts w:asciiTheme="minorHAnsi" w:hAnsiTheme="minorHAnsi" w:cstheme="minorHAnsi"/>
          <w:b/>
          <w:bCs/>
          <w:sz w:val="22"/>
          <w:szCs w:val="22"/>
        </w:rPr>
        <w:t>SIRs are currently not calculated when the number of predicted infections is less than 1.0</w:t>
      </w:r>
      <w:r w:rsidRPr="00340B8C">
        <w:rPr>
          <w:rFonts w:asciiTheme="minorHAnsi" w:hAnsiTheme="minorHAnsi" w:cstheme="minorHAnsi"/>
          <w:sz w:val="22"/>
          <w:szCs w:val="22"/>
        </w:rPr>
        <w:t>. This rule was instituted to avoid the calculation and interpretation of statistically imprecise SIRs, which typically have extreme values.”</w:t>
      </w:r>
    </w:p>
    <w:p w14:paraId="4E443C79" w14:textId="77777777" w:rsidR="00340B8C" w:rsidRDefault="00340B8C" w:rsidP="008C173E">
      <w:pPr>
        <w:pStyle w:val="Default"/>
        <w:rPr>
          <w:rFonts w:asciiTheme="minorHAnsi" w:hAnsiTheme="minorHAnsi" w:cstheme="minorHAnsi"/>
          <w:i/>
          <w:iCs/>
          <w:sz w:val="22"/>
          <w:szCs w:val="22"/>
        </w:rPr>
      </w:pPr>
    </w:p>
    <w:p w14:paraId="13390BA5" w14:textId="36A3C51F" w:rsidR="00A8607A" w:rsidRDefault="00857CEE" w:rsidP="00A8607A">
      <w:pPr>
        <w:pStyle w:val="Default"/>
        <w:rPr>
          <w:rFonts w:asciiTheme="minorHAnsi" w:hAnsiTheme="minorHAnsi" w:cstheme="minorHAnsi"/>
          <w:sz w:val="22"/>
          <w:szCs w:val="22"/>
        </w:rPr>
      </w:pPr>
      <w:r>
        <w:rPr>
          <w:rFonts w:asciiTheme="minorHAnsi" w:hAnsiTheme="minorHAnsi" w:cstheme="minorHAnsi"/>
          <w:sz w:val="22"/>
          <w:szCs w:val="22"/>
        </w:rPr>
        <w:t>Consistent with the CDC</w:t>
      </w:r>
      <w:r w:rsidR="00A8607A">
        <w:rPr>
          <w:rFonts w:asciiTheme="minorHAnsi" w:hAnsiTheme="minorHAnsi" w:cstheme="minorHAnsi"/>
          <w:sz w:val="22"/>
          <w:szCs w:val="22"/>
        </w:rPr>
        <w:t xml:space="preserve">, </w:t>
      </w:r>
      <w:r w:rsidRPr="008C173E">
        <w:rPr>
          <w:rFonts w:asciiTheme="minorHAnsi" w:hAnsiTheme="minorHAnsi" w:cstheme="minorHAnsi"/>
          <w:sz w:val="22"/>
          <w:szCs w:val="22"/>
        </w:rPr>
        <w:t xml:space="preserve">the workgroup </w:t>
      </w:r>
      <w:r w:rsidR="00503000">
        <w:rPr>
          <w:rFonts w:asciiTheme="minorHAnsi" w:hAnsiTheme="minorHAnsi" w:cstheme="minorHAnsi"/>
          <w:sz w:val="22"/>
          <w:szCs w:val="22"/>
        </w:rPr>
        <w:t xml:space="preserve">does </w:t>
      </w:r>
      <w:r w:rsidR="00503000">
        <w:rPr>
          <w:rFonts w:asciiTheme="minorHAnsi" w:hAnsiTheme="minorHAnsi" w:cstheme="minorHAnsi"/>
          <w:b/>
          <w:sz w:val="22"/>
          <w:szCs w:val="22"/>
        </w:rPr>
        <w:t xml:space="preserve">not </w:t>
      </w:r>
      <w:r w:rsidR="00503000">
        <w:rPr>
          <w:rFonts w:asciiTheme="minorHAnsi" w:hAnsiTheme="minorHAnsi" w:cstheme="minorHAnsi"/>
          <w:sz w:val="22"/>
          <w:szCs w:val="22"/>
        </w:rPr>
        <w:t>recommend</w:t>
      </w:r>
      <w:r w:rsidRPr="008C173E">
        <w:rPr>
          <w:rFonts w:asciiTheme="minorHAnsi" w:hAnsiTheme="minorHAnsi" w:cstheme="minorHAnsi"/>
          <w:b/>
          <w:bCs/>
          <w:sz w:val="22"/>
          <w:szCs w:val="22"/>
        </w:rPr>
        <w:t xml:space="preserve"> </w:t>
      </w:r>
      <w:r w:rsidRPr="008C173E">
        <w:rPr>
          <w:rFonts w:asciiTheme="minorHAnsi" w:hAnsiTheme="minorHAnsi" w:cstheme="minorHAnsi"/>
          <w:sz w:val="22"/>
          <w:szCs w:val="22"/>
        </w:rPr>
        <w:t xml:space="preserve">calculating the SIR for </w:t>
      </w:r>
      <w:r w:rsidR="00503000">
        <w:rPr>
          <w:rFonts w:asciiTheme="minorHAnsi" w:hAnsiTheme="minorHAnsi" w:cstheme="minorHAnsi"/>
          <w:sz w:val="22"/>
          <w:szCs w:val="22"/>
        </w:rPr>
        <w:t>a facility or unit that does not</w:t>
      </w:r>
      <w:r w:rsidR="00A8607A" w:rsidRPr="008C173E">
        <w:rPr>
          <w:rFonts w:asciiTheme="minorHAnsi" w:hAnsiTheme="minorHAnsi" w:cstheme="minorHAnsi"/>
          <w:sz w:val="22"/>
          <w:szCs w:val="22"/>
        </w:rPr>
        <w:t xml:space="preserve"> have a large enough denominator to hav</w:t>
      </w:r>
      <w:r>
        <w:rPr>
          <w:rFonts w:asciiTheme="minorHAnsi" w:hAnsiTheme="minorHAnsi" w:cstheme="minorHAnsi"/>
          <w:sz w:val="22"/>
          <w:szCs w:val="22"/>
        </w:rPr>
        <w:t xml:space="preserve">e even one predicted infection. </w:t>
      </w:r>
      <w:r w:rsidR="00A8607A" w:rsidRPr="008C173E">
        <w:rPr>
          <w:rFonts w:asciiTheme="minorHAnsi" w:hAnsiTheme="minorHAnsi" w:cstheme="minorHAnsi"/>
          <w:sz w:val="22"/>
          <w:szCs w:val="22"/>
        </w:rPr>
        <w:t>However, hospitals in this situation are left without a performance metric for that infection type. As a result, hospitals with no infections may not get credit for that accomplishment and hospitals that are doing worse than predicted may not be identified</w:t>
      </w:r>
      <w:commentRangeStart w:id="0"/>
      <w:r w:rsidR="00A8607A" w:rsidRPr="008C173E">
        <w:rPr>
          <w:rFonts w:asciiTheme="minorHAnsi" w:hAnsiTheme="minorHAnsi" w:cstheme="minorHAnsi"/>
          <w:sz w:val="22"/>
          <w:szCs w:val="22"/>
        </w:rPr>
        <w:t>. Small units within hospitals can also fall into this category</w:t>
      </w:r>
      <w:commentRangeEnd w:id="0"/>
      <w:r w:rsidR="00A8607A">
        <w:rPr>
          <w:rStyle w:val="CommentReference"/>
          <w:rFonts w:asciiTheme="minorHAnsi" w:hAnsiTheme="minorHAnsi" w:cstheme="minorBidi"/>
          <w:color w:val="auto"/>
        </w:rPr>
        <w:commentReference w:id="0"/>
      </w:r>
      <w:r w:rsidR="00A8607A" w:rsidRPr="008C173E">
        <w:rPr>
          <w:rFonts w:asciiTheme="minorHAnsi" w:hAnsiTheme="minorHAnsi" w:cstheme="minorHAnsi"/>
          <w:sz w:val="22"/>
          <w:szCs w:val="22"/>
        </w:rPr>
        <w:t xml:space="preserve">. Hospitals may view not having a performance metric as unfair since data are reported and having a “no conclusion” performance does not explain the context clearly. </w:t>
      </w:r>
      <w:r w:rsidR="00A8607A">
        <w:rPr>
          <w:rFonts w:asciiTheme="minorHAnsi" w:hAnsiTheme="minorHAnsi" w:cstheme="minorHAnsi"/>
          <w:sz w:val="22"/>
          <w:szCs w:val="22"/>
        </w:rPr>
        <w:t xml:space="preserve">The suggestions that follow may not apply across situations. For example, reporting zero observed infections may be relevant at both the aggregate facility level as well as individual unit level, whereas providing the SIR for &lt;1 but </w:t>
      </w:r>
      <w:r w:rsidR="00A8607A" w:rsidRPr="00C961E8">
        <w:rPr>
          <w:rFonts w:asciiTheme="minorHAnsi" w:hAnsiTheme="minorHAnsi" w:cstheme="minorHAnsi"/>
          <w:sz w:val="22"/>
          <w:szCs w:val="22"/>
        </w:rPr>
        <w:t>≥0.20</w:t>
      </w:r>
      <w:r w:rsidR="00A8607A">
        <w:rPr>
          <w:rFonts w:asciiTheme="minorHAnsi" w:hAnsiTheme="minorHAnsi" w:cstheme="minorHAnsi"/>
          <w:sz w:val="22"/>
          <w:szCs w:val="22"/>
        </w:rPr>
        <w:t xml:space="preserve"> predicted infections may be applicable only at the facility level. </w:t>
      </w:r>
    </w:p>
    <w:p w14:paraId="75FB3539" w14:textId="77777777" w:rsidR="00A8607A" w:rsidRDefault="00A8607A" w:rsidP="00A8607A">
      <w:pPr>
        <w:pStyle w:val="Default"/>
        <w:rPr>
          <w:rFonts w:asciiTheme="minorHAnsi" w:hAnsiTheme="minorHAnsi" w:cstheme="minorHAnsi"/>
          <w:sz w:val="22"/>
          <w:szCs w:val="22"/>
        </w:rPr>
      </w:pPr>
    </w:p>
    <w:p w14:paraId="1388CF50" w14:textId="7139B791" w:rsidR="008C173E" w:rsidRPr="008C173E" w:rsidRDefault="008C173E" w:rsidP="008C173E">
      <w:pPr>
        <w:pStyle w:val="Default"/>
        <w:rPr>
          <w:rFonts w:asciiTheme="minorHAnsi" w:hAnsiTheme="minorHAnsi" w:cstheme="minorHAnsi"/>
          <w:i/>
          <w:iCs/>
          <w:sz w:val="22"/>
          <w:szCs w:val="22"/>
        </w:rPr>
      </w:pPr>
      <w:commentRangeStart w:id="1"/>
      <w:r w:rsidRPr="008C173E">
        <w:rPr>
          <w:rFonts w:asciiTheme="minorHAnsi" w:hAnsiTheme="minorHAnsi" w:cstheme="minorHAnsi"/>
          <w:i/>
          <w:iCs/>
          <w:sz w:val="22"/>
          <w:szCs w:val="22"/>
        </w:rPr>
        <w:t>The suggestions below assume that data are presented as a single SIR per HAI and hospital location-t</w:t>
      </w:r>
      <w:bookmarkStart w:id="2" w:name="_GoBack"/>
      <w:bookmarkEnd w:id="2"/>
      <w:r w:rsidRPr="008C173E">
        <w:rPr>
          <w:rFonts w:asciiTheme="minorHAnsi" w:hAnsiTheme="minorHAnsi" w:cstheme="minorHAnsi"/>
          <w:i/>
          <w:iCs/>
          <w:sz w:val="22"/>
          <w:szCs w:val="22"/>
        </w:rPr>
        <w:t xml:space="preserve">ype. If your state reports individual unit-specific data, the guidance below may not apply. The workgroup recommends considering alternative analysis/display techniques only when the SIR cannot be calculated for a facility at all levels of stratification included in the data table (i.e., for all location types shown in the CLABSI and CAUTI table). </w:t>
      </w:r>
      <w:commentRangeEnd w:id="1"/>
      <w:r w:rsidR="00C961E8">
        <w:rPr>
          <w:rStyle w:val="CommentReference"/>
          <w:rFonts w:asciiTheme="minorHAnsi" w:hAnsiTheme="minorHAnsi" w:cstheme="minorBidi"/>
          <w:color w:val="auto"/>
        </w:rPr>
        <w:commentReference w:id="1"/>
      </w:r>
    </w:p>
    <w:p w14:paraId="7D1C1523" w14:textId="4C7825E9" w:rsidR="00C961E8" w:rsidRDefault="00C961E8" w:rsidP="008C173E">
      <w:pPr>
        <w:pStyle w:val="Default"/>
        <w:rPr>
          <w:rFonts w:asciiTheme="minorHAnsi" w:hAnsiTheme="minorHAnsi" w:cstheme="minorHAnsi"/>
          <w:sz w:val="22"/>
          <w:szCs w:val="22"/>
        </w:rPr>
      </w:pPr>
    </w:p>
    <w:p w14:paraId="13C8E972" w14:textId="46C3A569" w:rsidR="00340B8C" w:rsidRDefault="00340B8C" w:rsidP="00340B8C">
      <w:pPr>
        <w:rPr>
          <w:rFonts w:cstheme="minorHAnsi"/>
        </w:rPr>
      </w:pPr>
      <w:r w:rsidRPr="008C173E">
        <w:rPr>
          <w:rFonts w:cstheme="minorHAnsi"/>
        </w:rPr>
        <w:t>At this time, the workgroup does not recommend one approach over another</w:t>
      </w:r>
      <w:r w:rsidR="00503000">
        <w:rPr>
          <w:rFonts w:cstheme="minorHAnsi"/>
        </w:rPr>
        <w:t>; instead, it</w:t>
      </w:r>
      <w:r w:rsidRPr="008C173E">
        <w:rPr>
          <w:rFonts w:cstheme="minorHAnsi"/>
        </w:rPr>
        <w:t xml:space="preserve"> recognizes the need to continue to learn from states as different methods are implemented or changed over time. The toolkit is anticipated to evolve with future iterations.</w:t>
      </w:r>
    </w:p>
    <w:p w14:paraId="3963E730" w14:textId="6E7FF86E" w:rsidR="00C961E8" w:rsidRPr="00A4075E" w:rsidRDefault="00C961E8" w:rsidP="008C173E">
      <w:pPr>
        <w:pStyle w:val="Default"/>
        <w:rPr>
          <w:sz w:val="22"/>
          <w:szCs w:val="22"/>
        </w:rPr>
      </w:pPr>
      <w:r>
        <w:rPr>
          <w:rFonts w:asciiTheme="minorHAnsi" w:hAnsiTheme="minorHAnsi" w:cstheme="minorHAnsi"/>
          <w:sz w:val="22"/>
          <w:szCs w:val="22"/>
        </w:rPr>
        <w:t xml:space="preserve">The following table summarizes </w:t>
      </w:r>
      <w:r w:rsidR="00503000">
        <w:rPr>
          <w:rFonts w:asciiTheme="minorHAnsi" w:hAnsiTheme="minorHAnsi" w:cstheme="minorHAnsi"/>
          <w:sz w:val="22"/>
          <w:szCs w:val="22"/>
        </w:rPr>
        <w:t>the</w:t>
      </w:r>
      <w:r>
        <w:rPr>
          <w:rFonts w:asciiTheme="minorHAnsi" w:hAnsiTheme="minorHAnsi" w:cstheme="minorHAnsi"/>
          <w:sz w:val="22"/>
          <w:szCs w:val="22"/>
        </w:rPr>
        <w:t xml:space="preserve"> approaches described in this section along with </w:t>
      </w:r>
      <w:r w:rsidR="00503000">
        <w:rPr>
          <w:rFonts w:asciiTheme="minorHAnsi" w:hAnsiTheme="minorHAnsi" w:cstheme="minorHAnsi"/>
          <w:sz w:val="22"/>
          <w:szCs w:val="22"/>
        </w:rPr>
        <w:t xml:space="preserve">associated </w:t>
      </w:r>
      <w:r>
        <w:rPr>
          <w:rFonts w:asciiTheme="minorHAnsi" w:hAnsiTheme="minorHAnsi" w:cstheme="minorHAnsi"/>
          <w:sz w:val="22"/>
          <w:szCs w:val="22"/>
        </w:rPr>
        <w:t>advantages and disadvantages. Each of these methods is described in more detail below, along with examples from states and templates</w:t>
      </w:r>
      <w:r w:rsidR="00503000">
        <w:rPr>
          <w:rFonts w:asciiTheme="minorHAnsi" w:hAnsiTheme="minorHAnsi" w:cstheme="minorHAnsi"/>
          <w:sz w:val="22"/>
          <w:szCs w:val="22"/>
        </w:rPr>
        <w:t xml:space="preserve"> for practical application</w:t>
      </w:r>
      <w:r>
        <w:rPr>
          <w:rFonts w:asciiTheme="minorHAnsi" w:hAnsiTheme="minorHAnsi" w:cstheme="minorHAnsi"/>
          <w:sz w:val="22"/>
          <w:szCs w:val="22"/>
        </w:rPr>
        <w:t xml:space="preserve">. </w:t>
      </w:r>
    </w:p>
    <w:p w14:paraId="48A8DF80" w14:textId="77777777" w:rsidR="00B838E3" w:rsidRDefault="00B838E3" w:rsidP="008C173E">
      <w:pPr>
        <w:pStyle w:val="Default"/>
        <w:rPr>
          <w:rFonts w:asciiTheme="minorHAnsi" w:hAnsiTheme="minorHAnsi" w:cstheme="minorHAnsi"/>
          <w:sz w:val="22"/>
          <w:szCs w:val="22"/>
        </w:rPr>
      </w:pPr>
    </w:p>
    <w:p w14:paraId="5BFD1074" w14:textId="77777777" w:rsidR="00E968D9" w:rsidRDefault="00E968D9" w:rsidP="008C173E">
      <w:pPr>
        <w:pStyle w:val="Default"/>
        <w:rPr>
          <w:rFonts w:asciiTheme="minorHAnsi" w:hAnsiTheme="minorHAnsi" w:cstheme="minorHAnsi"/>
          <w:sz w:val="22"/>
          <w:szCs w:val="22"/>
        </w:rPr>
        <w:sectPr w:rsidR="00E968D9" w:rsidSect="00D26908">
          <w:pgSz w:w="12240" w:h="15840"/>
          <w:pgMar w:top="1080" w:right="1080" w:bottom="1080" w:left="1080" w:header="720" w:footer="720" w:gutter="0"/>
          <w:cols w:space="720"/>
          <w:docGrid w:linePitch="360"/>
        </w:sectPr>
      </w:pPr>
    </w:p>
    <w:p w14:paraId="1192FAC8" w14:textId="6329F731" w:rsidR="00C961E8" w:rsidRDefault="00C961E8" w:rsidP="008C173E">
      <w:pPr>
        <w:pStyle w:val="Default"/>
        <w:rPr>
          <w:rFonts w:asciiTheme="minorHAnsi" w:hAnsiTheme="minorHAnsi" w:cstheme="minorHAnsi"/>
          <w:sz w:val="22"/>
          <w:szCs w:val="22"/>
        </w:rPr>
      </w:pPr>
      <w:commentRangeStart w:id="3"/>
      <w:r>
        <w:rPr>
          <w:rFonts w:asciiTheme="minorHAnsi" w:hAnsiTheme="minorHAnsi" w:cstheme="minorHAnsi"/>
          <w:sz w:val="22"/>
          <w:szCs w:val="22"/>
        </w:rPr>
        <w:lastRenderedPageBreak/>
        <w:t>Table X</w:t>
      </w:r>
      <w:commentRangeEnd w:id="3"/>
      <w:r w:rsidR="00503000">
        <w:rPr>
          <w:rStyle w:val="CommentReference"/>
          <w:rFonts w:asciiTheme="minorHAnsi" w:hAnsiTheme="minorHAnsi" w:cstheme="minorBidi"/>
          <w:color w:val="auto"/>
        </w:rPr>
        <w:commentReference w:id="3"/>
      </w:r>
      <w:r>
        <w:rPr>
          <w:rFonts w:asciiTheme="minorHAnsi" w:hAnsiTheme="minorHAnsi" w:cstheme="minorHAnsi"/>
          <w:sz w:val="22"/>
          <w:szCs w:val="22"/>
        </w:rPr>
        <w:t>. Summary of alternatives for presentation of data for facilities without an NHSN-calculated SIR</w:t>
      </w:r>
    </w:p>
    <w:tbl>
      <w:tblPr>
        <w:tblStyle w:val="TableGrid"/>
        <w:tblW w:w="13225" w:type="dxa"/>
        <w:tblLook w:val="04A0" w:firstRow="1" w:lastRow="0" w:firstColumn="1" w:lastColumn="0" w:noHBand="0" w:noVBand="1"/>
      </w:tblPr>
      <w:tblGrid>
        <w:gridCol w:w="1087"/>
        <w:gridCol w:w="2192"/>
        <w:gridCol w:w="2509"/>
        <w:gridCol w:w="2847"/>
        <w:gridCol w:w="2250"/>
        <w:gridCol w:w="2340"/>
      </w:tblGrid>
      <w:tr w:rsidR="00A168A9" w:rsidRPr="003D78B1" w14:paraId="53AEF19B" w14:textId="3693B495" w:rsidTr="00A168A9">
        <w:tc>
          <w:tcPr>
            <w:tcW w:w="1087" w:type="dxa"/>
          </w:tcPr>
          <w:p w14:paraId="4EAB96DC" w14:textId="77777777" w:rsidR="00E968D9" w:rsidRPr="003D78B1" w:rsidRDefault="00E968D9" w:rsidP="008C173E">
            <w:pPr>
              <w:pStyle w:val="Default"/>
              <w:rPr>
                <w:rFonts w:asciiTheme="minorHAnsi" w:hAnsiTheme="minorHAnsi" w:cstheme="minorHAnsi"/>
                <w:b/>
                <w:sz w:val="22"/>
                <w:szCs w:val="22"/>
              </w:rPr>
            </w:pPr>
            <w:r w:rsidRPr="003D78B1">
              <w:rPr>
                <w:rFonts w:asciiTheme="minorHAnsi" w:hAnsiTheme="minorHAnsi" w:cstheme="minorHAnsi"/>
                <w:b/>
                <w:sz w:val="22"/>
                <w:szCs w:val="22"/>
              </w:rPr>
              <w:t>Method</w:t>
            </w:r>
          </w:p>
        </w:tc>
        <w:tc>
          <w:tcPr>
            <w:tcW w:w="2192" w:type="dxa"/>
          </w:tcPr>
          <w:p w14:paraId="27C74559" w14:textId="77777777" w:rsidR="00E968D9" w:rsidRPr="003D78B1" w:rsidRDefault="00E968D9" w:rsidP="008C173E">
            <w:pPr>
              <w:pStyle w:val="Default"/>
              <w:rPr>
                <w:rFonts w:asciiTheme="minorHAnsi" w:hAnsiTheme="minorHAnsi" w:cstheme="minorHAnsi"/>
                <w:b/>
                <w:sz w:val="22"/>
                <w:szCs w:val="22"/>
              </w:rPr>
            </w:pPr>
            <w:r w:rsidRPr="003D78B1">
              <w:rPr>
                <w:rFonts w:asciiTheme="minorHAnsi" w:hAnsiTheme="minorHAnsi" w:cstheme="minorHAnsi"/>
                <w:b/>
                <w:sz w:val="22"/>
                <w:szCs w:val="22"/>
              </w:rPr>
              <w:t>Report zero observed infections</w:t>
            </w:r>
          </w:p>
        </w:tc>
        <w:tc>
          <w:tcPr>
            <w:tcW w:w="2509" w:type="dxa"/>
          </w:tcPr>
          <w:p w14:paraId="22BC2F7D" w14:textId="77777777" w:rsidR="00E968D9" w:rsidRPr="003D78B1" w:rsidRDefault="00E968D9" w:rsidP="008C173E">
            <w:pPr>
              <w:pStyle w:val="Default"/>
              <w:rPr>
                <w:rFonts w:asciiTheme="minorHAnsi" w:hAnsiTheme="minorHAnsi" w:cstheme="minorHAnsi"/>
                <w:b/>
                <w:sz w:val="22"/>
                <w:szCs w:val="22"/>
              </w:rPr>
            </w:pPr>
            <w:r w:rsidRPr="003D78B1">
              <w:rPr>
                <w:rFonts w:asciiTheme="minorHAnsi" w:hAnsiTheme="minorHAnsi" w:cstheme="minorHAnsi"/>
                <w:b/>
                <w:sz w:val="22"/>
                <w:szCs w:val="22"/>
              </w:rPr>
              <w:t>Provide SIR for ≥0.20 &lt;1 predicted number of infections</w:t>
            </w:r>
          </w:p>
        </w:tc>
        <w:tc>
          <w:tcPr>
            <w:tcW w:w="2847" w:type="dxa"/>
          </w:tcPr>
          <w:p w14:paraId="2876A52E" w14:textId="77777777" w:rsidR="00E968D9" w:rsidRPr="003D78B1" w:rsidRDefault="00E968D9" w:rsidP="008C173E">
            <w:pPr>
              <w:pStyle w:val="Default"/>
              <w:rPr>
                <w:rFonts w:asciiTheme="minorHAnsi" w:hAnsiTheme="minorHAnsi" w:cstheme="minorHAnsi"/>
                <w:b/>
                <w:sz w:val="22"/>
                <w:szCs w:val="22"/>
              </w:rPr>
            </w:pPr>
            <w:r w:rsidRPr="003D78B1">
              <w:rPr>
                <w:rFonts w:asciiTheme="minorHAnsi" w:hAnsiTheme="minorHAnsi" w:cstheme="minorHAnsi"/>
                <w:b/>
                <w:sz w:val="22"/>
                <w:szCs w:val="22"/>
              </w:rPr>
              <w:t>Present number of months since last infection</w:t>
            </w:r>
          </w:p>
        </w:tc>
        <w:tc>
          <w:tcPr>
            <w:tcW w:w="2250" w:type="dxa"/>
          </w:tcPr>
          <w:p w14:paraId="6AAB9639" w14:textId="77777777" w:rsidR="00E968D9" w:rsidRPr="003D78B1" w:rsidRDefault="00E968D9" w:rsidP="008C173E">
            <w:pPr>
              <w:pStyle w:val="Default"/>
              <w:rPr>
                <w:rFonts w:asciiTheme="minorHAnsi" w:hAnsiTheme="minorHAnsi" w:cstheme="minorHAnsi"/>
                <w:b/>
                <w:sz w:val="22"/>
                <w:szCs w:val="22"/>
              </w:rPr>
            </w:pPr>
            <w:r>
              <w:rPr>
                <w:rFonts w:asciiTheme="minorHAnsi" w:hAnsiTheme="minorHAnsi" w:cstheme="minorHAnsi"/>
                <w:b/>
                <w:sz w:val="22"/>
                <w:szCs w:val="22"/>
              </w:rPr>
              <w:t>Aggregate data over a longer period of time</w:t>
            </w:r>
          </w:p>
        </w:tc>
        <w:tc>
          <w:tcPr>
            <w:tcW w:w="2340" w:type="dxa"/>
          </w:tcPr>
          <w:p w14:paraId="5B83999C" w14:textId="6EA22240" w:rsidR="00E968D9" w:rsidRDefault="00E968D9" w:rsidP="008C173E">
            <w:pPr>
              <w:pStyle w:val="Default"/>
              <w:rPr>
                <w:rFonts w:asciiTheme="minorHAnsi" w:hAnsiTheme="minorHAnsi" w:cstheme="minorHAnsi"/>
                <w:b/>
                <w:sz w:val="22"/>
                <w:szCs w:val="22"/>
              </w:rPr>
            </w:pPr>
            <w:r>
              <w:rPr>
                <w:rFonts w:asciiTheme="minorHAnsi" w:hAnsiTheme="minorHAnsi" w:cstheme="minorHAnsi"/>
                <w:b/>
                <w:sz w:val="22"/>
                <w:szCs w:val="22"/>
              </w:rPr>
              <w:t>Present an infection rate</w:t>
            </w:r>
          </w:p>
        </w:tc>
      </w:tr>
      <w:tr w:rsidR="00A168A9" w14:paraId="15D19D81" w14:textId="62A8DB93" w:rsidTr="00A168A9">
        <w:tc>
          <w:tcPr>
            <w:tcW w:w="1087" w:type="dxa"/>
          </w:tcPr>
          <w:p w14:paraId="7977AC89" w14:textId="77777777" w:rsidR="00E968D9" w:rsidRPr="00865307" w:rsidRDefault="00E968D9" w:rsidP="008C173E">
            <w:pPr>
              <w:pStyle w:val="Default"/>
              <w:rPr>
                <w:rFonts w:asciiTheme="minorHAnsi" w:hAnsiTheme="minorHAnsi" w:cstheme="minorHAnsi"/>
                <w:b/>
                <w:sz w:val="22"/>
                <w:szCs w:val="22"/>
              </w:rPr>
            </w:pPr>
            <w:r w:rsidRPr="00865307">
              <w:rPr>
                <w:rFonts w:asciiTheme="minorHAnsi" w:hAnsiTheme="minorHAnsi" w:cstheme="minorHAnsi"/>
                <w:b/>
                <w:sz w:val="22"/>
                <w:szCs w:val="22"/>
              </w:rPr>
              <w:t>Summary</w:t>
            </w:r>
          </w:p>
        </w:tc>
        <w:tc>
          <w:tcPr>
            <w:tcW w:w="2192" w:type="dxa"/>
          </w:tcPr>
          <w:p w14:paraId="7F22ECD1"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Highlight hospitals with zero infections with special symbol</w:t>
            </w:r>
          </w:p>
          <w:p w14:paraId="79E4013D"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Specify time period</w:t>
            </w:r>
          </w:p>
          <w:p w14:paraId="3B106FFB"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 xml:space="preserve">Do not calculate SIR </w:t>
            </w:r>
          </w:p>
        </w:tc>
        <w:tc>
          <w:tcPr>
            <w:tcW w:w="2509" w:type="dxa"/>
          </w:tcPr>
          <w:p w14:paraId="00A4BC8A"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Calculate SIR for facilities with number of predicted infections &lt;1 but ≥0.20</w:t>
            </w:r>
          </w:p>
          <w:p w14:paraId="4AE1B121"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Add note of caution for interpretation</w:t>
            </w:r>
          </w:p>
          <w:p w14:paraId="4F552544"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Applicable to other categories (e.g. VRE)</w:t>
            </w:r>
          </w:p>
          <w:p w14:paraId="108384B0"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Do not compare SIR to other facilities</w:t>
            </w:r>
          </w:p>
        </w:tc>
        <w:tc>
          <w:tcPr>
            <w:tcW w:w="2847" w:type="dxa"/>
          </w:tcPr>
          <w:p w14:paraId="20860564"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Present number of months since last infection</w:t>
            </w:r>
          </w:p>
          <w:p w14:paraId="5089A2AC"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Specify time period</w:t>
            </w:r>
          </w:p>
          <w:p w14:paraId="4B32760D"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Include catchall category to capture &gt;X months (e.g. 36+ months to never)</w:t>
            </w:r>
          </w:p>
          <w:p w14:paraId="69E7BB32" w14:textId="77777777" w:rsidR="00E968D9" w:rsidRDefault="00E968D9" w:rsidP="003D78B1">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Show distribution of facilities</w:t>
            </w:r>
          </w:p>
          <w:p w14:paraId="7A054B45" w14:textId="77777777" w:rsidR="00E968D9" w:rsidRPr="003D78B1" w:rsidRDefault="00E968D9" w:rsidP="003D78B1">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May be used internally, not publicly</w:t>
            </w:r>
          </w:p>
        </w:tc>
        <w:tc>
          <w:tcPr>
            <w:tcW w:w="2250" w:type="dxa"/>
          </w:tcPr>
          <w:p w14:paraId="38259BAA" w14:textId="77777777" w:rsidR="00E968D9" w:rsidRDefault="00E968D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Accumulate more data to report</w:t>
            </w:r>
          </w:p>
        </w:tc>
        <w:tc>
          <w:tcPr>
            <w:tcW w:w="2340" w:type="dxa"/>
          </w:tcPr>
          <w:p w14:paraId="277AEAE9" w14:textId="77777777" w:rsidR="00E968D9" w:rsidRDefault="00AF6D6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Provides information about the number of infections occurring in a specific population at risk for an infection</w:t>
            </w:r>
          </w:p>
          <w:p w14:paraId="02FC7172" w14:textId="62612F78" w:rsidR="00AF6D69" w:rsidRDefault="00AF6D69" w:rsidP="00B838E3">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Should be stratified across similar populations</w:t>
            </w:r>
          </w:p>
        </w:tc>
      </w:tr>
      <w:tr w:rsidR="00A168A9" w14:paraId="4E8EE176" w14:textId="2998CA21" w:rsidTr="00A168A9">
        <w:tc>
          <w:tcPr>
            <w:tcW w:w="1087" w:type="dxa"/>
          </w:tcPr>
          <w:p w14:paraId="2594220D" w14:textId="77777777" w:rsidR="00E968D9" w:rsidRPr="00865307" w:rsidRDefault="00E968D9" w:rsidP="008C173E">
            <w:pPr>
              <w:pStyle w:val="Default"/>
              <w:rPr>
                <w:rFonts w:asciiTheme="minorHAnsi" w:hAnsiTheme="minorHAnsi" w:cstheme="minorHAnsi"/>
                <w:b/>
                <w:sz w:val="22"/>
                <w:szCs w:val="22"/>
              </w:rPr>
            </w:pPr>
            <w:r w:rsidRPr="00865307">
              <w:rPr>
                <w:rFonts w:asciiTheme="minorHAnsi" w:hAnsiTheme="minorHAnsi" w:cstheme="minorHAnsi"/>
                <w:b/>
                <w:sz w:val="22"/>
                <w:szCs w:val="22"/>
              </w:rPr>
              <w:t>Pros</w:t>
            </w:r>
          </w:p>
        </w:tc>
        <w:tc>
          <w:tcPr>
            <w:tcW w:w="2192" w:type="dxa"/>
          </w:tcPr>
          <w:p w14:paraId="3EEB0B70"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Little interpretation or extra calculation needed</w:t>
            </w:r>
          </w:p>
          <w:p w14:paraId="5A22A2CD"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 xml:space="preserve">Provides facilities with a practical benchmark </w:t>
            </w:r>
          </w:p>
        </w:tc>
        <w:tc>
          <w:tcPr>
            <w:tcW w:w="2509" w:type="dxa"/>
          </w:tcPr>
          <w:p w14:paraId="7DCC6783"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Provides almost all facilities with an SIR to compare to itself over time</w:t>
            </w:r>
          </w:p>
          <w:p w14:paraId="25AC1303"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Applicable across categories</w:t>
            </w:r>
          </w:p>
        </w:tc>
        <w:tc>
          <w:tcPr>
            <w:tcW w:w="2847" w:type="dxa"/>
          </w:tcPr>
          <w:p w14:paraId="55622ED5"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Provides facilities with an internal benchmark</w:t>
            </w:r>
          </w:p>
          <w:p w14:paraId="32AB8BEE" w14:textId="77777777" w:rsidR="00E968D9" w:rsidRDefault="00E968D9" w:rsidP="003D78B1">
            <w:pPr>
              <w:pStyle w:val="Default"/>
              <w:numPr>
                <w:ilvl w:val="0"/>
                <w:numId w:val="6"/>
              </w:numPr>
              <w:rPr>
                <w:rFonts w:asciiTheme="minorHAnsi" w:hAnsiTheme="minorHAnsi" w:cstheme="minorHAnsi"/>
                <w:sz w:val="22"/>
                <w:szCs w:val="22"/>
              </w:rPr>
            </w:pPr>
          </w:p>
        </w:tc>
        <w:tc>
          <w:tcPr>
            <w:tcW w:w="2250" w:type="dxa"/>
          </w:tcPr>
          <w:p w14:paraId="7A23E82C"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More data may mean fewer facilities with predicted number of infections &lt;1</w:t>
            </w:r>
          </w:p>
        </w:tc>
        <w:tc>
          <w:tcPr>
            <w:tcW w:w="2340" w:type="dxa"/>
          </w:tcPr>
          <w:p w14:paraId="658F11CE" w14:textId="3C20BA49" w:rsidR="00E968D9" w:rsidRDefault="00A168A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Provides a performance measure that allows for comparison within population risk group</w:t>
            </w:r>
          </w:p>
        </w:tc>
      </w:tr>
      <w:tr w:rsidR="00A168A9" w14:paraId="3AF3B7A1" w14:textId="3CAAF70F" w:rsidTr="00A168A9">
        <w:tc>
          <w:tcPr>
            <w:tcW w:w="1087" w:type="dxa"/>
          </w:tcPr>
          <w:p w14:paraId="5A6C40E9" w14:textId="77777777" w:rsidR="00E968D9" w:rsidRPr="00865307" w:rsidRDefault="00E968D9" w:rsidP="008C173E">
            <w:pPr>
              <w:pStyle w:val="Default"/>
              <w:rPr>
                <w:rFonts w:asciiTheme="minorHAnsi" w:hAnsiTheme="minorHAnsi" w:cstheme="minorHAnsi"/>
                <w:b/>
                <w:sz w:val="22"/>
                <w:szCs w:val="22"/>
              </w:rPr>
            </w:pPr>
            <w:r w:rsidRPr="00865307">
              <w:rPr>
                <w:rFonts w:asciiTheme="minorHAnsi" w:hAnsiTheme="minorHAnsi" w:cstheme="minorHAnsi"/>
                <w:b/>
                <w:sz w:val="22"/>
                <w:szCs w:val="22"/>
              </w:rPr>
              <w:t>Cons</w:t>
            </w:r>
          </w:p>
        </w:tc>
        <w:tc>
          <w:tcPr>
            <w:tcW w:w="2192" w:type="dxa"/>
          </w:tcPr>
          <w:p w14:paraId="06030AB5"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May not be current (esp. with annual reports)</w:t>
            </w:r>
          </w:p>
          <w:p w14:paraId="3DBE6FFC"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May exclude larger hospitals</w:t>
            </w:r>
          </w:p>
        </w:tc>
        <w:tc>
          <w:tcPr>
            <w:tcW w:w="2509" w:type="dxa"/>
          </w:tcPr>
          <w:p w14:paraId="4DDAF328"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Can not be compared across facilities</w:t>
            </w:r>
          </w:p>
          <w:p w14:paraId="63AF32DA" w14:textId="77777777" w:rsidR="00E968D9" w:rsidRDefault="00E968D9" w:rsidP="003D78B1">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Unclear if public will understand caution for interpretation</w:t>
            </w:r>
          </w:p>
        </w:tc>
        <w:tc>
          <w:tcPr>
            <w:tcW w:w="2847" w:type="dxa"/>
          </w:tcPr>
          <w:p w14:paraId="533EAF8F" w14:textId="77777777" w:rsidR="00E968D9" w:rsidRDefault="00E968D9" w:rsidP="00A23464">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Not for public consumption</w:t>
            </w:r>
          </w:p>
          <w:p w14:paraId="26E1DD0A" w14:textId="77777777" w:rsidR="00E968D9" w:rsidRDefault="00E968D9" w:rsidP="00A23464">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Requires prompt and frequent reporting to be meaningful (more than annual)</w:t>
            </w:r>
          </w:p>
          <w:p w14:paraId="41E9852D" w14:textId="77777777" w:rsidR="00E968D9" w:rsidRDefault="00E968D9" w:rsidP="00A23464">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May not be as beneficial to larger hospitals</w:t>
            </w:r>
          </w:p>
        </w:tc>
        <w:tc>
          <w:tcPr>
            <w:tcW w:w="2250" w:type="dxa"/>
          </w:tcPr>
          <w:p w14:paraId="36A6E032" w14:textId="77777777" w:rsidR="00E968D9" w:rsidRDefault="00E968D9" w:rsidP="00A23464">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Data may not be as timely or useful to facilities (reporting will be delayed)</w:t>
            </w:r>
          </w:p>
        </w:tc>
        <w:tc>
          <w:tcPr>
            <w:tcW w:w="2340" w:type="dxa"/>
          </w:tcPr>
          <w:p w14:paraId="37744856" w14:textId="77777777" w:rsidR="00E968D9" w:rsidRDefault="00AF6D69" w:rsidP="00A23464">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Not risk-adjusted</w:t>
            </w:r>
          </w:p>
          <w:p w14:paraId="05D4D185" w14:textId="0BC68816" w:rsidR="00AF6D69" w:rsidRDefault="00A168A9" w:rsidP="00A23464">
            <w:pPr>
              <w:pStyle w:val="Default"/>
              <w:numPr>
                <w:ilvl w:val="0"/>
                <w:numId w:val="6"/>
              </w:numPr>
              <w:rPr>
                <w:rFonts w:asciiTheme="minorHAnsi" w:hAnsiTheme="minorHAnsi" w:cstheme="minorHAnsi"/>
                <w:sz w:val="22"/>
                <w:szCs w:val="22"/>
              </w:rPr>
            </w:pPr>
            <w:r>
              <w:rPr>
                <w:rFonts w:asciiTheme="minorHAnsi" w:hAnsiTheme="minorHAnsi" w:cstheme="minorHAnsi"/>
                <w:sz w:val="22"/>
                <w:szCs w:val="22"/>
              </w:rPr>
              <w:t>Can only be interpreted or compared within strata</w:t>
            </w:r>
          </w:p>
        </w:tc>
      </w:tr>
    </w:tbl>
    <w:p w14:paraId="32D870AF" w14:textId="77777777" w:rsidR="00B838E3" w:rsidRPr="008C173E" w:rsidRDefault="00B838E3" w:rsidP="008C173E">
      <w:pPr>
        <w:pStyle w:val="Default"/>
        <w:rPr>
          <w:rFonts w:asciiTheme="minorHAnsi" w:hAnsiTheme="minorHAnsi" w:cstheme="minorHAnsi"/>
          <w:sz w:val="22"/>
          <w:szCs w:val="22"/>
        </w:rPr>
      </w:pPr>
    </w:p>
    <w:p w14:paraId="3467B135" w14:textId="77777777" w:rsidR="008C173E" w:rsidRPr="008C173E" w:rsidRDefault="008C173E" w:rsidP="008C173E">
      <w:pPr>
        <w:pStyle w:val="Default"/>
        <w:rPr>
          <w:rFonts w:asciiTheme="minorHAnsi" w:hAnsiTheme="minorHAnsi" w:cstheme="minorHAnsi"/>
          <w:sz w:val="22"/>
          <w:szCs w:val="22"/>
        </w:rPr>
      </w:pPr>
    </w:p>
    <w:p w14:paraId="73F52560" w14:textId="77777777" w:rsidR="00E968D9" w:rsidRDefault="00E968D9" w:rsidP="008C173E">
      <w:pPr>
        <w:pStyle w:val="Default"/>
        <w:rPr>
          <w:rFonts w:asciiTheme="minorHAnsi" w:hAnsiTheme="minorHAnsi" w:cstheme="minorHAnsi"/>
          <w:b/>
          <w:bCs/>
          <w:sz w:val="22"/>
          <w:szCs w:val="22"/>
        </w:rPr>
        <w:sectPr w:rsidR="00E968D9" w:rsidSect="00E968D9">
          <w:pgSz w:w="15840" w:h="12240" w:orient="landscape"/>
          <w:pgMar w:top="1080" w:right="1080" w:bottom="1080" w:left="1080" w:header="720" w:footer="720" w:gutter="0"/>
          <w:cols w:space="720"/>
          <w:docGrid w:linePitch="360"/>
        </w:sectPr>
      </w:pPr>
    </w:p>
    <w:p w14:paraId="09060A9C" w14:textId="166D236F" w:rsidR="008C173E" w:rsidRPr="008C173E" w:rsidRDefault="008C173E" w:rsidP="008C173E">
      <w:pPr>
        <w:pStyle w:val="Default"/>
        <w:rPr>
          <w:rFonts w:asciiTheme="minorHAnsi" w:hAnsiTheme="minorHAnsi" w:cstheme="minorHAnsi"/>
          <w:sz w:val="22"/>
          <w:szCs w:val="22"/>
        </w:rPr>
      </w:pPr>
      <w:commentRangeStart w:id="4"/>
      <w:r w:rsidRPr="008C173E">
        <w:rPr>
          <w:rFonts w:asciiTheme="minorHAnsi" w:hAnsiTheme="minorHAnsi" w:cstheme="minorHAnsi"/>
          <w:b/>
          <w:bCs/>
          <w:sz w:val="22"/>
          <w:szCs w:val="22"/>
        </w:rPr>
        <w:lastRenderedPageBreak/>
        <w:t xml:space="preserve">Highlight Hospitals with Zero Infections: </w:t>
      </w:r>
    </w:p>
    <w:p w14:paraId="47D1B9AB" w14:textId="77777777" w:rsidR="008C173E" w:rsidRPr="008C173E" w:rsidRDefault="008C173E" w:rsidP="008C173E">
      <w:pPr>
        <w:pStyle w:val="Default"/>
        <w:spacing w:after="10"/>
        <w:rPr>
          <w:rFonts w:asciiTheme="minorHAnsi" w:hAnsiTheme="minorHAnsi" w:cstheme="minorHAnsi"/>
          <w:sz w:val="22"/>
          <w:szCs w:val="22"/>
        </w:rPr>
      </w:pPr>
      <w:r w:rsidRPr="008C173E">
        <w:rPr>
          <w:rFonts w:asciiTheme="minorHAnsi" w:hAnsiTheme="minorHAnsi" w:cstheme="minorHAnsi"/>
          <w:sz w:val="22"/>
          <w:szCs w:val="22"/>
        </w:rPr>
        <w:t xml:space="preserve">Provide number of months since last infection for those hospitals with zero infections. Points to be considered if using this metric: </w:t>
      </w:r>
    </w:p>
    <w:p w14:paraId="53CCBB66" w14:textId="77777777" w:rsidR="008C173E" w:rsidRPr="008C173E" w:rsidRDefault="008C173E" w:rsidP="008C173E">
      <w:pPr>
        <w:pStyle w:val="Default"/>
        <w:spacing w:after="10"/>
        <w:rPr>
          <w:rFonts w:asciiTheme="minorHAnsi" w:hAnsiTheme="minorHAnsi" w:cstheme="minorHAnsi"/>
          <w:sz w:val="22"/>
          <w:szCs w:val="22"/>
        </w:rPr>
      </w:pPr>
      <w:r w:rsidRPr="008C173E">
        <w:rPr>
          <w:rFonts w:asciiTheme="minorHAnsi" w:hAnsiTheme="minorHAnsi" w:cstheme="minorHAnsi"/>
          <w:sz w:val="22"/>
          <w:szCs w:val="22"/>
        </w:rPr>
        <w:t xml:space="preserve">o How often would this metric be updated? </w:t>
      </w:r>
    </w:p>
    <w:p w14:paraId="703E0F91" w14:textId="77777777" w:rsidR="008C173E" w:rsidRPr="008C173E" w:rsidRDefault="008C173E" w:rsidP="008C173E">
      <w:pPr>
        <w:pStyle w:val="Default"/>
        <w:spacing w:after="10"/>
        <w:rPr>
          <w:rFonts w:asciiTheme="minorHAnsi" w:hAnsiTheme="minorHAnsi" w:cstheme="minorHAnsi"/>
          <w:sz w:val="22"/>
          <w:szCs w:val="22"/>
        </w:rPr>
      </w:pPr>
      <w:r w:rsidRPr="008C173E">
        <w:rPr>
          <w:rFonts w:asciiTheme="minorHAnsi" w:hAnsiTheme="minorHAnsi" w:cstheme="minorHAnsi"/>
          <w:sz w:val="22"/>
          <w:szCs w:val="22"/>
        </w:rPr>
        <w:t xml:space="preserve">o How could the state track this metric to ensure it is accurate? </w:t>
      </w:r>
    </w:p>
    <w:p w14:paraId="17E833E0" w14:textId="77777777" w:rsidR="008C173E" w:rsidRPr="008C173E" w:rsidRDefault="008C173E" w:rsidP="008C173E">
      <w:pPr>
        <w:pStyle w:val="Default"/>
        <w:spacing w:after="10"/>
        <w:rPr>
          <w:rFonts w:asciiTheme="minorHAnsi" w:hAnsiTheme="minorHAnsi" w:cstheme="minorHAnsi"/>
          <w:sz w:val="22"/>
          <w:szCs w:val="22"/>
        </w:rPr>
      </w:pPr>
    </w:p>
    <w:p w14:paraId="421AD824" w14:textId="77777777" w:rsidR="008C173E" w:rsidRPr="008C173E" w:rsidRDefault="008C173E" w:rsidP="008C173E">
      <w:pPr>
        <w:pStyle w:val="Default"/>
        <w:spacing w:after="10"/>
        <w:rPr>
          <w:rFonts w:asciiTheme="minorHAnsi" w:hAnsiTheme="minorHAnsi" w:cstheme="minorHAnsi"/>
          <w:sz w:val="22"/>
          <w:szCs w:val="22"/>
        </w:rPr>
      </w:pPr>
      <w:r w:rsidRPr="008C173E">
        <w:rPr>
          <w:rFonts w:asciiTheme="minorHAnsi" w:hAnsiTheme="minorHAnsi" w:cstheme="minorHAnsi"/>
          <w:sz w:val="22"/>
          <w:szCs w:val="22"/>
        </w:rPr>
        <w:t xml:space="preserve">This measure shows only a point in time and is not updated in real time. Conveying that message to the public may be difficult. For example, a hospital could be showing 6 months since the last infection (at the time of report publication) when in reality they have had an infection in the past month. </w:t>
      </w:r>
    </w:p>
    <w:p w14:paraId="1AE2A6A9" w14:textId="77777777" w:rsidR="008C173E" w:rsidRPr="008C173E" w:rsidRDefault="008C173E" w:rsidP="008C173E">
      <w:pPr>
        <w:pStyle w:val="Default"/>
        <w:rPr>
          <w:rFonts w:asciiTheme="minorHAnsi" w:hAnsiTheme="minorHAnsi" w:cstheme="minorHAnsi"/>
          <w:sz w:val="22"/>
          <w:szCs w:val="22"/>
        </w:rPr>
      </w:pPr>
    </w:p>
    <w:p w14:paraId="0420631C" w14:textId="77777777" w:rsidR="008C173E" w:rsidRPr="008C173E" w:rsidRDefault="008C173E" w:rsidP="008C173E">
      <w:pPr>
        <w:pStyle w:val="Default"/>
        <w:rPr>
          <w:rFonts w:asciiTheme="minorHAnsi" w:hAnsiTheme="minorHAnsi" w:cstheme="minorHAnsi"/>
          <w:sz w:val="22"/>
          <w:szCs w:val="22"/>
        </w:rPr>
      </w:pPr>
      <w:r w:rsidRPr="008C173E">
        <w:rPr>
          <w:rFonts w:asciiTheme="minorHAnsi" w:hAnsiTheme="minorHAnsi" w:cstheme="minorHAnsi"/>
          <w:sz w:val="22"/>
          <w:szCs w:val="22"/>
        </w:rPr>
        <w:t xml:space="preserve">Provide an additional symbol for hospitals with zero infections, regardless of SIR calculation, to highlight this achievement. Some states have done this and received positive feedback from facilities. A point to consider is that this may favor smaller hospitals as well as hospitals with lower risk patients, as it may be increasingly difficult for larger hospitals that perform more procedures or have patients with more invasive devices to have zero infections. </w:t>
      </w:r>
    </w:p>
    <w:p w14:paraId="6986E81C" w14:textId="77777777" w:rsidR="008C173E" w:rsidRPr="008C173E" w:rsidRDefault="008C173E" w:rsidP="008C173E">
      <w:pPr>
        <w:pStyle w:val="Default"/>
        <w:rPr>
          <w:rFonts w:asciiTheme="minorHAnsi" w:hAnsiTheme="minorHAnsi" w:cstheme="minorHAnsi"/>
          <w:sz w:val="22"/>
          <w:szCs w:val="22"/>
        </w:rPr>
      </w:pPr>
    </w:p>
    <w:p w14:paraId="77836A30" w14:textId="77777777" w:rsidR="008C173E" w:rsidRPr="008C173E" w:rsidRDefault="008C173E" w:rsidP="008C173E">
      <w:pPr>
        <w:pStyle w:val="Default"/>
        <w:rPr>
          <w:rFonts w:asciiTheme="minorHAnsi" w:hAnsiTheme="minorHAnsi" w:cstheme="minorHAnsi"/>
          <w:sz w:val="22"/>
          <w:szCs w:val="22"/>
        </w:rPr>
      </w:pPr>
      <w:r w:rsidRPr="008C173E">
        <w:rPr>
          <w:rFonts w:asciiTheme="minorHAnsi" w:hAnsiTheme="minorHAnsi" w:cstheme="minorHAnsi"/>
          <w:b/>
          <w:bCs/>
          <w:sz w:val="22"/>
          <w:szCs w:val="22"/>
        </w:rPr>
        <w:t xml:space="preserve">Provide a Different Metric for Small Hospitals: </w:t>
      </w:r>
    </w:p>
    <w:p w14:paraId="078DA27C" w14:textId="77777777" w:rsidR="008C173E" w:rsidRPr="008C173E" w:rsidRDefault="008C173E" w:rsidP="008C173E">
      <w:pPr>
        <w:pStyle w:val="Default"/>
        <w:rPr>
          <w:rFonts w:asciiTheme="minorHAnsi" w:hAnsiTheme="minorHAnsi" w:cstheme="minorHAnsi"/>
          <w:sz w:val="22"/>
          <w:szCs w:val="22"/>
        </w:rPr>
      </w:pPr>
      <w:r w:rsidRPr="008C173E">
        <w:rPr>
          <w:rFonts w:asciiTheme="minorHAnsi" w:hAnsiTheme="minorHAnsi" w:cstheme="minorHAnsi"/>
          <w:sz w:val="22"/>
          <w:szCs w:val="22"/>
        </w:rPr>
        <w:t xml:space="preserve">Aggregate data over a longer period of time to calculate a SIR. Points to consider if using this metric would be: </w:t>
      </w:r>
    </w:p>
    <w:p w14:paraId="5F9F2A04" w14:textId="77777777" w:rsidR="008C173E" w:rsidRP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sz w:val="22"/>
          <w:szCs w:val="22"/>
        </w:rPr>
        <w:t xml:space="preserve">The data will not be comparable to other hospitals since the time period is not the same. </w:t>
      </w:r>
    </w:p>
    <w:p w14:paraId="781BB36A" w14:textId="77777777" w:rsidR="008C173E" w:rsidRP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sz w:val="22"/>
          <w:szCs w:val="22"/>
        </w:rPr>
        <w:t xml:space="preserve">Would the data be meaningful since it covers a longer period of time? </w:t>
      </w:r>
    </w:p>
    <w:p w14:paraId="59BEF326" w14:textId="77777777" w:rsid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sz w:val="22"/>
          <w:szCs w:val="22"/>
        </w:rPr>
        <w:t xml:space="preserve">How should a consumer interpret the data? </w:t>
      </w:r>
    </w:p>
    <w:p w14:paraId="0D82EC93" w14:textId="77777777" w:rsid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sz w:val="22"/>
          <w:szCs w:val="22"/>
        </w:rPr>
        <w:t xml:space="preserve">Use an extended explanation for the SIR interpretation when an SIR is not calculated. For example, Hawaii’s HAI Program uses the following explanation: “ICU patients had too few central line days (procedures, etc.) to </w:t>
      </w:r>
      <w:r w:rsidRPr="008C173E">
        <w:rPr>
          <w:rFonts w:asciiTheme="minorHAnsi" w:hAnsiTheme="minorHAnsi" w:cstheme="minorHAnsi"/>
          <w:color w:val="auto"/>
          <w:sz w:val="22"/>
          <w:szCs w:val="22"/>
        </w:rPr>
        <w:t xml:space="preserve">calculate a reliable SIR. When an SIR cannot be calculated, a comparison to national data is not possible”. </w:t>
      </w:r>
    </w:p>
    <w:p w14:paraId="72BA68DD" w14:textId="77777777" w:rsidR="008C173E" w:rsidRPr="008C173E" w:rsidRDefault="008C173E" w:rsidP="008C173E">
      <w:pPr>
        <w:pStyle w:val="Default"/>
        <w:numPr>
          <w:ilvl w:val="0"/>
          <w:numId w:val="4"/>
        </w:numPr>
        <w:spacing w:after="7"/>
        <w:rPr>
          <w:rFonts w:asciiTheme="minorHAnsi" w:hAnsiTheme="minorHAnsi" w:cstheme="minorHAnsi"/>
          <w:sz w:val="22"/>
          <w:szCs w:val="22"/>
        </w:rPr>
      </w:pPr>
      <w:r w:rsidRPr="008C173E">
        <w:rPr>
          <w:rFonts w:asciiTheme="minorHAnsi" w:hAnsiTheme="minorHAnsi" w:cstheme="minorHAnsi"/>
          <w:color w:val="auto"/>
          <w:sz w:val="22"/>
          <w:szCs w:val="22"/>
        </w:rPr>
        <w:t xml:space="preserve">On the consumer report, show an infection rate instead of the SIR. Of note, rates do not offer the same level of risk adjustment as the SIR. If used, rates should be stratified. Further details and recommendations concerning the use of rates are outlined in earlier parts of this document. </w:t>
      </w:r>
      <w:commentRangeEnd w:id="4"/>
      <w:r w:rsidR="007A60A2">
        <w:rPr>
          <w:rStyle w:val="CommentReference"/>
          <w:rFonts w:asciiTheme="minorHAnsi" w:hAnsiTheme="minorHAnsi" w:cstheme="minorBidi"/>
          <w:color w:val="auto"/>
        </w:rPr>
        <w:commentReference w:id="4"/>
      </w:r>
    </w:p>
    <w:p w14:paraId="7455DF97" w14:textId="77777777" w:rsidR="008C173E" w:rsidRPr="008C173E" w:rsidRDefault="008C173E" w:rsidP="008C173E">
      <w:pPr>
        <w:pStyle w:val="Default"/>
        <w:rPr>
          <w:rFonts w:asciiTheme="minorHAnsi" w:hAnsiTheme="minorHAnsi" w:cstheme="minorHAnsi"/>
          <w:color w:val="auto"/>
          <w:sz w:val="22"/>
          <w:szCs w:val="22"/>
        </w:rPr>
      </w:pPr>
    </w:p>
    <w:sectPr w:rsidR="008C173E" w:rsidRPr="008C173E"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itsunaga, Tisha (VDH)" w:date="2018-03-27T17:04:00Z" w:initials="MT(">
    <w:p w14:paraId="0E806347" w14:textId="1AB0D315" w:rsidR="00A8607A" w:rsidRDefault="00A8607A" w:rsidP="00A8607A">
      <w:pPr>
        <w:pStyle w:val="CommentText"/>
      </w:pPr>
      <w:r>
        <w:rPr>
          <w:rStyle w:val="CommentReference"/>
        </w:rPr>
        <w:annotationRef/>
      </w:r>
      <w:r>
        <w:t xml:space="preserve">See comment </w:t>
      </w:r>
      <w:r w:rsidR="00503000">
        <w:t>below</w:t>
      </w:r>
      <w:r>
        <w:t xml:space="preserve"> for consistency in recommendations/language in the intro</w:t>
      </w:r>
    </w:p>
  </w:comment>
  <w:comment w:id="1" w:author="Mitsunaga, Tisha (VDH)" w:date="2018-03-27T17:01:00Z" w:initials="MT(">
    <w:p w14:paraId="58606BE0" w14:textId="055F4EE9" w:rsidR="00C961E8" w:rsidRDefault="00C961E8">
      <w:pPr>
        <w:pStyle w:val="CommentText"/>
      </w:pPr>
      <w:r>
        <w:rPr>
          <w:rStyle w:val="CommentReference"/>
        </w:rPr>
        <w:annotationRef/>
      </w:r>
      <w:r>
        <w:t>Can we revisit this language</w:t>
      </w:r>
      <w:r w:rsidR="007A60A2">
        <w:t xml:space="preserve"> that was in the previous version</w:t>
      </w:r>
      <w:r>
        <w:t xml:space="preserve">? This is contrary to the description in the </w:t>
      </w:r>
      <w:r w:rsidR="00503000">
        <w:t>preceding</w:t>
      </w:r>
      <w:r>
        <w:t xml:space="preserve"> paragraph about specific units. In addition, perhaps we can break this caveat down depending on which alternative is carried out (i.e. providing SIR if &gt;.2 &lt;1 predicted infection v. reporting 0 observed infections)</w:t>
      </w:r>
    </w:p>
  </w:comment>
  <w:comment w:id="3" w:author="Mitsunaga, Tisha (VDH)" w:date="2018-04-02T14:01:00Z" w:initials="MT(">
    <w:p w14:paraId="3E6A8939" w14:textId="50BA805A" w:rsidR="00503000" w:rsidRDefault="00503000">
      <w:pPr>
        <w:pStyle w:val="CommentText"/>
      </w:pPr>
      <w:r>
        <w:rPr>
          <w:rStyle w:val="CommentReference"/>
        </w:rPr>
        <w:annotationRef/>
      </w:r>
      <w:r>
        <w:t>Revise as necessary once each method section is finalized</w:t>
      </w:r>
    </w:p>
  </w:comment>
  <w:comment w:id="4" w:author="Mitsunaga, Tisha (VDH)" w:date="2018-04-02T14:02:00Z" w:initials="MT(">
    <w:p w14:paraId="28388EA3" w14:textId="098A66B9" w:rsidR="007A60A2" w:rsidRDefault="007A60A2">
      <w:pPr>
        <w:pStyle w:val="CommentText"/>
      </w:pPr>
      <w:r>
        <w:rPr>
          <w:rStyle w:val="CommentReference"/>
        </w:rPr>
        <w:annotationRef/>
      </w:r>
      <w:r>
        <w:t>Left this in from previous version as place holder for new descriptions of methods discussed during last call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E806347" w15:done="0"/>
  <w15:commentEx w15:paraId="58606BE0" w15:done="0"/>
  <w15:commentEx w15:paraId="3E6A8939" w15:done="0"/>
  <w15:commentEx w15:paraId="28388EA3"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D60EE" w14:textId="77777777" w:rsidR="00B838E3" w:rsidRDefault="00B838E3" w:rsidP="00B838E3">
      <w:pPr>
        <w:spacing w:after="0" w:line="240" w:lineRule="auto"/>
      </w:pPr>
      <w:r>
        <w:separator/>
      </w:r>
    </w:p>
  </w:endnote>
  <w:endnote w:type="continuationSeparator" w:id="0">
    <w:p w14:paraId="3697EEED" w14:textId="77777777" w:rsidR="00B838E3" w:rsidRDefault="00B838E3" w:rsidP="00B83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1DDDD" w14:textId="77777777" w:rsidR="00B838E3" w:rsidRDefault="00B838E3" w:rsidP="00B838E3">
      <w:pPr>
        <w:spacing w:after="0" w:line="240" w:lineRule="auto"/>
      </w:pPr>
      <w:r>
        <w:separator/>
      </w:r>
    </w:p>
  </w:footnote>
  <w:footnote w:type="continuationSeparator" w:id="0">
    <w:p w14:paraId="6C54A61F" w14:textId="77777777" w:rsidR="00B838E3" w:rsidRDefault="00B838E3" w:rsidP="00B838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6719C"/>
    <w:multiLevelType w:val="hybridMultilevel"/>
    <w:tmpl w:val="5852CC8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E465CD"/>
    <w:multiLevelType w:val="hybridMultilevel"/>
    <w:tmpl w:val="3C18C5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CA09A3"/>
    <w:multiLevelType w:val="hybridMultilevel"/>
    <w:tmpl w:val="DA6CF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EDE78BF"/>
    <w:multiLevelType w:val="hybridMultilevel"/>
    <w:tmpl w:val="DD4A12DC"/>
    <w:lvl w:ilvl="0" w:tplc="66DA39C0">
      <w:start w:val="6"/>
      <w:numFmt w:val="bullet"/>
      <w:lvlText w:val="-"/>
      <w:lvlJc w:val="left"/>
      <w:pPr>
        <w:ind w:left="720" w:hanging="360"/>
      </w:pPr>
      <w:rPr>
        <w:rFonts w:ascii="Georgia" w:eastAsiaTheme="minorHAnsi"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CE296A"/>
    <w:multiLevelType w:val="hybridMultilevel"/>
    <w:tmpl w:val="1728D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78626CE"/>
    <w:multiLevelType w:val="hybridMultilevel"/>
    <w:tmpl w:val="F39C50BA"/>
    <w:lvl w:ilvl="0" w:tplc="04090003">
      <w:start w:val="1"/>
      <w:numFmt w:val="bullet"/>
      <w:lvlText w:val="o"/>
      <w:lvlJc w:val="left"/>
      <w:pPr>
        <w:ind w:left="360" w:hanging="360"/>
      </w:pPr>
      <w:rPr>
        <w:rFonts w:ascii="Courier New" w:hAnsi="Courier New" w:cs="Courier New" w:hint="default"/>
      </w:rPr>
    </w:lvl>
    <w:lvl w:ilvl="1" w:tplc="820225A2">
      <w:numFmt w:val="bullet"/>
      <w:lvlText w:val=""/>
      <w:lvlJc w:val="left"/>
      <w:pPr>
        <w:ind w:left="1080" w:hanging="360"/>
      </w:pPr>
      <w:rPr>
        <w:rFonts w:ascii="Georgia" w:eastAsiaTheme="minorHAnsi" w:hAnsi="Georgia" w:cs="Georgia"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tsunaga, Tisha (VDH)">
    <w15:presenceInfo w15:providerId="AD" w15:userId="S-1-5-21-3102109963-2641124013-111641105-8871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73E"/>
    <w:rsid w:val="0017781A"/>
    <w:rsid w:val="00340B8C"/>
    <w:rsid w:val="003D78B1"/>
    <w:rsid w:val="00503000"/>
    <w:rsid w:val="005F26FC"/>
    <w:rsid w:val="007A60A2"/>
    <w:rsid w:val="00857CEE"/>
    <w:rsid w:val="00865307"/>
    <w:rsid w:val="00881B28"/>
    <w:rsid w:val="008C173E"/>
    <w:rsid w:val="00A168A9"/>
    <w:rsid w:val="00A23464"/>
    <w:rsid w:val="00A4075E"/>
    <w:rsid w:val="00A8607A"/>
    <w:rsid w:val="00AF6D69"/>
    <w:rsid w:val="00B838E3"/>
    <w:rsid w:val="00C961E8"/>
    <w:rsid w:val="00D26908"/>
    <w:rsid w:val="00E968D9"/>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75D76"/>
  <w15:chartTrackingRefBased/>
  <w15:docId w15:val="{027B93F2-2007-44BF-A6F5-42C87129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173E"/>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iPriority w:val="99"/>
    <w:unhideWhenUsed/>
    <w:rsid w:val="00B83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8E3"/>
  </w:style>
  <w:style w:type="paragraph" w:styleId="Footer">
    <w:name w:val="footer"/>
    <w:basedOn w:val="Normal"/>
    <w:link w:val="FooterChar"/>
    <w:uiPriority w:val="99"/>
    <w:unhideWhenUsed/>
    <w:rsid w:val="00B83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8E3"/>
  </w:style>
  <w:style w:type="table" w:styleId="TableGrid">
    <w:name w:val="Table Grid"/>
    <w:basedOn w:val="TableNormal"/>
    <w:uiPriority w:val="39"/>
    <w:rsid w:val="00B8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26FC"/>
    <w:rPr>
      <w:sz w:val="16"/>
      <w:szCs w:val="16"/>
    </w:rPr>
  </w:style>
  <w:style w:type="paragraph" w:styleId="CommentText">
    <w:name w:val="annotation text"/>
    <w:basedOn w:val="Normal"/>
    <w:link w:val="CommentTextChar"/>
    <w:uiPriority w:val="99"/>
    <w:semiHidden/>
    <w:unhideWhenUsed/>
    <w:rsid w:val="005F26FC"/>
    <w:pPr>
      <w:spacing w:line="240" w:lineRule="auto"/>
    </w:pPr>
    <w:rPr>
      <w:sz w:val="20"/>
      <w:szCs w:val="20"/>
    </w:rPr>
  </w:style>
  <w:style w:type="character" w:customStyle="1" w:styleId="CommentTextChar">
    <w:name w:val="Comment Text Char"/>
    <w:basedOn w:val="DefaultParagraphFont"/>
    <w:link w:val="CommentText"/>
    <w:uiPriority w:val="99"/>
    <w:semiHidden/>
    <w:rsid w:val="005F26FC"/>
    <w:rPr>
      <w:sz w:val="20"/>
      <w:szCs w:val="20"/>
    </w:rPr>
  </w:style>
  <w:style w:type="paragraph" w:styleId="CommentSubject">
    <w:name w:val="annotation subject"/>
    <w:basedOn w:val="CommentText"/>
    <w:next w:val="CommentText"/>
    <w:link w:val="CommentSubjectChar"/>
    <w:uiPriority w:val="99"/>
    <w:semiHidden/>
    <w:unhideWhenUsed/>
    <w:rsid w:val="005F26FC"/>
    <w:rPr>
      <w:b/>
      <w:bCs/>
    </w:rPr>
  </w:style>
  <w:style w:type="character" w:customStyle="1" w:styleId="CommentSubjectChar">
    <w:name w:val="Comment Subject Char"/>
    <w:basedOn w:val="CommentTextChar"/>
    <w:link w:val="CommentSubject"/>
    <w:uiPriority w:val="99"/>
    <w:semiHidden/>
    <w:rsid w:val="005F26FC"/>
    <w:rPr>
      <w:b/>
      <w:bCs/>
      <w:sz w:val="20"/>
      <w:szCs w:val="20"/>
    </w:rPr>
  </w:style>
  <w:style w:type="paragraph" w:styleId="BalloonText">
    <w:name w:val="Balloon Text"/>
    <w:basedOn w:val="Normal"/>
    <w:link w:val="BalloonTextChar"/>
    <w:uiPriority w:val="99"/>
    <w:semiHidden/>
    <w:unhideWhenUsed/>
    <w:rsid w:val="005F2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6FC"/>
    <w:rPr>
      <w:rFonts w:ascii="Segoe UI" w:hAnsi="Segoe UI" w:cs="Segoe UI"/>
      <w:sz w:val="18"/>
      <w:szCs w:val="18"/>
    </w:rPr>
  </w:style>
  <w:style w:type="character" w:styleId="Hyperlink">
    <w:name w:val="Hyperlink"/>
    <w:basedOn w:val="DefaultParagraphFont"/>
    <w:uiPriority w:val="99"/>
    <w:unhideWhenUsed/>
    <w:rsid w:val="00A860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hyperlink" Target="https://www.cdc.gov/nhsn/pdfs/ps-analysis-resources/nhsn-sir-guide.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4517</TotalTime>
  <Pages>3</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Lindsey (CDC/OID/NCEZID)</dc:creator>
  <cp:keywords/>
  <dc:description/>
  <cp:lastModifiedBy>Mitsunaga, Tisha (VDH)</cp:lastModifiedBy>
  <cp:revision>9</cp:revision>
  <dcterms:created xsi:type="dcterms:W3CDTF">2018-03-27T20:08:00Z</dcterms:created>
  <dcterms:modified xsi:type="dcterms:W3CDTF">2018-04-02T18:03:00Z</dcterms:modified>
</cp:coreProperties>
</file>