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ACF" w:rsidRDefault="00761401">
      <w:r>
        <w:t xml:space="preserve">The No SIR sub-workgroup split up the different approaches to address and report data for facilities when the number of predicted infections were less than 1. The group discussed creating a new chapter of the toolkit to address facilities who have predicted infections less than one. This chapter would include several </w:t>
      </w:r>
      <w:r w:rsidR="00760541">
        <w:t xml:space="preserve">(five) </w:t>
      </w:r>
      <w:r>
        <w:t xml:space="preserve">options and new metrics to provide useful/meaningful data analysis. This chapter could be summarized by a table listing the pros and cons or by using an algorithm to guide data analysts when and how to use each approach. </w:t>
      </w:r>
    </w:p>
    <w:p w:rsidR="003C001E" w:rsidRDefault="003C001E"/>
    <w:p w:rsidR="00640456" w:rsidRDefault="00760541">
      <w:r>
        <w:t xml:space="preserve">The five options </w:t>
      </w:r>
      <w:r w:rsidR="003C001E">
        <w:t>(</w:t>
      </w:r>
      <w:r>
        <w:t>for states</w:t>
      </w:r>
      <w:r w:rsidR="003C001E">
        <w:t>)</w:t>
      </w:r>
      <w:r>
        <w:t xml:space="preserve"> to analyze</w:t>
      </w:r>
      <w:r w:rsidR="00601895">
        <w:t xml:space="preserve"> and report</w:t>
      </w:r>
      <w:r>
        <w:t xml:space="preserve"> HAI data when a SIR is not calculated by NHSN include: (1) using the NHSN calculated predicted number of infections to manually calculate an SIR. In this situation the SIR would need to be above 0.5 (as recommended by CDC statistical team) or above 0.2 (as calculated by CD</w:t>
      </w:r>
      <w:r w:rsidR="002D6647">
        <w:t>PH</w:t>
      </w:r>
      <w:r>
        <w:t xml:space="preserve">); (2) </w:t>
      </w:r>
      <w:r w:rsidR="002D6647">
        <w:t>report the time since last infection</w:t>
      </w:r>
      <w:r w:rsidR="00640456">
        <w:t xml:space="preserve"> in a standardized fashion (i.e. months)</w:t>
      </w:r>
      <w:r w:rsidR="002D6647">
        <w:t xml:space="preserve">; (3) </w:t>
      </w:r>
      <w:r w:rsidR="006617D3">
        <w:t xml:space="preserve">acknowledge facilities </w:t>
      </w:r>
      <w:r w:rsidR="00640456">
        <w:t>reporting</w:t>
      </w:r>
      <w:r w:rsidR="006617D3">
        <w:t xml:space="preserve"> </w:t>
      </w:r>
      <w:r w:rsidR="00640456">
        <w:t>zero infections</w:t>
      </w:r>
      <w:r w:rsidR="00640456">
        <w:t xml:space="preserve"> within a designated time period with </w:t>
      </w:r>
      <w:r w:rsidR="006617D3">
        <w:t xml:space="preserve">an appropriate symbol; (4) report a </w:t>
      </w:r>
      <w:r w:rsidR="00601895">
        <w:t>standardized rate</w:t>
      </w:r>
      <w:r w:rsidR="003C001E">
        <w:t xml:space="preserve"> in lieu of an SIR</w:t>
      </w:r>
      <w:r w:rsidR="00253B93">
        <w:t>; and (5) aggregate the data over a</w:t>
      </w:r>
      <w:r w:rsidR="00640456">
        <w:t xml:space="preserve">n extended </w:t>
      </w:r>
      <w:r w:rsidR="00253B93">
        <w:t xml:space="preserve">time period to </w:t>
      </w:r>
      <w:r w:rsidR="00640456">
        <w:t xml:space="preserve">(calculate the number of predicted infections greater than one and) </w:t>
      </w:r>
      <w:r w:rsidR="00253B93">
        <w:t>generate an SIR</w:t>
      </w:r>
      <w:r w:rsidR="00640456">
        <w:t>.</w:t>
      </w:r>
    </w:p>
    <w:p w:rsidR="003C001E" w:rsidRDefault="003C001E"/>
    <w:p w:rsidR="003C001E" w:rsidRDefault="003C001E">
      <w:r>
        <w:t xml:space="preserve">Each option has benefits and limitations summarized in the following table. In general, there is no single approach that serves as a solution when NHSN does not calculate a SIR for a facility/unit. Instead epidemiologists should consider what the data is intended to display and who the is the intended audience. In some circumstances, it may be beneficial to present the data in more than one approach to convey the intended message. </w:t>
      </w:r>
    </w:p>
    <w:p w:rsidR="00AB0434" w:rsidRDefault="00AB0434"/>
    <w:p w:rsidR="00AB0434" w:rsidRDefault="00AB0434"/>
    <w:p w:rsidR="00AB0434" w:rsidRDefault="00AB0434"/>
    <w:p w:rsidR="00AB0434" w:rsidRDefault="00AB0434"/>
    <w:p w:rsidR="00AB0434" w:rsidRDefault="00AB0434"/>
    <w:p w:rsidR="00AB0434" w:rsidRDefault="00AB0434"/>
    <w:p w:rsidR="00AB0434" w:rsidRDefault="00AB0434"/>
    <w:p w:rsidR="00AB0434" w:rsidRDefault="00AB0434"/>
    <w:p w:rsidR="00AB0434" w:rsidRDefault="00AB0434"/>
    <w:p w:rsidR="00AB0434" w:rsidRDefault="00AB0434"/>
    <w:p w:rsidR="00AB0434" w:rsidRDefault="00AB0434"/>
    <w:p w:rsidR="00AB0434" w:rsidRDefault="00AB0434">
      <w:pPr>
        <w:sectPr w:rsidR="00AB0434">
          <w:pgSz w:w="12240" w:h="15840"/>
          <w:pgMar w:top="1440" w:right="1440" w:bottom="1440" w:left="1440" w:header="720" w:footer="720" w:gutter="0"/>
          <w:cols w:space="720"/>
          <w:docGrid w:linePitch="360"/>
        </w:sectPr>
      </w:pPr>
    </w:p>
    <w:p w:rsidR="00B801D0" w:rsidRDefault="00B801D0" w:rsidP="00AB0434">
      <w:pPr>
        <w:pStyle w:val="Default"/>
        <w:rPr>
          <w:rFonts w:asciiTheme="minorHAnsi" w:hAnsiTheme="minorHAnsi" w:cstheme="minorHAnsi"/>
          <w:sz w:val="22"/>
          <w:szCs w:val="22"/>
        </w:rPr>
      </w:pPr>
    </w:p>
    <w:p w:rsidR="00B801D0" w:rsidRDefault="00B801D0" w:rsidP="00AB0434">
      <w:pPr>
        <w:pStyle w:val="Default"/>
        <w:rPr>
          <w:rFonts w:asciiTheme="minorHAnsi" w:hAnsiTheme="minorHAnsi" w:cstheme="minorHAnsi"/>
          <w:sz w:val="22"/>
          <w:szCs w:val="22"/>
        </w:rPr>
      </w:pPr>
    </w:p>
    <w:p w:rsidR="00AB0434" w:rsidRDefault="00AB0434" w:rsidP="00AB0434">
      <w:pPr>
        <w:pStyle w:val="Default"/>
        <w:rPr>
          <w:rFonts w:asciiTheme="minorHAnsi" w:hAnsiTheme="minorHAnsi" w:cstheme="minorHAnsi"/>
          <w:sz w:val="22"/>
          <w:szCs w:val="22"/>
        </w:rPr>
      </w:pPr>
      <w:r>
        <w:rPr>
          <w:rFonts w:asciiTheme="minorHAnsi" w:hAnsiTheme="minorHAnsi" w:cstheme="minorHAnsi"/>
          <w:sz w:val="22"/>
          <w:szCs w:val="22"/>
        </w:rPr>
        <w:t>Table X. Summary of alternatives for presentation of data for facilities without an NHSN-calculated SIR</w:t>
      </w:r>
    </w:p>
    <w:tbl>
      <w:tblPr>
        <w:tblStyle w:val="TableGrid"/>
        <w:tblW w:w="13964" w:type="dxa"/>
        <w:tblLook w:val="04A0" w:firstRow="1" w:lastRow="0" w:firstColumn="1" w:lastColumn="0" w:noHBand="0" w:noVBand="1"/>
      </w:tblPr>
      <w:tblGrid>
        <w:gridCol w:w="1087"/>
        <w:gridCol w:w="2448"/>
        <w:gridCol w:w="2509"/>
        <w:gridCol w:w="2736"/>
        <w:gridCol w:w="2592"/>
        <w:gridCol w:w="2592"/>
      </w:tblGrid>
      <w:tr w:rsidR="00AB0434" w:rsidRPr="003D78B1" w:rsidTr="00E22247">
        <w:tc>
          <w:tcPr>
            <w:tcW w:w="1087" w:type="dxa"/>
          </w:tcPr>
          <w:p w:rsidR="00AB0434" w:rsidRPr="00E22247" w:rsidRDefault="00AB0434" w:rsidP="00E22247">
            <w:pPr>
              <w:pStyle w:val="Default"/>
              <w:rPr>
                <w:rFonts w:asciiTheme="minorHAnsi" w:hAnsiTheme="minorHAnsi" w:cstheme="minorHAnsi"/>
                <w:b/>
                <w:sz w:val="18"/>
                <w:szCs w:val="22"/>
              </w:rPr>
            </w:pPr>
            <w:r w:rsidRPr="00E22247">
              <w:rPr>
                <w:rFonts w:asciiTheme="minorHAnsi" w:hAnsiTheme="minorHAnsi" w:cstheme="minorHAnsi"/>
                <w:b/>
                <w:sz w:val="18"/>
                <w:szCs w:val="22"/>
              </w:rPr>
              <w:t>Method</w:t>
            </w:r>
          </w:p>
        </w:tc>
        <w:tc>
          <w:tcPr>
            <w:tcW w:w="2448" w:type="dxa"/>
          </w:tcPr>
          <w:p w:rsidR="00AB0434" w:rsidRPr="00E22247" w:rsidRDefault="00AB0434" w:rsidP="00E22247">
            <w:pPr>
              <w:pStyle w:val="Default"/>
              <w:rPr>
                <w:rFonts w:asciiTheme="minorHAnsi" w:hAnsiTheme="minorHAnsi" w:cstheme="minorHAnsi"/>
                <w:b/>
                <w:sz w:val="18"/>
                <w:szCs w:val="22"/>
              </w:rPr>
            </w:pPr>
            <w:r w:rsidRPr="00E22247">
              <w:rPr>
                <w:rFonts w:asciiTheme="minorHAnsi" w:hAnsiTheme="minorHAnsi" w:cstheme="minorHAnsi"/>
                <w:b/>
                <w:sz w:val="18"/>
                <w:szCs w:val="22"/>
              </w:rPr>
              <w:t>Report zero observed infections</w:t>
            </w:r>
          </w:p>
        </w:tc>
        <w:tc>
          <w:tcPr>
            <w:tcW w:w="2509" w:type="dxa"/>
          </w:tcPr>
          <w:p w:rsidR="00AB0434" w:rsidRPr="00E22247" w:rsidRDefault="00AB0434" w:rsidP="00E22247">
            <w:pPr>
              <w:pStyle w:val="Default"/>
              <w:rPr>
                <w:rFonts w:asciiTheme="minorHAnsi" w:hAnsiTheme="minorHAnsi" w:cstheme="minorHAnsi"/>
                <w:b/>
                <w:sz w:val="18"/>
                <w:szCs w:val="22"/>
              </w:rPr>
            </w:pPr>
            <w:r w:rsidRPr="00E22247">
              <w:rPr>
                <w:rFonts w:asciiTheme="minorHAnsi" w:hAnsiTheme="minorHAnsi" w:cstheme="minorHAnsi"/>
                <w:b/>
                <w:sz w:val="18"/>
                <w:szCs w:val="22"/>
              </w:rPr>
              <w:t xml:space="preserve">Provide SIR  when the number of predicted infections falls between 0.2/0.5 and 1.0 </w:t>
            </w:r>
          </w:p>
        </w:tc>
        <w:tc>
          <w:tcPr>
            <w:tcW w:w="2736" w:type="dxa"/>
          </w:tcPr>
          <w:p w:rsidR="00AB0434" w:rsidRPr="00E22247" w:rsidRDefault="00AB0434" w:rsidP="00E22247">
            <w:pPr>
              <w:pStyle w:val="Default"/>
              <w:rPr>
                <w:rFonts w:asciiTheme="minorHAnsi" w:hAnsiTheme="minorHAnsi" w:cstheme="minorHAnsi"/>
                <w:b/>
                <w:sz w:val="18"/>
                <w:szCs w:val="22"/>
              </w:rPr>
            </w:pPr>
            <w:r w:rsidRPr="00E22247">
              <w:rPr>
                <w:rFonts w:asciiTheme="minorHAnsi" w:hAnsiTheme="minorHAnsi" w:cstheme="minorHAnsi"/>
                <w:b/>
                <w:sz w:val="18"/>
                <w:szCs w:val="22"/>
              </w:rPr>
              <w:t>Present number of months since last infection</w:t>
            </w:r>
          </w:p>
        </w:tc>
        <w:tc>
          <w:tcPr>
            <w:tcW w:w="2592" w:type="dxa"/>
          </w:tcPr>
          <w:p w:rsidR="00AB0434" w:rsidRPr="00E22247" w:rsidRDefault="00AB0434" w:rsidP="00E22247">
            <w:pPr>
              <w:pStyle w:val="Default"/>
              <w:rPr>
                <w:rFonts w:asciiTheme="minorHAnsi" w:hAnsiTheme="minorHAnsi" w:cstheme="minorHAnsi"/>
                <w:b/>
                <w:sz w:val="18"/>
                <w:szCs w:val="22"/>
              </w:rPr>
            </w:pPr>
            <w:r w:rsidRPr="00E22247">
              <w:rPr>
                <w:rFonts w:asciiTheme="minorHAnsi" w:hAnsiTheme="minorHAnsi" w:cstheme="minorHAnsi"/>
                <w:b/>
                <w:sz w:val="18"/>
                <w:szCs w:val="22"/>
              </w:rPr>
              <w:t>Aggregate data over a longer period of time</w:t>
            </w:r>
          </w:p>
        </w:tc>
        <w:tc>
          <w:tcPr>
            <w:tcW w:w="2592" w:type="dxa"/>
          </w:tcPr>
          <w:p w:rsidR="00AB0434" w:rsidRPr="00E22247" w:rsidRDefault="00AB0434" w:rsidP="00E22247">
            <w:pPr>
              <w:pStyle w:val="Default"/>
              <w:rPr>
                <w:rFonts w:asciiTheme="minorHAnsi" w:hAnsiTheme="minorHAnsi" w:cstheme="minorHAnsi"/>
                <w:b/>
                <w:sz w:val="18"/>
                <w:szCs w:val="22"/>
              </w:rPr>
            </w:pPr>
            <w:r w:rsidRPr="00E22247">
              <w:rPr>
                <w:rFonts w:asciiTheme="minorHAnsi" w:hAnsiTheme="minorHAnsi" w:cstheme="minorHAnsi"/>
                <w:b/>
                <w:sz w:val="18"/>
                <w:szCs w:val="22"/>
              </w:rPr>
              <w:t>Present an infection rate</w:t>
            </w:r>
          </w:p>
        </w:tc>
      </w:tr>
      <w:tr w:rsidR="00AB0434" w:rsidTr="00E22247">
        <w:tc>
          <w:tcPr>
            <w:tcW w:w="1087" w:type="dxa"/>
          </w:tcPr>
          <w:p w:rsidR="00AB0434" w:rsidRPr="00E22247" w:rsidRDefault="00AB0434" w:rsidP="00E22247">
            <w:pPr>
              <w:pStyle w:val="Default"/>
              <w:rPr>
                <w:rFonts w:asciiTheme="minorHAnsi" w:hAnsiTheme="minorHAnsi" w:cstheme="minorHAnsi"/>
                <w:b/>
                <w:sz w:val="18"/>
                <w:szCs w:val="22"/>
              </w:rPr>
            </w:pPr>
            <w:r w:rsidRPr="00E22247">
              <w:rPr>
                <w:rFonts w:asciiTheme="minorHAnsi" w:hAnsiTheme="minorHAnsi" w:cstheme="minorHAnsi"/>
                <w:b/>
                <w:sz w:val="18"/>
                <w:szCs w:val="22"/>
              </w:rPr>
              <w:t>Summary</w:t>
            </w:r>
          </w:p>
        </w:tc>
        <w:tc>
          <w:tcPr>
            <w:tcW w:w="2448" w:type="dxa"/>
          </w:tcPr>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Highlight hospitals with zero infections with special symbol</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Specify time period</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Symbol TBD</w:t>
            </w:r>
          </w:p>
        </w:tc>
        <w:tc>
          <w:tcPr>
            <w:tcW w:w="2509" w:type="dxa"/>
          </w:tcPr>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Calculate SIR for facilities with number of predicted infections &lt;1 but ≥0.20 or ≥ 0.50</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Add note of caution for interpretation</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Applicable to other categories (e.g. VRE)</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Do not compare SIR to other facilities</w:t>
            </w:r>
          </w:p>
        </w:tc>
        <w:tc>
          <w:tcPr>
            <w:tcW w:w="2736" w:type="dxa"/>
          </w:tcPr>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Present number of months since last infection</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Explicitly specify time period (start and stop date)</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Important to include catch all category to capture &gt;X months (e.g. 36+ months to never)</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Show distribution of facilities</w:t>
            </w:r>
          </w:p>
        </w:tc>
        <w:tc>
          <w:tcPr>
            <w:tcW w:w="2592" w:type="dxa"/>
          </w:tcPr>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Extend the reporting period to collect more data</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Explicitly specify time period (start and stop date)</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Additional data should increase the number of predicted infections</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 xml:space="preserve">Utilizes all the same SIR terminology </w:t>
            </w:r>
            <w:r>
              <w:rPr>
                <w:rFonts w:asciiTheme="minorHAnsi" w:hAnsiTheme="minorHAnsi" w:cstheme="minorHAnsi"/>
                <w:sz w:val="18"/>
                <w:szCs w:val="22"/>
              </w:rPr>
              <w:t>(interpretation and symbols)</w:t>
            </w:r>
          </w:p>
        </w:tc>
        <w:tc>
          <w:tcPr>
            <w:tcW w:w="2592" w:type="dxa"/>
          </w:tcPr>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Provides information about the number of infections occurring in a specific population at risk for an infection type</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Reporting should be stratified across similar populations</w:t>
            </w:r>
          </w:p>
          <w:p w:rsidR="00AB0434" w:rsidRPr="00E22247" w:rsidRDefault="00AB0434" w:rsidP="00AB0434">
            <w:pPr>
              <w:pStyle w:val="Default"/>
              <w:numPr>
                <w:ilvl w:val="0"/>
                <w:numId w:val="3"/>
              </w:numPr>
              <w:rPr>
                <w:rFonts w:asciiTheme="minorHAnsi" w:hAnsiTheme="minorHAnsi" w:cstheme="minorHAnsi"/>
                <w:sz w:val="18"/>
                <w:szCs w:val="22"/>
              </w:rPr>
            </w:pPr>
            <w:r w:rsidRPr="00E22247">
              <w:rPr>
                <w:rFonts w:asciiTheme="minorHAnsi" w:hAnsiTheme="minorHAnsi" w:cstheme="minorHAnsi"/>
                <w:sz w:val="18"/>
                <w:szCs w:val="22"/>
              </w:rPr>
              <w:t>Different reporting for consumer and technical reports</w:t>
            </w:r>
          </w:p>
        </w:tc>
      </w:tr>
      <w:tr w:rsidR="00AB0434" w:rsidTr="00E22247">
        <w:tc>
          <w:tcPr>
            <w:tcW w:w="1087" w:type="dxa"/>
          </w:tcPr>
          <w:p w:rsidR="00AB0434" w:rsidRPr="00E22247" w:rsidRDefault="00AB0434" w:rsidP="00E22247">
            <w:pPr>
              <w:pStyle w:val="Default"/>
              <w:rPr>
                <w:rFonts w:asciiTheme="minorHAnsi" w:hAnsiTheme="minorHAnsi" w:cstheme="minorHAnsi"/>
                <w:b/>
                <w:sz w:val="18"/>
                <w:szCs w:val="22"/>
              </w:rPr>
            </w:pPr>
            <w:r w:rsidRPr="00E22247">
              <w:rPr>
                <w:rFonts w:asciiTheme="minorHAnsi" w:hAnsiTheme="minorHAnsi" w:cstheme="minorHAnsi"/>
                <w:b/>
                <w:sz w:val="18"/>
                <w:szCs w:val="22"/>
              </w:rPr>
              <w:t>Pros</w:t>
            </w:r>
          </w:p>
        </w:tc>
        <w:tc>
          <w:tcPr>
            <w:tcW w:w="2448" w:type="dxa"/>
          </w:tcPr>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Clear and simple interpretation</w:t>
            </w:r>
            <w:r w:rsidRPr="00E22247" w:rsidDel="00CF2FFB">
              <w:rPr>
                <w:rFonts w:asciiTheme="minorHAnsi" w:hAnsiTheme="minorHAnsi" w:cstheme="minorHAnsi"/>
                <w:sz w:val="18"/>
                <w:szCs w:val="22"/>
              </w:rPr>
              <w:t xml:space="preserve"> </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No calculation required</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 xml:space="preserve">Provides facilities with a practical benchmark </w:t>
            </w:r>
          </w:p>
        </w:tc>
        <w:tc>
          <w:tcPr>
            <w:tcW w:w="2509" w:type="dxa"/>
          </w:tcPr>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Provides almost all facilities with an SIR to compare to itself over time</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Confidence intervals (CI) restrict unfair interpretations</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Applicable for all reportable HAI SIRs</w:t>
            </w:r>
          </w:p>
        </w:tc>
        <w:tc>
          <w:tcPr>
            <w:tcW w:w="2736" w:type="dxa"/>
          </w:tcPr>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Provides facilities with an internal benchmark</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This metric can be calculated regardless of predicted infections</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Could provide comparison (if hospitals are appropriately stratified)</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Clear and simple interpretation</w:t>
            </w:r>
          </w:p>
        </w:tc>
        <w:tc>
          <w:tcPr>
            <w:tcW w:w="2592" w:type="dxa"/>
          </w:tcPr>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More data may mean fewer facilities with predicted number of infections &lt;1</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Aggregate data yields more precise results</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Larger sample size will yield result closer to the true SIR</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May yield a larger predicted count &gt; 0.2/0.5 and allow for manual SIR calculation</w:t>
            </w:r>
          </w:p>
        </w:tc>
        <w:tc>
          <w:tcPr>
            <w:tcW w:w="2592" w:type="dxa"/>
          </w:tcPr>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Provides a standardized</w:t>
            </w:r>
            <w:r w:rsidRPr="00E22247">
              <w:rPr>
                <w:rFonts w:asciiTheme="minorHAnsi" w:hAnsiTheme="minorHAnsi" w:cstheme="minorHAnsi"/>
                <w:sz w:val="18"/>
                <w:szCs w:val="22"/>
              </w:rPr>
              <w:t xml:space="preserve"> </w:t>
            </w:r>
            <w:r w:rsidRPr="00E22247">
              <w:rPr>
                <w:rFonts w:asciiTheme="minorHAnsi" w:hAnsiTheme="minorHAnsi" w:cstheme="minorHAnsi"/>
                <w:sz w:val="18"/>
                <w:szCs w:val="22"/>
              </w:rPr>
              <w:t>measure of occurrence</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 xml:space="preserve">Precision of the rate can be displayed by CI </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Allows for stratified comparison within population risk group</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 xml:space="preserve">Can compare to national predicted rate </w:t>
            </w:r>
            <w:r w:rsidRPr="00E22247">
              <w:rPr>
                <w:rFonts w:asciiTheme="minorHAnsi" w:hAnsiTheme="minorHAnsi" w:cstheme="minorHAnsi"/>
                <w:i/>
                <w:sz w:val="18"/>
                <w:szCs w:val="22"/>
              </w:rPr>
              <w:t>in future</w:t>
            </w:r>
          </w:p>
        </w:tc>
      </w:tr>
      <w:tr w:rsidR="00AB0434" w:rsidTr="00E22247">
        <w:tc>
          <w:tcPr>
            <w:tcW w:w="1087" w:type="dxa"/>
          </w:tcPr>
          <w:p w:rsidR="00AB0434" w:rsidRPr="00E22247" w:rsidRDefault="00AB0434" w:rsidP="00E22247">
            <w:pPr>
              <w:pStyle w:val="Default"/>
              <w:rPr>
                <w:rFonts w:asciiTheme="minorHAnsi" w:hAnsiTheme="minorHAnsi" w:cstheme="minorHAnsi"/>
                <w:b/>
                <w:sz w:val="18"/>
                <w:szCs w:val="22"/>
              </w:rPr>
            </w:pPr>
            <w:r w:rsidRPr="00E22247">
              <w:rPr>
                <w:rFonts w:asciiTheme="minorHAnsi" w:hAnsiTheme="minorHAnsi" w:cstheme="minorHAnsi"/>
                <w:b/>
                <w:sz w:val="18"/>
                <w:szCs w:val="22"/>
              </w:rPr>
              <w:t>Cons</w:t>
            </w:r>
          </w:p>
        </w:tc>
        <w:tc>
          <w:tcPr>
            <w:tcW w:w="2448" w:type="dxa"/>
          </w:tcPr>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May not be current (esp. with annual reports)</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Notation is misleading (i.e. no risk adjustment)</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Unfavorably biases small(er) hospitals</w:t>
            </w:r>
          </w:p>
        </w:tc>
        <w:tc>
          <w:tcPr>
            <w:tcW w:w="2509" w:type="dxa"/>
          </w:tcPr>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Not always ideal to compare different facilities</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Unclear if public will understand caution for interpretation</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Wide CI limit statistical significance testing (so really how helpful is it?)</w:t>
            </w:r>
          </w:p>
        </w:tc>
        <w:tc>
          <w:tcPr>
            <w:tcW w:w="2736" w:type="dxa"/>
          </w:tcPr>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Not for public consumption</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Requires prompt and frequent reporting to be meaningful (more than annual)</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May not be as beneficial to larger hospitals</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Currently, only used for non-public reporting</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Does not account for risk adjustment</w:t>
            </w:r>
          </w:p>
        </w:tc>
        <w:tc>
          <w:tcPr>
            <w:tcW w:w="2592" w:type="dxa"/>
          </w:tcPr>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Data may not be as timely or useful to facilities (reporting will be delayed)</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No national comparison for same time period</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Limited comparison between hospitals only if all have data available for same time period</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Limits the opportunity to measure trends over time</w:t>
            </w:r>
          </w:p>
        </w:tc>
        <w:tc>
          <w:tcPr>
            <w:tcW w:w="2592" w:type="dxa"/>
          </w:tcPr>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Not risk-adjusted</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Should only be  compared within appropriate strata</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Likely too complicated of an interpretation for consumer report</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Requires a sufficient patient time at risk (i.e. denominator-days) for accuracy</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Can be computationally intensive, especially if varying multiplier</w:t>
            </w:r>
          </w:p>
          <w:p w:rsidR="00AB0434" w:rsidRPr="00E22247" w:rsidRDefault="00AB0434" w:rsidP="00AB0434">
            <w:pPr>
              <w:pStyle w:val="Default"/>
              <w:numPr>
                <w:ilvl w:val="0"/>
                <w:numId w:val="4"/>
              </w:numPr>
              <w:rPr>
                <w:rFonts w:asciiTheme="minorHAnsi" w:hAnsiTheme="minorHAnsi" w:cstheme="minorHAnsi"/>
                <w:sz w:val="18"/>
                <w:szCs w:val="22"/>
              </w:rPr>
            </w:pPr>
            <w:r w:rsidRPr="00E22247">
              <w:rPr>
                <w:rFonts w:asciiTheme="minorHAnsi" w:hAnsiTheme="minorHAnsi" w:cstheme="minorHAnsi"/>
                <w:sz w:val="18"/>
                <w:szCs w:val="22"/>
              </w:rPr>
              <w:t>National rates no longer published</w:t>
            </w:r>
          </w:p>
        </w:tc>
      </w:tr>
    </w:tbl>
    <w:p w:rsidR="00760541" w:rsidRDefault="006617D3">
      <w:bookmarkStart w:id="0" w:name="_GoBack"/>
      <w:bookmarkEnd w:id="0"/>
      <w:r>
        <w:t xml:space="preserve"> </w:t>
      </w:r>
    </w:p>
    <w:sectPr w:rsidR="00760541" w:rsidSect="00AB043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CA09A3"/>
    <w:multiLevelType w:val="hybridMultilevel"/>
    <w:tmpl w:val="DA6CF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58A3758"/>
    <w:multiLevelType w:val="multilevel"/>
    <w:tmpl w:val="F1F61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CE296A"/>
    <w:multiLevelType w:val="hybridMultilevel"/>
    <w:tmpl w:val="1728D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CC201DA"/>
    <w:multiLevelType w:val="multilevel"/>
    <w:tmpl w:val="55062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6EE"/>
    <w:rsid w:val="0006257B"/>
    <w:rsid w:val="00253B93"/>
    <w:rsid w:val="002C4ED7"/>
    <w:rsid w:val="002D6647"/>
    <w:rsid w:val="003C001E"/>
    <w:rsid w:val="00601895"/>
    <w:rsid w:val="00640456"/>
    <w:rsid w:val="006617D3"/>
    <w:rsid w:val="00760541"/>
    <w:rsid w:val="00761401"/>
    <w:rsid w:val="009201A3"/>
    <w:rsid w:val="009946EE"/>
    <w:rsid w:val="00AA2ACF"/>
    <w:rsid w:val="00AB0434"/>
    <w:rsid w:val="00B801D0"/>
    <w:rsid w:val="00BC5955"/>
    <w:rsid w:val="00D05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B3FFC"/>
  <w15:chartTrackingRefBased/>
  <w15:docId w15:val="{C04B2FBA-C6EE-4B2B-9F04-5A5B8D51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B0434"/>
    <w:pPr>
      <w:autoSpaceDE w:val="0"/>
      <w:autoSpaceDN w:val="0"/>
      <w:adjustRightInd w:val="0"/>
      <w:spacing w:after="0" w:line="240" w:lineRule="auto"/>
    </w:pPr>
    <w:rPr>
      <w:rFonts w:ascii="Georgia" w:hAnsi="Georgia" w:cs="Georgia"/>
      <w:color w:val="000000"/>
      <w:sz w:val="24"/>
      <w:szCs w:val="24"/>
    </w:rPr>
  </w:style>
  <w:style w:type="table" w:styleId="TableGrid">
    <w:name w:val="Table Grid"/>
    <w:basedOn w:val="TableNormal"/>
    <w:uiPriority w:val="39"/>
    <w:rsid w:val="00AB0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B0434"/>
    <w:rPr>
      <w:sz w:val="16"/>
      <w:szCs w:val="16"/>
    </w:rPr>
  </w:style>
  <w:style w:type="paragraph" w:styleId="CommentText">
    <w:name w:val="annotation text"/>
    <w:basedOn w:val="Normal"/>
    <w:link w:val="CommentTextChar"/>
    <w:uiPriority w:val="99"/>
    <w:semiHidden/>
    <w:unhideWhenUsed/>
    <w:rsid w:val="00AB0434"/>
    <w:pPr>
      <w:spacing w:line="240" w:lineRule="auto"/>
    </w:pPr>
    <w:rPr>
      <w:sz w:val="20"/>
      <w:szCs w:val="20"/>
    </w:rPr>
  </w:style>
  <w:style w:type="character" w:customStyle="1" w:styleId="CommentTextChar">
    <w:name w:val="Comment Text Char"/>
    <w:basedOn w:val="DefaultParagraphFont"/>
    <w:link w:val="CommentText"/>
    <w:uiPriority w:val="99"/>
    <w:semiHidden/>
    <w:rsid w:val="00AB0434"/>
    <w:rPr>
      <w:sz w:val="20"/>
      <w:szCs w:val="20"/>
    </w:rPr>
  </w:style>
  <w:style w:type="paragraph" w:styleId="BalloonText">
    <w:name w:val="Balloon Text"/>
    <w:basedOn w:val="Normal"/>
    <w:link w:val="BalloonTextChar"/>
    <w:uiPriority w:val="99"/>
    <w:semiHidden/>
    <w:unhideWhenUsed/>
    <w:rsid w:val="00AB04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4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2579500">
      <w:bodyDiv w:val="1"/>
      <w:marLeft w:val="0"/>
      <w:marRight w:val="0"/>
      <w:marTop w:val="0"/>
      <w:marBottom w:val="0"/>
      <w:divBdr>
        <w:top w:val="none" w:sz="0" w:space="0" w:color="auto"/>
        <w:left w:val="none" w:sz="0" w:space="0" w:color="auto"/>
        <w:bottom w:val="none" w:sz="0" w:space="0" w:color="auto"/>
        <w:right w:val="none" w:sz="0" w:space="0" w:color="auto"/>
      </w:divBdr>
      <w:divsChild>
        <w:div w:id="1916159513">
          <w:marLeft w:val="0"/>
          <w:marRight w:val="0"/>
          <w:marTop w:val="0"/>
          <w:marBottom w:val="0"/>
          <w:divBdr>
            <w:top w:val="none" w:sz="0" w:space="0" w:color="auto"/>
            <w:left w:val="none" w:sz="0" w:space="0" w:color="auto"/>
            <w:bottom w:val="none" w:sz="0" w:space="0" w:color="auto"/>
            <w:right w:val="none" w:sz="0" w:space="0" w:color="auto"/>
          </w:divBdr>
        </w:div>
        <w:div w:id="1051803540">
          <w:marLeft w:val="0"/>
          <w:marRight w:val="0"/>
          <w:marTop w:val="0"/>
          <w:marBottom w:val="0"/>
          <w:divBdr>
            <w:top w:val="none" w:sz="0" w:space="0" w:color="auto"/>
            <w:left w:val="none" w:sz="0" w:space="0" w:color="auto"/>
            <w:bottom w:val="none" w:sz="0" w:space="0" w:color="auto"/>
            <w:right w:val="none" w:sz="0" w:space="0" w:color="auto"/>
          </w:divBdr>
        </w:div>
        <w:div w:id="1445689538">
          <w:marLeft w:val="1440"/>
          <w:marRight w:val="0"/>
          <w:marTop w:val="0"/>
          <w:marBottom w:val="0"/>
          <w:divBdr>
            <w:top w:val="none" w:sz="0" w:space="0" w:color="auto"/>
            <w:left w:val="none" w:sz="0" w:space="0" w:color="auto"/>
            <w:bottom w:val="none" w:sz="0" w:space="0" w:color="auto"/>
            <w:right w:val="none" w:sz="0" w:space="0" w:color="auto"/>
          </w:divBdr>
        </w:div>
        <w:div w:id="1564826817">
          <w:marLeft w:val="2160"/>
          <w:marRight w:val="0"/>
          <w:marTop w:val="0"/>
          <w:marBottom w:val="0"/>
          <w:divBdr>
            <w:top w:val="none" w:sz="0" w:space="0" w:color="auto"/>
            <w:left w:val="none" w:sz="0" w:space="0" w:color="auto"/>
            <w:bottom w:val="none" w:sz="0" w:space="0" w:color="auto"/>
            <w:right w:val="none" w:sz="0" w:space="0" w:color="auto"/>
          </w:divBdr>
        </w:div>
        <w:div w:id="921254152">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Orellana</dc:creator>
  <cp:keywords/>
  <dc:description/>
  <cp:lastModifiedBy>Robert Orellana</cp:lastModifiedBy>
  <cp:revision>3</cp:revision>
  <dcterms:created xsi:type="dcterms:W3CDTF">2018-04-09T00:40:00Z</dcterms:created>
  <dcterms:modified xsi:type="dcterms:W3CDTF">2018-04-09T00:40:00Z</dcterms:modified>
</cp:coreProperties>
</file>