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1773C" w14:textId="77777777" w:rsidR="009C375C" w:rsidRDefault="009C375C">
      <w:pPr>
        <w:rPr>
          <w:rFonts w:ascii="Georgia,Bold" w:hAnsi="Georgia,Bold" w:cs="Georgia,Bold"/>
          <w:b/>
          <w:bCs/>
          <w:sz w:val="24"/>
          <w:szCs w:val="24"/>
        </w:rPr>
      </w:pPr>
      <w:r>
        <w:rPr>
          <w:rFonts w:ascii="Georgia,Bold" w:hAnsi="Georgia,Bold" w:cs="Georgia,Bold"/>
          <w:b/>
          <w:bCs/>
          <w:sz w:val="24"/>
          <w:szCs w:val="24"/>
        </w:rPr>
        <w:t>Provide a Different Metric for Small Hospitals:</w:t>
      </w:r>
    </w:p>
    <w:p w14:paraId="5F280DC4" w14:textId="77777777" w:rsidR="009C375C" w:rsidRPr="009C375C" w:rsidRDefault="009C375C">
      <w:pPr>
        <w:rPr>
          <w:u w:val="single"/>
        </w:rPr>
      </w:pPr>
      <w:r w:rsidRPr="009C375C">
        <w:rPr>
          <w:u w:val="single"/>
        </w:rPr>
        <w:t xml:space="preserve">Aggregate data over a longer period of time to calculate a SIR </w:t>
      </w:r>
      <w:r>
        <w:rPr>
          <w:u w:val="single"/>
        </w:rPr>
        <w:t>[</w:t>
      </w:r>
      <w:commentRangeStart w:id="0"/>
      <w:r>
        <w:rPr>
          <w:u w:val="single"/>
        </w:rPr>
        <w:t>f</w:t>
      </w:r>
      <w:r w:rsidRPr="009C375C">
        <w:rPr>
          <w:u w:val="single"/>
        </w:rPr>
        <w:t>or Facilities with &lt; 1 Predicted Infection</w:t>
      </w:r>
      <w:commentRangeEnd w:id="0"/>
      <w:r>
        <w:rPr>
          <w:rStyle w:val="CommentReference"/>
        </w:rPr>
        <w:commentReference w:id="0"/>
      </w:r>
      <w:r>
        <w:rPr>
          <w:u w:val="single"/>
        </w:rPr>
        <w:t>]</w:t>
      </w:r>
    </w:p>
    <w:p w14:paraId="1EA4F14C" w14:textId="0C2C57E6" w:rsidR="0086790C" w:rsidRPr="0086790C" w:rsidRDefault="0086790C">
      <w:pPr>
        <w:rPr>
          <w:u w:val="single"/>
        </w:rPr>
      </w:pPr>
      <w:commentRangeStart w:id="1"/>
      <w:r w:rsidRPr="0086790C">
        <w:rPr>
          <w:u w:val="single"/>
        </w:rPr>
        <w:t>Introduction</w:t>
      </w:r>
      <w:commentRangeEnd w:id="1"/>
      <w:r>
        <w:rPr>
          <w:rStyle w:val="CommentReference"/>
        </w:rPr>
        <w:commentReference w:id="1"/>
      </w:r>
    </w:p>
    <w:p w14:paraId="38C9A2F6" w14:textId="181E1910" w:rsidR="0086790C" w:rsidRDefault="0086790C" w:rsidP="0086790C">
      <w:pPr>
        <w:ind w:left="720"/>
      </w:pPr>
      <w:r w:rsidRPr="00E123D4">
        <w:t>The SIR is a risk-adjusted metric that uses location-specific rates or individual patient, facility, and surgical factors to control for differences in infection risk. SIRs can be calculated at the individual location or procedure level as well as the aggregate facility</w:t>
      </w:r>
      <w:r>
        <w:t>-</w:t>
      </w:r>
      <w:r w:rsidRPr="00E123D4">
        <w:t>wide or statewide level.</w:t>
      </w:r>
      <w:r w:rsidR="002E6898">
        <w:t xml:space="preserve"> &lt;link to comprehensive explanation of the SIR&gt;</w:t>
      </w:r>
    </w:p>
    <w:p w14:paraId="53660E8A" w14:textId="77777777" w:rsidR="00BB5C22" w:rsidRDefault="0086790C" w:rsidP="0086790C">
      <w:pPr>
        <w:ind w:left="720"/>
      </w:pPr>
      <w:r w:rsidRPr="0086790C">
        <w:t xml:space="preserve">When hospitals do not have a large enough denominator to have even one predicted infection, </w:t>
      </w:r>
      <w:commentRangeStart w:id="2"/>
      <w:r w:rsidRPr="0086790C">
        <w:t xml:space="preserve">NHSN/CDC </w:t>
      </w:r>
      <w:commentRangeEnd w:id="2"/>
      <w:r w:rsidRPr="0086790C">
        <w:commentReference w:id="2"/>
      </w:r>
      <w:r w:rsidRPr="0086790C">
        <w:t xml:space="preserve">will </w:t>
      </w:r>
      <w:r w:rsidRPr="0086790C">
        <w:rPr>
          <w:b/>
          <w:bCs/>
        </w:rPr>
        <w:t xml:space="preserve">not </w:t>
      </w:r>
      <w:r w:rsidRPr="0086790C">
        <w:t>calculate a</w:t>
      </w:r>
      <w:r w:rsidR="00A26BBD">
        <w:t>n</w:t>
      </w:r>
      <w:r w:rsidRPr="0086790C">
        <w:t xml:space="preserve"> SIR to ensure precision and interpretability of the metric.</w:t>
      </w:r>
      <w:r w:rsidR="00A26BBD">
        <w:t xml:space="preserve"> A key component to calculate the SIR is to clearly define the start and end points. </w:t>
      </w:r>
      <w:commentRangeStart w:id="3"/>
      <w:r w:rsidR="00A26BBD">
        <w:t>Typically, state reports will calculate an SIR an entire calendar year</w:t>
      </w:r>
      <w:commentRangeEnd w:id="3"/>
      <w:r w:rsidR="00A26BBD">
        <w:rPr>
          <w:rStyle w:val="CommentReference"/>
        </w:rPr>
        <w:commentReference w:id="3"/>
      </w:r>
      <w:r w:rsidR="00A26BBD">
        <w:t xml:space="preserve">. However, the time period can be modified. One benefit of extending the length of the reporting time period is for the accumulation of additional data to populate into the predicted number of infections. </w:t>
      </w:r>
    </w:p>
    <w:p w14:paraId="2A7D939B" w14:textId="1EAB582E" w:rsidR="0086790C" w:rsidRDefault="00BB5C22" w:rsidP="0086790C">
      <w:pPr>
        <w:ind w:left="720"/>
      </w:pPr>
      <w:r>
        <w:t>The s</w:t>
      </w:r>
      <w:r w:rsidR="00A26BBD">
        <w:t xml:space="preserve">ummary below will give a brief overview </w:t>
      </w:r>
      <w:r>
        <w:t>of the benefits and limitation of aggregating data over a longer time period to calculate the SIR. It also provides examples for display in consumer and technical reports, as well as best practices for displaying data in this manner.</w:t>
      </w:r>
    </w:p>
    <w:p w14:paraId="75604644" w14:textId="77777777" w:rsidR="00BB5C22" w:rsidRDefault="00BB5C22"/>
    <w:p w14:paraId="68193388" w14:textId="77777777" w:rsidR="00BB5C22" w:rsidRPr="00BB5C22" w:rsidRDefault="00BB5C22" w:rsidP="00BB5C22">
      <w:pPr>
        <w:rPr>
          <w:u w:val="single"/>
        </w:rPr>
      </w:pPr>
      <w:r w:rsidRPr="00BB5C22">
        <w:rPr>
          <w:u w:val="single"/>
        </w:rPr>
        <w:t>Calculation of SIR</w:t>
      </w:r>
    </w:p>
    <w:p w14:paraId="6FD42CF8" w14:textId="6978DA37" w:rsidR="007C57D2" w:rsidRDefault="007C57D2" w:rsidP="007C57D2">
      <w:pPr>
        <w:pStyle w:val="ListParagraph"/>
        <w:numPr>
          <w:ilvl w:val="0"/>
          <w:numId w:val="1"/>
        </w:numPr>
      </w:pPr>
      <w:r>
        <w:t xml:space="preserve">For a comprehensive overview of the SIR calculation, please see section </w:t>
      </w:r>
      <w:r w:rsidR="00F95338">
        <w:t>&lt;</w:t>
      </w:r>
      <w:r>
        <w:t>III</w:t>
      </w:r>
      <w:r w:rsidR="00F95338">
        <w:t>&gt;</w:t>
      </w:r>
      <w:r>
        <w:t xml:space="preserve"> in the main report </w:t>
      </w:r>
      <w:r w:rsidR="00FB49F0">
        <w:t>&lt;link to SIR calculation section&gt;</w:t>
      </w:r>
    </w:p>
    <w:p w14:paraId="5C585A27" w14:textId="59F17969" w:rsidR="00D728A1" w:rsidRDefault="00D728A1" w:rsidP="007C57D2">
      <w:pPr>
        <w:pStyle w:val="ListParagraph"/>
        <w:numPr>
          <w:ilvl w:val="0"/>
          <w:numId w:val="1"/>
        </w:numPr>
      </w:pPr>
      <w:r>
        <w:t xml:space="preserve">An SIR calculated by aggregating data over a longer period of time will continue to have all the same </w:t>
      </w:r>
      <w:r w:rsidR="00173C29">
        <w:t>properties as the SIR presented in the main body of the report; the defining difference is time period for which the data is derived.</w:t>
      </w:r>
    </w:p>
    <w:p w14:paraId="479F1375" w14:textId="77777777" w:rsidR="00173C29" w:rsidRDefault="00173C29" w:rsidP="00173C29">
      <w:pPr>
        <w:pStyle w:val="ListParagraph"/>
        <w:ind w:left="0"/>
      </w:pPr>
    </w:p>
    <w:p w14:paraId="3B1CF004" w14:textId="4EF78E3B" w:rsidR="00173C29" w:rsidRDefault="00514190" w:rsidP="00514190">
      <w:pPr>
        <w:pStyle w:val="ListParagraph"/>
        <w:jc w:val="center"/>
      </w:pPr>
      <w:r>
        <w:rPr>
          <w:noProof/>
        </w:rPr>
        <w:drawing>
          <wp:inline distT="0" distB="0" distL="0" distR="0" wp14:anchorId="067AF25D" wp14:editId="35B07EA7">
            <wp:extent cx="3533775" cy="857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533775" cy="857250"/>
                    </a:xfrm>
                    <a:prstGeom prst="rect">
                      <a:avLst/>
                    </a:prstGeom>
                  </pic:spPr>
                </pic:pic>
              </a:graphicData>
            </a:graphic>
          </wp:inline>
        </w:drawing>
      </w:r>
    </w:p>
    <w:p w14:paraId="0A1844CE" w14:textId="77777777" w:rsidR="00514190" w:rsidRDefault="00514190" w:rsidP="00514190">
      <w:pPr>
        <w:pStyle w:val="ListParagraph"/>
        <w:jc w:val="center"/>
      </w:pPr>
    </w:p>
    <w:p w14:paraId="24D7BDDF" w14:textId="1FC5DCDF" w:rsidR="007C57D2" w:rsidRDefault="007C57D2" w:rsidP="007C57D2">
      <w:pPr>
        <w:pStyle w:val="ListParagraph"/>
        <w:numPr>
          <w:ilvl w:val="0"/>
          <w:numId w:val="1"/>
        </w:numPr>
      </w:pPr>
      <w:commentRangeStart w:id="4"/>
      <w:r>
        <w:t xml:space="preserve">Basic analytic considerations for </w:t>
      </w:r>
      <w:r w:rsidR="00AE4343">
        <w:t xml:space="preserve">the </w:t>
      </w:r>
      <w:r>
        <w:t>SIR</w:t>
      </w:r>
      <w:commentRangeEnd w:id="4"/>
      <w:r w:rsidR="00F95338">
        <w:rPr>
          <w:rStyle w:val="CommentReference"/>
        </w:rPr>
        <w:commentReference w:id="4"/>
      </w:r>
      <w:r w:rsidR="00AE4343">
        <w:t xml:space="preserve"> when a</w:t>
      </w:r>
      <w:r w:rsidR="00AE4343" w:rsidRPr="00AE4343">
        <w:t>ggregat</w:t>
      </w:r>
      <w:r w:rsidR="00AE4343">
        <w:t>ing</w:t>
      </w:r>
      <w:r w:rsidR="00AE4343" w:rsidRPr="00AE4343">
        <w:t xml:space="preserve"> data over a longer period of time</w:t>
      </w:r>
      <w:r>
        <w:t xml:space="preserve">: </w:t>
      </w:r>
    </w:p>
    <w:p w14:paraId="09CD0C77" w14:textId="77777777" w:rsidR="007C57D2" w:rsidRDefault="007C57D2" w:rsidP="007C57D2">
      <w:pPr>
        <w:pStyle w:val="ListParagraph"/>
        <w:numPr>
          <w:ilvl w:val="1"/>
          <w:numId w:val="1"/>
        </w:numPr>
      </w:pPr>
      <w:r>
        <w:t>If data from NHSN are used, analyses should only include data that facilities have included in their monthly reporting plans. Data that are included in a facility’s monthly plan must be collected and entered into NHSN according to standardized CDC protocols. Data that are not in a facility’s monthly plan may not have been collected according to NHSN requirements and may not contain all data elements. Some states require the use of “off-plan” reporting for some infections.</w:t>
      </w:r>
    </w:p>
    <w:p w14:paraId="43860A14" w14:textId="3FD27341" w:rsidR="007C57D2" w:rsidRDefault="007C57D2" w:rsidP="007C57D2">
      <w:pPr>
        <w:pStyle w:val="ListParagraph"/>
        <w:numPr>
          <w:ilvl w:val="1"/>
          <w:numId w:val="1"/>
        </w:numPr>
      </w:pPr>
      <w:r>
        <w:t>For facilities that report no infections for a time period, an upper limit of the SIR’s 95% confidence interval should be calculated, but a lower limit should not.  When interpreting this 95% confidence interval, the lower bound can be assumed to be zero.</w:t>
      </w:r>
    </w:p>
    <w:p w14:paraId="3B54842E" w14:textId="615CE33A" w:rsidR="007C57D2" w:rsidRDefault="007C57D2" w:rsidP="007C57D2">
      <w:pPr>
        <w:pStyle w:val="ListParagraph"/>
        <w:numPr>
          <w:ilvl w:val="1"/>
          <w:numId w:val="1"/>
        </w:numPr>
      </w:pPr>
      <w:r>
        <w:lastRenderedPageBreak/>
        <w:t xml:space="preserve">A report that presents hospital-level HAI metrics may carry with it the implication that all facilities contributed the same number of months of data included in the report, and should be qualified by an explanatory footnote if data contributions differ among hospitals. If some facilities reported fewer months than the maximum included in the report, or if some months or quarters are excluded from the SIR calculation (e.g., quarters with an outlier </w:t>
      </w:r>
      <w:r w:rsidRPr="00F95338">
        <w:rPr>
          <w:i/>
        </w:rPr>
        <w:t>C. difficile</w:t>
      </w:r>
      <w:r>
        <w:t xml:space="preserve"> or MRSA community-onset prevalence rate are excluded from the SIR), a footnote should be provided for those facilities to indicate that less than the maximum number of months are included in the calculation.   </w:t>
      </w:r>
    </w:p>
    <w:p w14:paraId="66FCADCB" w14:textId="79DE54DF" w:rsidR="007C57D2" w:rsidRDefault="007C57D2" w:rsidP="007C57D2">
      <w:pPr>
        <w:pStyle w:val="ListParagraph"/>
        <w:numPr>
          <w:ilvl w:val="1"/>
          <w:numId w:val="1"/>
        </w:numPr>
      </w:pPr>
      <w:r>
        <w:t xml:space="preserve">As the time since the baseline period </w:t>
      </w:r>
      <w:r w:rsidR="007C6107">
        <w:t>increases</w:t>
      </w:r>
      <w:r>
        <w:t>, consideration should be given to comparing a facility’s serial SIRs from one reporting period to the next (e.g., 201</w:t>
      </w:r>
      <w:r w:rsidR="007C6107">
        <w:t>8</w:t>
      </w:r>
      <w:r>
        <w:t xml:space="preserve"> CLABSI SIR vs. 201</w:t>
      </w:r>
      <w:r w:rsidR="007C6107">
        <w:t>9</w:t>
      </w:r>
      <w:r>
        <w:t xml:space="preserve"> CLABSI SIR). This will provide a more real-time measure of facility performance compared to changes from the baseline period. SAS code to perform this comparison is available on the NHSN website at </w:t>
      </w:r>
      <w:commentRangeStart w:id="5"/>
      <w:r w:rsidR="00F95338">
        <w:fldChar w:fldCharType="begin"/>
      </w:r>
      <w:r w:rsidR="00F95338">
        <w:instrText xml:space="preserve"> HYPERLINK "http://www.cdc.gov/nhsn/PS-Analysisresources/index.html" </w:instrText>
      </w:r>
      <w:r w:rsidR="00F95338">
        <w:fldChar w:fldCharType="separate"/>
      </w:r>
      <w:r w:rsidRPr="00F95338">
        <w:rPr>
          <w:rStyle w:val="Hyperlink"/>
        </w:rPr>
        <w:t>http://www.cdc.gov/nhsn/PS-Analysisresources/index.html</w:t>
      </w:r>
      <w:r w:rsidR="00F95338">
        <w:fldChar w:fldCharType="end"/>
      </w:r>
      <w:commentRangeEnd w:id="5"/>
      <w:r w:rsidR="00F95338">
        <w:rPr>
          <w:rStyle w:val="CommentReference"/>
        </w:rPr>
        <w:commentReference w:id="5"/>
      </w:r>
      <w:r>
        <w:t>. These comparisons may be better suited for a technical report audience for the reasons described in the “Other Considerations” chapter.</w:t>
      </w:r>
    </w:p>
    <w:p w14:paraId="5CE49AFD" w14:textId="77777777" w:rsidR="006C5343" w:rsidRDefault="007C57D2" w:rsidP="007C57D2">
      <w:pPr>
        <w:pStyle w:val="ListParagraph"/>
        <w:numPr>
          <w:ilvl w:val="0"/>
          <w:numId w:val="1"/>
        </w:numPr>
      </w:pPr>
      <w:r>
        <w:t>Data exclusions – include information about analytic decisions such as types of surgical site infections that are excluded or ou</w:t>
      </w:r>
      <w:r w:rsidR="006C5343">
        <w:t>tlier data that are excluded.</w:t>
      </w:r>
      <w:r>
        <w:t xml:space="preserve"> </w:t>
      </w:r>
    </w:p>
    <w:p w14:paraId="4554D254" w14:textId="2A9614CE" w:rsidR="007C57D2" w:rsidRDefault="007C57D2" w:rsidP="007C57D2">
      <w:pPr>
        <w:pStyle w:val="ListParagraph"/>
        <w:numPr>
          <w:ilvl w:val="0"/>
          <w:numId w:val="1"/>
        </w:numPr>
      </w:pPr>
      <w:r w:rsidRPr="00E123D4">
        <w:t>Sample language defining the p-value and 95% confidence interval</w:t>
      </w:r>
      <w:r>
        <w:t xml:space="preserve"> should be similarly defined as when interpreting the SIR for the standard time frame (</w:t>
      </w:r>
      <w:r w:rsidR="006C5343">
        <w:t>S</w:t>
      </w:r>
      <w:r>
        <w:t>ection II)</w:t>
      </w:r>
      <w:r w:rsidR="006C5343">
        <w:t xml:space="preserve"> &lt;provide link to section II&gt;</w:t>
      </w:r>
    </w:p>
    <w:p w14:paraId="29DAE085" w14:textId="77777777" w:rsidR="00BB5C22" w:rsidRDefault="00BB5C22" w:rsidP="00BB5C22"/>
    <w:p w14:paraId="4CE4084F" w14:textId="77777777" w:rsidR="00BB5C22" w:rsidRPr="00BB5C22" w:rsidRDefault="00BB5C22" w:rsidP="00BB5C22">
      <w:pPr>
        <w:rPr>
          <w:u w:val="single"/>
        </w:rPr>
      </w:pPr>
      <w:r w:rsidRPr="00BB5C22">
        <w:rPr>
          <w:u w:val="single"/>
        </w:rPr>
        <w:t>Display of SIR</w:t>
      </w:r>
    </w:p>
    <w:p w14:paraId="1ECE780D" w14:textId="54786D21" w:rsidR="006C5343" w:rsidRDefault="006C5343" w:rsidP="00AE4343">
      <w:pPr>
        <w:ind w:left="720"/>
      </w:pPr>
      <w:r>
        <w:t>If this metric is used, it is important to communicate how it was calculated and that it reflects a specific period in time, which should be clearly indicated in the report.</w:t>
      </w:r>
      <w:r w:rsidR="00880E6F" w:rsidRPr="00880E6F">
        <w:t xml:space="preserve"> </w:t>
      </w:r>
      <w:r w:rsidR="00880E6F">
        <w:t>Provide the start and end times for hospitals with less than one predicted infection. Additionally, stratify by levels similar seen in the main report (i.e. infection type, facility, unit designation, etc.)</w:t>
      </w:r>
    </w:p>
    <w:p w14:paraId="631FAF2A" w14:textId="38C0C70D" w:rsidR="00BB5C22" w:rsidRDefault="006C5343" w:rsidP="00AE4343">
      <w:pPr>
        <w:ind w:left="720"/>
      </w:pPr>
      <w:r>
        <w:t>It is recommended that all facilities or locations with predicted infections less than one be grouped separate from the main report in a designated section. Within this section, it is critically important to clearly display the time period (i.e. the start and end times)</w:t>
      </w:r>
      <w:r w:rsidR="00F95338">
        <w:t xml:space="preserve"> as it will be a longer time period from the SIRs calculated in the main body of the report</w:t>
      </w:r>
      <w:r>
        <w:t xml:space="preserve">. </w:t>
      </w:r>
      <w:commentRangeStart w:id="6"/>
      <w:r>
        <w:t>Similarly, if the report feels it necessary to aggregate data over differing time periods, each time period would be best suited in its own designated section and table.</w:t>
      </w:r>
      <w:commentRangeEnd w:id="6"/>
      <w:r w:rsidR="003159F8">
        <w:rPr>
          <w:rStyle w:val="CommentReference"/>
        </w:rPr>
        <w:commentReference w:id="6"/>
      </w:r>
    </w:p>
    <w:p w14:paraId="611F764C" w14:textId="4D9C0C89" w:rsidR="00173C29" w:rsidRPr="000364A8" w:rsidRDefault="000364A8" w:rsidP="00BB5C22">
      <w:pPr>
        <w:rPr>
          <w:b/>
        </w:rPr>
      </w:pPr>
      <w:r w:rsidRPr="000364A8">
        <w:rPr>
          <w:b/>
        </w:rPr>
        <w:t xml:space="preserve">Sample Title: Central Line-Associated Bloodstream Infection (CLABSI) Standardized Infection Ratio (SIR) Report by Facility and </w:t>
      </w:r>
      <w:commentRangeStart w:id="7"/>
      <w:r w:rsidRPr="000364A8">
        <w:rPr>
          <w:b/>
        </w:rPr>
        <w:t>Unit Type</w:t>
      </w:r>
      <w:commentRangeEnd w:id="7"/>
      <w:r>
        <w:rPr>
          <w:rStyle w:val="CommentReference"/>
        </w:rPr>
        <w:commentReference w:id="7"/>
      </w:r>
      <w:r w:rsidRPr="000364A8">
        <w:rPr>
          <w:b/>
        </w:rPr>
        <w:t>, Acute Care Hospitals, [</w:t>
      </w:r>
      <w:r w:rsidRPr="000364A8">
        <w:rPr>
          <w:b/>
          <w:highlight w:val="yellow"/>
        </w:rPr>
        <w:t>STATE</w:t>
      </w:r>
      <w:r w:rsidRPr="000364A8">
        <w:rPr>
          <w:b/>
        </w:rPr>
        <w:t>], [</w:t>
      </w:r>
      <w:r w:rsidRPr="000364A8">
        <w:rPr>
          <w:b/>
          <w:highlight w:val="yellow"/>
          <w:u w:val="single"/>
        </w:rPr>
        <w:t>AGGREGATED</w:t>
      </w:r>
      <w:r w:rsidRPr="000364A8">
        <w:rPr>
          <w:b/>
          <w:highlight w:val="yellow"/>
        </w:rPr>
        <w:t xml:space="preserve"> TIME PERIOD</w:t>
      </w:r>
      <w:r w:rsidRPr="000364A8">
        <w:rPr>
          <w:b/>
        </w:rPr>
        <w:t>]</w:t>
      </w:r>
    </w:p>
    <w:tbl>
      <w:tblPr>
        <w:tblStyle w:val="TableGrid"/>
        <w:tblW w:w="10165" w:type="dxa"/>
        <w:tblLook w:val="04A0" w:firstRow="1" w:lastRow="0" w:firstColumn="1" w:lastColumn="0" w:noHBand="0" w:noVBand="1"/>
      </w:tblPr>
      <w:tblGrid>
        <w:gridCol w:w="1211"/>
        <w:gridCol w:w="1026"/>
        <w:gridCol w:w="1368"/>
        <w:gridCol w:w="1134"/>
        <w:gridCol w:w="1168"/>
        <w:gridCol w:w="891"/>
        <w:gridCol w:w="1477"/>
        <w:gridCol w:w="1890"/>
      </w:tblGrid>
      <w:tr w:rsidR="004F1D90" w14:paraId="031D4F8B" w14:textId="0E18778F" w:rsidTr="000364A8">
        <w:tc>
          <w:tcPr>
            <w:tcW w:w="1211" w:type="dxa"/>
            <w:vMerge w:val="restart"/>
            <w:shd w:val="clear" w:color="auto" w:fill="D0CECE" w:themeFill="background2" w:themeFillShade="E6"/>
            <w:vAlign w:val="center"/>
          </w:tcPr>
          <w:p w14:paraId="47D95B69" w14:textId="68D246DD" w:rsidR="004F1D90" w:rsidRDefault="004F1D90" w:rsidP="000364A8">
            <w:pPr>
              <w:jc w:val="center"/>
            </w:pPr>
            <w:r>
              <w:t>Facility</w:t>
            </w:r>
          </w:p>
        </w:tc>
        <w:tc>
          <w:tcPr>
            <w:tcW w:w="1026" w:type="dxa"/>
            <w:vMerge w:val="restart"/>
            <w:shd w:val="clear" w:color="auto" w:fill="D0CECE" w:themeFill="background2" w:themeFillShade="E6"/>
            <w:vAlign w:val="center"/>
          </w:tcPr>
          <w:p w14:paraId="7894A5E1" w14:textId="35E79991" w:rsidR="004F1D90" w:rsidRDefault="004F1D90" w:rsidP="000364A8">
            <w:pPr>
              <w:jc w:val="center"/>
            </w:pPr>
            <w:r>
              <w:t>Infection Type</w:t>
            </w:r>
          </w:p>
        </w:tc>
        <w:tc>
          <w:tcPr>
            <w:tcW w:w="1368" w:type="dxa"/>
            <w:vMerge w:val="restart"/>
            <w:shd w:val="clear" w:color="auto" w:fill="D0CECE" w:themeFill="background2" w:themeFillShade="E6"/>
            <w:vAlign w:val="center"/>
          </w:tcPr>
          <w:p w14:paraId="79ACA7AA" w14:textId="3F326E78" w:rsidR="004F1D90" w:rsidRDefault="004F1D90" w:rsidP="000364A8">
            <w:pPr>
              <w:jc w:val="center"/>
            </w:pPr>
            <w:commentRangeStart w:id="8"/>
            <w:r>
              <w:t>Time Period</w:t>
            </w:r>
            <w:commentRangeEnd w:id="8"/>
            <w:r w:rsidR="000364A8">
              <w:rPr>
                <w:rStyle w:val="CommentReference"/>
              </w:rPr>
              <w:commentReference w:id="8"/>
            </w:r>
          </w:p>
        </w:tc>
        <w:tc>
          <w:tcPr>
            <w:tcW w:w="2302" w:type="dxa"/>
            <w:gridSpan w:val="2"/>
            <w:shd w:val="clear" w:color="auto" w:fill="D0CECE" w:themeFill="background2" w:themeFillShade="E6"/>
          </w:tcPr>
          <w:p w14:paraId="4546D6C6" w14:textId="23CD8CF6" w:rsidR="004F1D90" w:rsidRDefault="000364A8" w:rsidP="00BB5C22">
            <w:r>
              <w:t>Number of Infections</w:t>
            </w:r>
          </w:p>
        </w:tc>
        <w:tc>
          <w:tcPr>
            <w:tcW w:w="2368" w:type="dxa"/>
            <w:gridSpan w:val="2"/>
            <w:shd w:val="clear" w:color="auto" w:fill="D0CECE" w:themeFill="background2" w:themeFillShade="E6"/>
          </w:tcPr>
          <w:p w14:paraId="2116CF59" w14:textId="24B588DB" w:rsidR="004F1D90" w:rsidRDefault="004F1D90" w:rsidP="00BB5C22">
            <w:r w:rsidRPr="004F1D90">
              <w:t>SIR and 95% Confidence Interval (CI)†</w:t>
            </w:r>
          </w:p>
        </w:tc>
        <w:tc>
          <w:tcPr>
            <w:tcW w:w="1890" w:type="dxa"/>
            <w:vMerge w:val="restart"/>
            <w:shd w:val="clear" w:color="auto" w:fill="D0CECE" w:themeFill="background2" w:themeFillShade="E6"/>
            <w:vAlign w:val="center"/>
          </w:tcPr>
          <w:p w14:paraId="5BAF6737" w14:textId="5B2295E8" w:rsidR="004F1D90" w:rsidRDefault="004F1D90" w:rsidP="000364A8">
            <w:pPr>
              <w:jc w:val="center"/>
            </w:pPr>
            <w:r>
              <w:t>SIR Interpretation</w:t>
            </w:r>
          </w:p>
        </w:tc>
      </w:tr>
      <w:tr w:rsidR="004F1D90" w14:paraId="5E272334" w14:textId="731780A5" w:rsidTr="000364A8">
        <w:tc>
          <w:tcPr>
            <w:tcW w:w="1211" w:type="dxa"/>
            <w:vMerge/>
            <w:shd w:val="clear" w:color="auto" w:fill="D0CECE" w:themeFill="background2" w:themeFillShade="E6"/>
          </w:tcPr>
          <w:p w14:paraId="652EF4F5" w14:textId="5DE65831" w:rsidR="004F1D90" w:rsidRDefault="004F1D90" w:rsidP="00BB5C22"/>
        </w:tc>
        <w:tc>
          <w:tcPr>
            <w:tcW w:w="1026" w:type="dxa"/>
            <w:vMerge/>
            <w:shd w:val="clear" w:color="auto" w:fill="D0CECE" w:themeFill="background2" w:themeFillShade="E6"/>
          </w:tcPr>
          <w:p w14:paraId="5578385D" w14:textId="63A7C2C3" w:rsidR="004F1D90" w:rsidRDefault="004F1D90" w:rsidP="00BB5C22"/>
        </w:tc>
        <w:tc>
          <w:tcPr>
            <w:tcW w:w="1368" w:type="dxa"/>
            <w:vMerge/>
            <w:shd w:val="clear" w:color="auto" w:fill="D0CECE" w:themeFill="background2" w:themeFillShade="E6"/>
          </w:tcPr>
          <w:p w14:paraId="00172E11" w14:textId="3EF45A21" w:rsidR="004F1D90" w:rsidRDefault="004F1D90" w:rsidP="00BB5C22"/>
        </w:tc>
        <w:tc>
          <w:tcPr>
            <w:tcW w:w="1134" w:type="dxa"/>
            <w:shd w:val="clear" w:color="auto" w:fill="D0CECE" w:themeFill="background2" w:themeFillShade="E6"/>
          </w:tcPr>
          <w:p w14:paraId="144EF355" w14:textId="06B9FBAE" w:rsidR="004F1D90" w:rsidRDefault="004F1D90" w:rsidP="00BB5C22">
            <w:r>
              <w:t>Observed Infections</w:t>
            </w:r>
          </w:p>
        </w:tc>
        <w:tc>
          <w:tcPr>
            <w:tcW w:w="1168" w:type="dxa"/>
            <w:shd w:val="clear" w:color="auto" w:fill="D0CECE" w:themeFill="background2" w:themeFillShade="E6"/>
          </w:tcPr>
          <w:p w14:paraId="33D9BD5A" w14:textId="4D4648FB" w:rsidR="004F1D90" w:rsidRDefault="004F1D90" w:rsidP="00BB5C22">
            <w:r>
              <w:t>Predicted Infections</w:t>
            </w:r>
          </w:p>
        </w:tc>
        <w:tc>
          <w:tcPr>
            <w:tcW w:w="891" w:type="dxa"/>
            <w:shd w:val="clear" w:color="auto" w:fill="D0CECE" w:themeFill="background2" w:themeFillShade="E6"/>
          </w:tcPr>
          <w:p w14:paraId="4341F30A" w14:textId="3BC7FE1F" w:rsidR="004F1D90" w:rsidRDefault="004F1D90" w:rsidP="00BB5C22">
            <w:r>
              <w:t>SIR</w:t>
            </w:r>
          </w:p>
        </w:tc>
        <w:tc>
          <w:tcPr>
            <w:tcW w:w="1477" w:type="dxa"/>
            <w:shd w:val="clear" w:color="auto" w:fill="D0CECE" w:themeFill="background2" w:themeFillShade="E6"/>
          </w:tcPr>
          <w:p w14:paraId="5415A9FD" w14:textId="5E2B2895" w:rsidR="004F1D90" w:rsidRDefault="004F1D90" w:rsidP="00BB5C22">
            <w:r>
              <w:t>95% CI</w:t>
            </w:r>
          </w:p>
        </w:tc>
        <w:tc>
          <w:tcPr>
            <w:tcW w:w="1890" w:type="dxa"/>
            <w:vMerge/>
            <w:shd w:val="clear" w:color="auto" w:fill="D0CECE" w:themeFill="background2" w:themeFillShade="E6"/>
          </w:tcPr>
          <w:p w14:paraId="67AF27B6" w14:textId="77777777" w:rsidR="004F1D90" w:rsidRDefault="004F1D90" w:rsidP="00BB5C22"/>
        </w:tc>
      </w:tr>
      <w:tr w:rsidR="004F1D90" w14:paraId="1C34A6E0" w14:textId="45934F01" w:rsidTr="000364A8">
        <w:tc>
          <w:tcPr>
            <w:tcW w:w="1211" w:type="dxa"/>
          </w:tcPr>
          <w:p w14:paraId="1E7E68FF" w14:textId="4C267A59" w:rsidR="004F1D90" w:rsidRDefault="004F1D90" w:rsidP="00BB5C22">
            <w:r>
              <w:t>Hospital A</w:t>
            </w:r>
          </w:p>
        </w:tc>
        <w:tc>
          <w:tcPr>
            <w:tcW w:w="1026" w:type="dxa"/>
          </w:tcPr>
          <w:p w14:paraId="728EAFB6" w14:textId="10D639DC" w:rsidR="004F1D90" w:rsidRDefault="004F1D90" w:rsidP="00BB5C22">
            <w:r>
              <w:t>CLABSI</w:t>
            </w:r>
          </w:p>
        </w:tc>
        <w:tc>
          <w:tcPr>
            <w:tcW w:w="1368" w:type="dxa"/>
          </w:tcPr>
          <w:p w14:paraId="66F7D858" w14:textId="737BE274" w:rsidR="004F1D90" w:rsidRDefault="004F1D90" w:rsidP="00BB5C22">
            <w:r>
              <w:t>2014-2015</w:t>
            </w:r>
          </w:p>
        </w:tc>
        <w:tc>
          <w:tcPr>
            <w:tcW w:w="1134" w:type="dxa"/>
          </w:tcPr>
          <w:p w14:paraId="4D33924B" w14:textId="065CC4C1" w:rsidR="004F1D90" w:rsidRDefault="004F1D90" w:rsidP="00BB5C22">
            <w:r>
              <w:t>1</w:t>
            </w:r>
          </w:p>
        </w:tc>
        <w:tc>
          <w:tcPr>
            <w:tcW w:w="1168" w:type="dxa"/>
          </w:tcPr>
          <w:p w14:paraId="4E80176B" w14:textId="47EF096C" w:rsidR="004F1D90" w:rsidRDefault="004F1D90" w:rsidP="00BB5C22">
            <w:r>
              <w:t>2.8</w:t>
            </w:r>
          </w:p>
        </w:tc>
        <w:tc>
          <w:tcPr>
            <w:tcW w:w="891" w:type="dxa"/>
          </w:tcPr>
          <w:p w14:paraId="230F4B59" w14:textId="72F9865A" w:rsidR="004F1D90" w:rsidRDefault="000364A8" w:rsidP="00BB5C22">
            <w:r>
              <w:t>0.36</w:t>
            </w:r>
          </w:p>
        </w:tc>
        <w:tc>
          <w:tcPr>
            <w:tcW w:w="1477" w:type="dxa"/>
          </w:tcPr>
          <w:p w14:paraId="1CCA6941" w14:textId="1E0491CB" w:rsidR="004F1D90" w:rsidRDefault="000364A8" w:rsidP="00BB5C22">
            <w:r>
              <w:t>(0.21, 0.58)</w:t>
            </w:r>
          </w:p>
        </w:tc>
        <w:tc>
          <w:tcPr>
            <w:tcW w:w="1890" w:type="dxa"/>
          </w:tcPr>
          <w:p w14:paraId="3F4AA3B1" w14:textId="79D21E63" w:rsidR="004F1D90" w:rsidRDefault="000364A8" w:rsidP="00BB5C22">
            <w:r>
              <w:rPr>
                <w:noProof/>
              </w:rPr>
              <w:drawing>
                <wp:inline distT="0" distB="0" distL="0" distR="0" wp14:anchorId="0CE4C550" wp14:editId="3F723F97">
                  <wp:extent cx="923925" cy="2190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3925" cy="219075"/>
                          </a:xfrm>
                          <a:prstGeom prst="rect">
                            <a:avLst/>
                          </a:prstGeom>
                        </pic:spPr>
                      </pic:pic>
                    </a:graphicData>
                  </a:graphic>
                </wp:inline>
              </w:drawing>
            </w:r>
          </w:p>
        </w:tc>
      </w:tr>
      <w:tr w:rsidR="004F1D90" w14:paraId="5208A39A" w14:textId="2D769E56" w:rsidTr="000364A8">
        <w:tc>
          <w:tcPr>
            <w:tcW w:w="1211" w:type="dxa"/>
          </w:tcPr>
          <w:p w14:paraId="2AF2A50F" w14:textId="43C49F29" w:rsidR="004F1D90" w:rsidRDefault="004F1D90" w:rsidP="00BB5C22">
            <w:r>
              <w:t>Hospital B</w:t>
            </w:r>
          </w:p>
        </w:tc>
        <w:tc>
          <w:tcPr>
            <w:tcW w:w="1026" w:type="dxa"/>
          </w:tcPr>
          <w:p w14:paraId="39B30771" w14:textId="5D1671CF" w:rsidR="004F1D90" w:rsidRDefault="004F1D90" w:rsidP="00BB5C22">
            <w:r>
              <w:t>CLABSI</w:t>
            </w:r>
          </w:p>
        </w:tc>
        <w:tc>
          <w:tcPr>
            <w:tcW w:w="1368" w:type="dxa"/>
          </w:tcPr>
          <w:p w14:paraId="24314F79" w14:textId="7ECFD64A" w:rsidR="004F1D90" w:rsidRDefault="004F1D90" w:rsidP="00BB5C22">
            <w:r>
              <w:t>2014-2015</w:t>
            </w:r>
          </w:p>
        </w:tc>
        <w:tc>
          <w:tcPr>
            <w:tcW w:w="1134" w:type="dxa"/>
          </w:tcPr>
          <w:p w14:paraId="12C28B22" w14:textId="2FF4DAEF" w:rsidR="004F1D90" w:rsidRDefault="004F1D90" w:rsidP="00BB5C22">
            <w:r>
              <w:t>0</w:t>
            </w:r>
          </w:p>
        </w:tc>
        <w:tc>
          <w:tcPr>
            <w:tcW w:w="1168" w:type="dxa"/>
          </w:tcPr>
          <w:p w14:paraId="4C605757" w14:textId="260AF121" w:rsidR="004F1D90" w:rsidRDefault="004F1D90" w:rsidP="00BB5C22">
            <w:r>
              <w:t>1.8</w:t>
            </w:r>
          </w:p>
        </w:tc>
        <w:tc>
          <w:tcPr>
            <w:tcW w:w="891" w:type="dxa"/>
          </w:tcPr>
          <w:p w14:paraId="27038318" w14:textId="4BED0A93" w:rsidR="004F1D90" w:rsidRDefault="000364A8" w:rsidP="00BB5C22">
            <w:r>
              <w:t>0</w:t>
            </w:r>
          </w:p>
        </w:tc>
        <w:tc>
          <w:tcPr>
            <w:tcW w:w="1477" w:type="dxa"/>
          </w:tcPr>
          <w:p w14:paraId="4CC8E511" w14:textId="276F07AE" w:rsidR="004F1D90" w:rsidRDefault="000364A8" w:rsidP="00BB5C22">
            <w:r>
              <w:t>( ., 0.87 )</w:t>
            </w:r>
          </w:p>
        </w:tc>
        <w:tc>
          <w:tcPr>
            <w:tcW w:w="1890" w:type="dxa"/>
          </w:tcPr>
          <w:p w14:paraId="3AA50556" w14:textId="450965AC" w:rsidR="004F1D90" w:rsidRDefault="000364A8" w:rsidP="00BB5C22">
            <w:r>
              <w:rPr>
                <w:noProof/>
              </w:rPr>
              <w:drawing>
                <wp:inline distT="0" distB="0" distL="0" distR="0" wp14:anchorId="148E5838" wp14:editId="33DB22ED">
                  <wp:extent cx="923925" cy="2190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3925" cy="219075"/>
                          </a:xfrm>
                          <a:prstGeom prst="rect">
                            <a:avLst/>
                          </a:prstGeom>
                        </pic:spPr>
                      </pic:pic>
                    </a:graphicData>
                  </a:graphic>
                </wp:inline>
              </w:drawing>
            </w:r>
          </w:p>
        </w:tc>
      </w:tr>
    </w:tbl>
    <w:p w14:paraId="2A082F3B" w14:textId="3D72D01E" w:rsidR="000364A8" w:rsidRDefault="000364A8" w:rsidP="00BB5C22">
      <w:r w:rsidRPr="000364A8">
        <w:t xml:space="preserve">† </w:t>
      </w:r>
      <w:r w:rsidRPr="000364A8">
        <w:rPr>
          <w:i/>
        </w:rPr>
        <w:t>When the SIR is 0, the lower bound of the 95% confidence interval cannot be calculated.  However, for ease of interpretation, it can be considered 0.</w:t>
      </w:r>
    </w:p>
    <w:p w14:paraId="6B4111EA" w14:textId="77777777" w:rsidR="000364A8" w:rsidRPr="000364A8" w:rsidRDefault="000364A8" w:rsidP="000364A8">
      <w:pPr>
        <w:rPr>
          <w:b/>
        </w:rPr>
      </w:pPr>
      <w:r w:rsidRPr="000364A8">
        <w:rPr>
          <w:b/>
        </w:rPr>
        <w:lastRenderedPageBreak/>
        <w:t>Sample Title: Central Line-Associated Bloodstream Infection (CLABSI) Standardized Infection Ratio (SIR) Report by Facility and Unit Type, Acute Care Hospitals, [</w:t>
      </w:r>
      <w:r w:rsidRPr="000364A8">
        <w:rPr>
          <w:b/>
          <w:highlight w:val="yellow"/>
        </w:rPr>
        <w:t>STATE</w:t>
      </w:r>
      <w:r w:rsidRPr="000364A8">
        <w:rPr>
          <w:b/>
        </w:rPr>
        <w:t>], [</w:t>
      </w:r>
      <w:r w:rsidRPr="000364A8">
        <w:rPr>
          <w:b/>
          <w:highlight w:val="yellow"/>
          <w:u w:val="single"/>
        </w:rPr>
        <w:t>AGGREGATED</w:t>
      </w:r>
      <w:r w:rsidRPr="000364A8">
        <w:rPr>
          <w:b/>
          <w:highlight w:val="yellow"/>
        </w:rPr>
        <w:t xml:space="preserve"> TIME PERIOD</w:t>
      </w:r>
      <w:r w:rsidRPr="000364A8">
        <w:rPr>
          <w:b/>
        </w:rPr>
        <w:t>]</w:t>
      </w:r>
    </w:p>
    <w:tbl>
      <w:tblPr>
        <w:tblStyle w:val="TableGrid"/>
        <w:tblW w:w="10075" w:type="dxa"/>
        <w:tblLook w:val="04A0" w:firstRow="1" w:lastRow="0" w:firstColumn="1" w:lastColumn="0" w:noHBand="0" w:noVBand="1"/>
      </w:tblPr>
      <w:tblGrid>
        <w:gridCol w:w="1211"/>
        <w:gridCol w:w="1584"/>
        <w:gridCol w:w="1368"/>
        <w:gridCol w:w="1368"/>
        <w:gridCol w:w="1134"/>
        <w:gridCol w:w="1168"/>
        <w:gridCol w:w="2242"/>
      </w:tblGrid>
      <w:tr w:rsidR="000364A8" w14:paraId="152FAAF0" w14:textId="77777777" w:rsidTr="000364A8">
        <w:tc>
          <w:tcPr>
            <w:tcW w:w="1211" w:type="dxa"/>
            <w:vMerge w:val="restart"/>
            <w:shd w:val="clear" w:color="auto" w:fill="D0CECE" w:themeFill="background2" w:themeFillShade="E6"/>
            <w:vAlign w:val="center"/>
          </w:tcPr>
          <w:p w14:paraId="3A593359" w14:textId="77777777" w:rsidR="000364A8" w:rsidRDefault="000364A8" w:rsidP="00FA2439">
            <w:pPr>
              <w:jc w:val="center"/>
            </w:pPr>
            <w:r>
              <w:t>Facility</w:t>
            </w:r>
          </w:p>
        </w:tc>
        <w:tc>
          <w:tcPr>
            <w:tcW w:w="1584" w:type="dxa"/>
            <w:vMerge w:val="restart"/>
            <w:shd w:val="clear" w:color="auto" w:fill="D0CECE" w:themeFill="background2" w:themeFillShade="E6"/>
            <w:vAlign w:val="center"/>
          </w:tcPr>
          <w:p w14:paraId="0B13A232" w14:textId="3AFA248C" w:rsidR="000364A8" w:rsidRDefault="000364A8" w:rsidP="00FA2439">
            <w:pPr>
              <w:jc w:val="center"/>
            </w:pPr>
            <w:r>
              <w:t>Infection T</w:t>
            </w:r>
            <w:r>
              <w:t>y</w:t>
            </w:r>
            <w:r>
              <w:t>pe</w:t>
            </w:r>
          </w:p>
        </w:tc>
        <w:tc>
          <w:tcPr>
            <w:tcW w:w="1368" w:type="dxa"/>
            <w:vMerge w:val="restart"/>
            <w:shd w:val="clear" w:color="auto" w:fill="D0CECE" w:themeFill="background2" w:themeFillShade="E6"/>
            <w:vAlign w:val="center"/>
          </w:tcPr>
          <w:p w14:paraId="1DD0A22F" w14:textId="03977ABC" w:rsidR="000364A8" w:rsidRDefault="000364A8" w:rsidP="000364A8">
            <w:pPr>
              <w:jc w:val="center"/>
            </w:pPr>
            <w:r>
              <w:t>Unit Type</w:t>
            </w:r>
          </w:p>
        </w:tc>
        <w:tc>
          <w:tcPr>
            <w:tcW w:w="1368" w:type="dxa"/>
            <w:vMerge w:val="restart"/>
            <w:shd w:val="clear" w:color="auto" w:fill="D0CECE" w:themeFill="background2" w:themeFillShade="E6"/>
            <w:vAlign w:val="center"/>
          </w:tcPr>
          <w:p w14:paraId="0B4208DF" w14:textId="2AA52D89" w:rsidR="000364A8" w:rsidRDefault="000364A8" w:rsidP="00FA2439">
            <w:pPr>
              <w:jc w:val="center"/>
            </w:pPr>
            <w:commentRangeStart w:id="9"/>
            <w:r>
              <w:t>Time Period</w:t>
            </w:r>
            <w:commentRangeEnd w:id="9"/>
            <w:r>
              <w:rPr>
                <w:rStyle w:val="CommentReference"/>
              </w:rPr>
              <w:commentReference w:id="9"/>
            </w:r>
          </w:p>
        </w:tc>
        <w:tc>
          <w:tcPr>
            <w:tcW w:w="2302" w:type="dxa"/>
            <w:gridSpan w:val="2"/>
            <w:shd w:val="clear" w:color="auto" w:fill="D0CECE" w:themeFill="background2" w:themeFillShade="E6"/>
          </w:tcPr>
          <w:p w14:paraId="7F5B0908" w14:textId="77777777" w:rsidR="000364A8" w:rsidRDefault="000364A8" w:rsidP="00FA2439">
            <w:r>
              <w:t>Number of Infections</w:t>
            </w:r>
          </w:p>
        </w:tc>
        <w:tc>
          <w:tcPr>
            <w:tcW w:w="2242" w:type="dxa"/>
            <w:vMerge w:val="restart"/>
            <w:shd w:val="clear" w:color="auto" w:fill="D0CECE" w:themeFill="background2" w:themeFillShade="E6"/>
            <w:vAlign w:val="center"/>
          </w:tcPr>
          <w:p w14:paraId="75B3FE4C" w14:textId="74C6B439" w:rsidR="000364A8" w:rsidRDefault="000364A8" w:rsidP="00FA2439">
            <w:pPr>
              <w:jc w:val="center"/>
            </w:pPr>
            <w:r>
              <w:t>Facility comparison to national experience</w:t>
            </w:r>
          </w:p>
        </w:tc>
      </w:tr>
      <w:tr w:rsidR="000364A8" w14:paraId="1934FE44" w14:textId="77777777" w:rsidTr="000364A8">
        <w:tc>
          <w:tcPr>
            <w:tcW w:w="1211" w:type="dxa"/>
            <w:vMerge/>
            <w:shd w:val="clear" w:color="auto" w:fill="D0CECE" w:themeFill="background2" w:themeFillShade="E6"/>
          </w:tcPr>
          <w:p w14:paraId="60BD8071" w14:textId="77777777" w:rsidR="000364A8" w:rsidRDefault="000364A8" w:rsidP="00FA2439"/>
        </w:tc>
        <w:tc>
          <w:tcPr>
            <w:tcW w:w="1584" w:type="dxa"/>
            <w:vMerge/>
            <w:shd w:val="clear" w:color="auto" w:fill="D0CECE" w:themeFill="background2" w:themeFillShade="E6"/>
          </w:tcPr>
          <w:p w14:paraId="60F56549" w14:textId="77777777" w:rsidR="000364A8" w:rsidRDefault="000364A8" w:rsidP="00FA2439"/>
        </w:tc>
        <w:tc>
          <w:tcPr>
            <w:tcW w:w="1368" w:type="dxa"/>
            <w:vMerge/>
            <w:shd w:val="clear" w:color="auto" w:fill="D0CECE" w:themeFill="background2" w:themeFillShade="E6"/>
          </w:tcPr>
          <w:p w14:paraId="31356501" w14:textId="77777777" w:rsidR="000364A8" w:rsidRDefault="000364A8" w:rsidP="00FA2439"/>
        </w:tc>
        <w:tc>
          <w:tcPr>
            <w:tcW w:w="1368" w:type="dxa"/>
            <w:vMerge/>
            <w:shd w:val="clear" w:color="auto" w:fill="D0CECE" w:themeFill="background2" w:themeFillShade="E6"/>
          </w:tcPr>
          <w:p w14:paraId="413B937C" w14:textId="67EAAE80" w:rsidR="000364A8" w:rsidRDefault="000364A8" w:rsidP="00FA2439"/>
        </w:tc>
        <w:tc>
          <w:tcPr>
            <w:tcW w:w="1134" w:type="dxa"/>
            <w:shd w:val="clear" w:color="auto" w:fill="D0CECE" w:themeFill="background2" w:themeFillShade="E6"/>
          </w:tcPr>
          <w:p w14:paraId="2595E074" w14:textId="77777777" w:rsidR="000364A8" w:rsidRDefault="000364A8" w:rsidP="00FA2439">
            <w:r>
              <w:t>Observed Infections</w:t>
            </w:r>
          </w:p>
        </w:tc>
        <w:tc>
          <w:tcPr>
            <w:tcW w:w="1168" w:type="dxa"/>
            <w:shd w:val="clear" w:color="auto" w:fill="D0CECE" w:themeFill="background2" w:themeFillShade="E6"/>
          </w:tcPr>
          <w:p w14:paraId="01D084E8" w14:textId="77777777" w:rsidR="000364A8" w:rsidRDefault="000364A8" w:rsidP="00FA2439">
            <w:r>
              <w:t>Predicted Infections</w:t>
            </w:r>
          </w:p>
        </w:tc>
        <w:tc>
          <w:tcPr>
            <w:tcW w:w="2242" w:type="dxa"/>
            <w:vMerge/>
            <w:shd w:val="clear" w:color="auto" w:fill="D0CECE" w:themeFill="background2" w:themeFillShade="E6"/>
          </w:tcPr>
          <w:p w14:paraId="352CF80E" w14:textId="77777777" w:rsidR="000364A8" w:rsidRDefault="000364A8" w:rsidP="00FA2439"/>
        </w:tc>
      </w:tr>
      <w:tr w:rsidR="000364A8" w14:paraId="3E567D0F" w14:textId="77777777" w:rsidTr="000364A8">
        <w:tc>
          <w:tcPr>
            <w:tcW w:w="1211" w:type="dxa"/>
          </w:tcPr>
          <w:p w14:paraId="210B2DA1" w14:textId="77777777" w:rsidR="000364A8" w:rsidRDefault="000364A8" w:rsidP="00FA2439">
            <w:r>
              <w:t>Hospital A</w:t>
            </w:r>
          </w:p>
        </w:tc>
        <w:tc>
          <w:tcPr>
            <w:tcW w:w="1584" w:type="dxa"/>
          </w:tcPr>
          <w:p w14:paraId="44E2326F" w14:textId="77777777" w:rsidR="000364A8" w:rsidRDefault="000364A8" w:rsidP="00FA2439">
            <w:r>
              <w:t>CLABSI</w:t>
            </w:r>
          </w:p>
        </w:tc>
        <w:tc>
          <w:tcPr>
            <w:tcW w:w="1368" w:type="dxa"/>
          </w:tcPr>
          <w:p w14:paraId="437F29C4" w14:textId="5DD935AB" w:rsidR="000364A8" w:rsidRDefault="000364A8" w:rsidP="00FA2439">
            <w:r>
              <w:t>ICUs</w:t>
            </w:r>
          </w:p>
        </w:tc>
        <w:tc>
          <w:tcPr>
            <w:tcW w:w="1368" w:type="dxa"/>
          </w:tcPr>
          <w:p w14:paraId="34B5A7F6" w14:textId="68709E8B" w:rsidR="000364A8" w:rsidRDefault="000364A8" w:rsidP="00FA2439">
            <w:r>
              <w:t>2014-2015</w:t>
            </w:r>
          </w:p>
        </w:tc>
        <w:tc>
          <w:tcPr>
            <w:tcW w:w="1134" w:type="dxa"/>
          </w:tcPr>
          <w:p w14:paraId="37F967D4" w14:textId="77777777" w:rsidR="000364A8" w:rsidRDefault="000364A8" w:rsidP="00FA2439">
            <w:r>
              <w:t>1</w:t>
            </w:r>
          </w:p>
        </w:tc>
        <w:tc>
          <w:tcPr>
            <w:tcW w:w="1168" w:type="dxa"/>
          </w:tcPr>
          <w:p w14:paraId="7610F339" w14:textId="77777777" w:rsidR="000364A8" w:rsidRDefault="000364A8" w:rsidP="00FA2439">
            <w:r>
              <w:t>2.8</w:t>
            </w:r>
          </w:p>
        </w:tc>
        <w:tc>
          <w:tcPr>
            <w:tcW w:w="2242" w:type="dxa"/>
          </w:tcPr>
          <w:p w14:paraId="73AFE7A4" w14:textId="77777777" w:rsidR="000364A8" w:rsidRDefault="000364A8" w:rsidP="00FA2439">
            <w:r>
              <w:rPr>
                <w:noProof/>
              </w:rPr>
              <w:drawing>
                <wp:inline distT="0" distB="0" distL="0" distR="0" wp14:anchorId="419823BA" wp14:editId="049F6FF7">
                  <wp:extent cx="923925" cy="2190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3925" cy="219075"/>
                          </a:xfrm>
                          <a:prstGeom prst="rect">
                            <a:avLst/>
                          </a:prstGeom>
                        </pic:spPr>
                      </pic:pic>
                    </a:graphicData>
                  </a:graphic>
                </wp:inline>
              </w:drawing>
            </w:r>
          </w:p>
        </w:tc>
      </w:tr>
      <w:tr w:rsidR="000364A8" w14:paraId="51799D66" w14:textId="77777777" w:rsidTr="000364A8">
        <w:tc>
          <w:tcPr>
            <w:tcW w:w="1211" w:type="dxa"/>
          </w:tcPr>
          <w:p w14:paraId="1708734E" w14:textId="77777777" w:rsidR="000364A8" w:rsidRDefault="000364A8" w:rsidP="00FA2439">
            <w:r>
              <w:t>Hospital B</w:t>
            </w:r>
          </w:p>
        </w:tc>
        <w:tc>
          <w:tcPr>
            <w:tcW w:w="1584" w:type="dxa"/>
          </w:tcPr>
          <w:p w14:paraId="3A3C3C6C" w14:textId="77777777" w:rsidR="000364A8" w:rsidRDefault="000364A8" w:rsidP="00FA2439">
            <w:r>
              <w:t>CLABSI</w:t>
            </w:r>
          </w:p>
        </w:tc>
        <w:tc>
          <w:tcPr>
            <w:tcW w:w="1368" w:type="dxa"/>
          </w:tcPr>
          <w:p w14:paraId="33734F21" w14:textId="70ECB67F" w:rsidR="000364A8" w:rsidRDefault="000364A8" w:rsidP="00FA2439">
            <w:r>
              <w:t>Wards</w:t>
            </w:r>
          </w:p>
        </w:tc>
        <w:tc>
          <w:tcPr>
            <w:tcW w:w="1368" w:type="dxa"/>
          </w:tcPr>
          <w:p w14:paraId="33E6C0D8" w14:textId="007213EE" w:rsidR="000364A8" w:rsidRDefault="000364A8" w:rsidP="00FA2439">
            <w:r>
              <w:t>2014-2015</w:t>
            </w:r>
          </w:p>
        </w:tc>
        <w:tc>
          <w:tcPr>
            <w:tcW w:w="1134" w:type="dxa"/>
          </w:tcPr>
          <w:p w14:paraId="3680EE7E" w14:textId="77777777" w:rsidR="000364A8" w:rsidRDefault="000364A8" w:rsidP="00FA2439">
            <w:r>
              <w:t>0</w:t>
            </w:r>
          </w:p>
        </w:tc>
        <w:tc>
          <w:tcPr>
            <w:tcW w:w="1168" w:type="dxa"/>
          </w:tcPr>
          <w:p w14:paraId="0B4A3151" w14:textId="77777777" w:rsidR="000364A8" w:rsidRDefault="000364A8" w:rsidP="00FA2439">
            <w:r>
              <w:t>1.8</w:t>
            </w:r>
          </w:p>
        </w:tc>
        <w:tc>
          <w:tcPr>
            <w:tcW w:w="2242" w:type="dxa"/>
          </w:tcPr>
          <w:p w14:paraId="38989ADB" w14:textId="77777777" w:rsidR="000364A8" w:rsidRDefault="000364A8" w:rsidP="00FA2439">
            <w:r>
              <w:rPr>
                <w:noProof/>
              </w:rPr>
              <w:drawing>
                <wp:inline distT="0" distB="0" distL="0" distR="0" wp14:anchorId="7396FE97" wp14:editId="02B1D8FA">
                  <wp:extent cx="923925" cy="2190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23925" cy="219075"/>
                          </a:xfrm>
                          <a:prstGeom prst="rect">
                            <a:avLst/>
                          </a:prstGeom>
                        </pic:spPr>
                      </pic:pic>
                    </a:graphicData>
                  </a:graphic>
                </wp:inline>
              </w:drawing>
            </w:r>
          </w:p>
        </w:tc>
      </w:tr>
    </w:tbl>
    <w:p w14:paraId="6C765150" w14:textId="77777777" w:rsidR="000364A8" w:rsidRDefault="000364A8" w:rsidP="00173C29">
      <w:pPr>
        <w:jc w:val="center"/>
      </w:pPr>
    </w:p>
    <w:p w14:paraId="416FEAA0" w14:textId="442221C5" w:rsidR="00FB49F0" w:rsidRDefault="00173C29" w:rsidP="00173C29">
      <w:pPr>
        <w:jc w:val="center"/>
      </w:pPr>
      <w:r>
        <w:t>&lt;Insert additional SIR data tables, if necessary&gt;</w:t>
      </w:r>
    </w:p>
    <w:p w14:paraId="67F1B065" w14:textId="77777777" w:rsidR="00825BA1" w:rsidRDefault="00825BA1">
      <w:pPr>
        <w:rPr>
          <w:u w:val="single"/>
        </w:rPr>
      </w:pPr>
    </w:p>
    <w:p w14:paraId="2E946BCA" w14:textId="36FECC55" w:rsidR="0086790C" w:rsidRPr="00BB5C22" w:rsidRDefault="0086790C">
      <w:pPr>
        <w:rPr>
          <w:u w:val="single"/>
        </w:rPr>
      </w:pPr>
      <w:r w:rsidRPr="00BB5C22">
        <w:rPr>
          <w:u w:val="single"/>
        </w:rPr>
        <w:t>Consumer Report</w:t>
      </w:r>
    </w:p>
    <w:p w14:paraId="28D56A40" w14:textId="0245EF97" w:rsidR="00825BA1" w:rsidRDefault="00FA60E6" w:rsidP="00825BA1">
      <w:pPr>
        <w:autoSpaceDE w:val="0"/>
        <w:autoSpaceDN w:val="0"/>
        <w:adjustRightInd w:val="0"/>
        <w:spacing w:after="0" w:line="240" w:lineRule="auto"/>
        <w:ind w:left="720"/>
      </w:pPr>
      <w:r w:rsidRPr="00825BA1">
        <w:rPr>
          <w:rFonts w:eastAsia="TT56t00" w:cstheme="minorHAnsi"/>
        </w:rPr>
        <w:t xml:space="preserve">The DAPS template for a consumer audience </w:t>
      </w:r>
      <w:commentRangeStart w:id="10"/>
      <w:r w:rsidRPr="00825BA1">
        <w:rPr>
          <w:rFonts w:eastAsia="TT56t00" w:cstheme="minorHAnsi"/>
        </w:rPr>
        <w:t>does not show a calculated SIR value</w:t>
      </w:r>
      <w:commentRangeEnd w:id="10"/>
      <w:r w:rsidR="00AE4343">
        <w:rPr>
          <w:rStyle w:val="CommentReference"/>
        </w:rPr>
        <w:commentReference w:id="10"/>
      </w:r>
      <w:r w:rsidR="00825BA1" w:rsidRPr="00825BA1">
        <w:rPr>
          <w:rFonts w:eastAsia="TT56t00" w:cstheme="minorHAnsi"/>
        </w:rPr>
        <w:t xml:space="preserve"> however an interpretation of the SIR may be provided. </w:t>
      </w:r>
      <w:r w:rsidR="00825BA1">
        <w:rPr>
          <w:rFonts w:eastAsia="TT56t00" w:cstheme="minorHAnsi"/>
        </w:rPr>
        <w:t>Instead, a</w:t>
      </w:r>
      <w:r w:rsidR="00825BA1">
        <w:t xml:space="preserve"> plain language approach is a suitable strategy for explaining SIR results to a consumer audience. The workgroup recommends the following interpretation be used in a data table for a consumer audience:   </w:t>
      </w:r>
    </w:p>
    <w:p w14:paraId="383D02A3" w14:textId="77777777" w:rsidR="00825BA1" w:rsidRDefault="00825BA1" w:rsidP="00825BA1">
      <w:pPr>
        <w:pStyle w:val="ListParagraph"/>
        <w:numPr>
          <w:ilvl w:val="0"/>
          <w:numId w:val="6"/>
        </w:numPr>
      </w:pPr>
      <w:r>
        <w:t xml:space="preserve">Fewer infections (better) than predicted based on the national experience </w:t>
      </w:r>
    </w:p>
    <w:p w14:paraId="572717BF" w14:textId="77777777" w:rsidR="00825BA1" w:rsidRDefault="00825BA1" w:rsidP="00825BA1">
      <w:pPr>
        <w:pStyle w:val="ListParagraph"/>
        <w:numPr>
          <w:ilvl w:val="0"/>
          <w:numId w:val="6"/>
        </w:numPr>
      </w:pPr>
      <w:r>
        <w:t xml:space="preserve">About the same number of infections as predicted based on the national experience </w:t>
      </w:r>
    </w:p>
    <w:p w14:paraId="3C0DB67B" w14:textId="7B6119C8" w:rsidR="00825BA1" w:rsidRDefault="00825BA1" w:rsidP="00825BA1">
      <w:pPr>
        <w:pStyle w:val="ListParagraph"/>
        <w:numPr>
          <w:ilvl w:val="0"/>
          <w:numId w:val="6"/>
        </w:numPr>
      </w:pPr>
      <w:r>
        <w:t>More infections (worse) than predicted based on the national experience</w:t>
      </w:r>
    </w:p>
    <w:p w14:paraId="63EF6A42" w14:textId="4E694166" w:rsidR="00FA60E6" w:rsidRPr="00956ACE" w:rsidRDefault="00FA60E6" w:rsidP="00AE4343">
      <w:pPr>
        <w:autoSpaceDE w:val="0"/>
        <w:autoSpaceDN w:val="0"/>
        <w:adjustRightInd w:val="0"/>
        <w:spacing w:after="0" w:line="240" w:lineRule="auto"/>
        <w:ind w:firstLine="720"/>
        <w:rPr>
          <w:rFonts w:eastAsia="TT56t00" w:cstheme="minorHAnsi"/>
        </w:rPr>
      </w:pPr>
      <w:r w:rsidRPr="00956ACE">
        <w:rPr>
          <w:rFonts w:eastAsia="TT56t00" w:cstheme="minorHAnsi"/>
        </w:rPr>
        <w:t>Options</w:t>
      </w:r>
      <w:r w:rsidR="00825BA1">
        <w:rPr>
          <w:rFonts w:eastAsia="TT56t00" w:cstheme="minorHAnsi"/>
        </w:rPr>
        <w:t xml:space="preserve"> for the Consumer Report</w:t>
      </w:r>
    </w:p>
    <w:p w14:paraId="72CC58C4" w14:textId="60DE4AA1" w:rsidR="00FA60E6" w:rsidRDefault="00FA60E6" w:rsidP="00FA60E6">
      <w:pPr>
        <w:pStyle w:val="ListParagraph"/>
        <w:numPr>
          <w:ilvl w:val="0"/>
          <w:numId w:val="5"/>
        </w:numPr>
        <w:autoSpaceDE w:val="0"/>
        <w:autoSpaceDN w:val="0"/>
        <w:adjustRightInd w:val="0"/>
        <w:spacing w:after="0" w:line="240" w:lineRule="auto"/>
        <w:rPr>
          <w:rFonts w:eastAsia="TT56t00" w:cstheme="minorHAnsi"/>
        </w:rPr>
      </w:pPr>
      <w:r w:rsidRPr="00956ACE">
        <w:rPr>
          <w:rFonts w:eastAsia="TT56t00" w:cstheme="minorHAnsi"/>
        </w:rPr>
        <w:t>Conti</w:t>
      </w:r>
      <w:r>
        <w:rPr>
          <w:rFonts w:eastAsia="TT56t00" w:cstheme="minorHAnsi"/>
        </w:rPr>
        <w:t>nue to show only the # observed and # predicted, regardless of the value for # predicted. In addition, show a separate table for those facilities with &lt; 1 predicted, in order to display a “conclusion”</w:t>
      </w:r>
      <w:r w:rsidR="00825BA1">
        <w:rPr>
          <w:rFonts w:eastAsia="TT56t00" w:cstheme="minorHAnsi"/>
        </w:rPr>
        <w:t xml:space="preserve"> in plain language</w:t>
      </w:r>
      <w:r>
        <w:rPr>
          <w:rFonts w:eastAsia="TT56t00" w:cstheme="minorHAnsi"/>
        </w:rPr>
        <w:t xml:space="preserve"> regarding how this facility compared with itself over time.</w:t>
      </w:r>
    </w:p>
    <w:p w14:paraId="725AE82B" w14:textId="13678EAA" w:rsidR="00AE4343" w:rsidRDefault="00AE4343" w:rsidP="00AE4343">
      <w:pPr>
        <w:pStyle w:val="ListParagraph"/>
        <w:numPr>
          <w:ilvl w:val="1"/>
          <w:numId w:val="5"/>
        </w:numPr>
        <w:autoSpaceDE w:val="0"/>
        <w:autoSpaceDN w:val="0"/>
        <w:adjustRightInd w:val="0"/>
        <w:spacing w:after="0" w:line="240" w:lineRule="auto"/>
        <w:rPr>
          <w:rFonts w:eastAsia="TT56t00" w:cstheme="minorHAnsi"/>
        </w:rPr>
      </w:pPr>
      <w:r>
        <w:rPr>
          <w:rFonts w:eastAsia="TT56t00" w:cstheme="minorHAnsi"/>
        </w:rPr>
        <w:t>Conclusions can be presented as such:</w:t>
      </w:r>
    </w:p>
    <w:tbl>
      <w:tblPr>
        <w:tblStyle w:val="TableGrid"/>
        <w:tblW w:w="10002" w:type="dxa"/>
        <w:tblLook w:val="04A0" w:firstRow="1" w:lastRow="0" w:firstColumn="1" w:lastColumn="0" w:noHBand="0" w:noVBand="1"/>
      </w:tblPr>
      <w:tblGrid>
        <w:gridCol w:w="636"/>
        <w:gridCol w:w="1728"/>
        <w:gridCol w:w="696"/>
        <w:gridCol w:w="1728"/>
        <w:gridCol w:w="546"/>
        <w:gridCol w:w="1728"/>
        <w:gridCol w:w="1212"/>
        <w:gridCol w:w="1728"/>
      </w:tblGrid>
      <w:tr w:rsidR="00864274" w14:paraId="21615C29" w14:textId="77777777" w:rsidTr="00864274">
        <w:tc>
          <w:tcPr>
            <w:tcW w:w="10002" w:type="dxa"/>
            <w:gridSpan w:val="8"/>
            <w:shd w:val="clear" w:color="auto" w:fill="D0CECE" w:themeFill="background2" w:themeFillShade="E6"/>
          </w:tcPr>
          <w:p w14:paraId="15CE2B57" w14:textId="7D0E05F4" w:rsidR="00864274" w:rsidRPr="00864274" w:rsidRDefault="00864274" w:rsidP="00864274">
            <w:pPr>
              <w:autoSpaceDE w:val="0"/>
              <w:autoSpaceDN w:val="0"/>
              <w:adjustRightInd w:val="0"/>
              <w:jc w:val="center"/>
              <w:rPr>
                <w:rFonts w:eastAsia="TT56t00" w:cstheme="minorHAnsi"/>
                <w:b/>
              </w:rPr>
            </w:pPr>
            <w:commentRangeStart w:id="11"/>
            <w:r w:rsidRPr="00864274">
              <w:rPr>
                <w:rFonts w:eastAsia="TT56t00" w:cstheme="minorHAnsi"/>
                <w:b/>
                <w:sz w:val="32"/>
              </w:rPr>
              <w:t>Legend</w:t>
            </w:r>
          </w:p>
        </w:tc>
      </w:tr>
      <w:tr w:rsidR="00AD6FE0" w14:paraId="6DDEA9AE" w14:textId="77777777" w:rsidTr="00AD6FE0">
        <w:tc>
          <w:tcPr>
            <w:tcW w:w="636" w:type="dxa"/>
            <w:tcBorders>
              <w:top w:val="nil"/>
              <w:left w:val="single" w:sz="4" w:space="0" w:color="auto"/>
              <w:bottom w:val="nil"/>
              <w:right w:val="nil"/>
            </w:tcBorders>
            <w:vAlign w:val="center"/>
          </w:tcPr>
          <w:p w14:paraId="2F19432C" w14:textId="51AEDBD9" w:rsidR="0007555C" w:rsidRDefault="00864274" w:rsidP="00864274">
            <w:pPr>
              <w:autoSpaceDE w:val="0"/>
              <w:autoSpaceDN w:val="0"/>
              <w:adjustRightInd w:val="0"/>
              <w:jc w:val="center"/>
              <w:rPr>
                <w:rFonts w:eastAsia="TT56t00" w:cstheme="minorHAnsi"/>
              </w:rPr>
            </w:pPr>
            <w:r>
              <w:rPr>
                <w:noProof/>
              </w:rPr>
              <w:drawing>
                <wp:inline distT="0" distB="0" distL="0" distR="0" wp14:anchorId="3C34E2F5" wp14:editId="53F3A3A6">
                  <wp:extent cx="266700" cy="285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66700" cy="285750"/>
                          </a:xfrm>
                          <a:prstGeom prst="rect">
                            <a:avLst/>
                          </a:prstGeom>
                        </pic:spPr>
                      </pic:pic>
                    </a:graphicData>
                  </a:graphic>
                </wp:inline>
              </w:drawing>
            </w:r>
          </w:p>
        </w:tc>
        <w:tc>
          <w:tcPr>
            <w:tcW w:w="1728" w:type="dxa"/>
            <w:tcBorders>
              <w:left w:val="nil"/>
              <w:right w:val="single" w:sz="4" w:space="0" w:color="auto"/>
            </w:tcBorders>
          </w:tcPr>
          <w:p w14:paraId="7732C440" w14:textId="6DABBC67" w:rsidR="0007555C" w:rsidRDefault="0007555C" w:rsidP="0007555C">
            <w:pPr>
              <w:autoSpaceDE w:val="0"/>
              <w:autoSpaceDN w:val="0"/>
              <w:adjustRightInd w:val="0"/>
              <w:rPr>
                <w:rFonts w:eastAsia="TT56t00" w:cstheme="minorHAnsi"/>
              </w:rPr>
            </w:pPr>
            <w:r w:rsidRPr="0007555C">
              <w:rPr>
                <w:rFonts w:eastAsia="TT56t00" w:cstheme="minorHAnsi"/>
              </w:rPr>
              <w:t xml:space="preserve"> Fewer infections (better) than predicted based on the national experience.*</w:t>
            </w:r>
          </w:p>
        </w:tc>
        <w:tc>
          <w:tcPr>
            <w:tcW w:w="696" w:type="dxa"/>
            <w:tcBorders>
              <w:top w:val="nil"/>
              <w:left w:val="single" w:sz="4" w:space="0" w:color="auto"/>
              <w:bottom w:val="nil"/>
              <w:right w:val="nil"/>
            </w:tcBorders>
            <w:vAlign w:val="center"/>
          </w:tcPr>
          <w:p w14:paraId="719FC036" w14:textId="3CB149AD" w:rsidR="0007555C" w:rsidRDefault="00864274" w:rsidP="00864274">
            <w:pPr>
              <w:autoSpaceDE w:val="0"/>
              <w:autoSpaceDN w:val="0"/>
              <w:adjustRightInd w:val="0"/>
              <w:jc w:val="center"/>
              <w:rPr>
                <w:rFonts w:eastAsia="TT56t00" w:cstheme="minorHAnsi"/>
              </w:rPr>
            </w:pPr>
            <w:r>
              <w:rPr>
                <w:noProof/>
              </w:rPr>
              <w:drawing>
                <wp:inline distT="0" distB="0" distL="0" distR="0" wp14:anchorId="78645281" wp14:editId="3BBE04D7">
                  <wp:extent cx="295275" cy="1714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275" cy="171450"/>
                          </a:xfrm>
                          <a:prstGeom prst="rect">
                            <a:avLst/>
                          </a:prstGeom>
                        </pic:spPr>
                      </pic:pic>
                    </a:graphicData>
                  </a:graphic>
                </wp:inline>
              </w:drawing>
            </w:r>
          </w:p>
        </w:tc>
        <w:tc>
          <w:tcPr>
            <w:tcW w:w="1728" w:type="dxa"/>
            <w:tcBorders>
              <w:left w:val="nil"/>
              <w:right w:val="single" w:sz="4" w:space="0" w:color="auto"/>
            </w:tcBorders>
          </w:tcPr>
          <w:p w14:paraId="189DC64A" w14:textId="49DED826" w:rsidR="0007555C" w:rsidRDefault="0007555C" w:rsidP="0007555C">
            <w:pPr>
              <w:autoSpaceDE w:val="0"/>
              <w:autoSpaceDN w:val="0"/>
              <w:adjustRightInd w:val="0"/>
              <w:rPr>
                <w:rFonts w:eastAsia="TT56t00" w:cstheme="minorHAnsi"/>
              </w:rPr>
            </w:pPr>
            <w:r w:rsidRPr="0007555C">
              <w:rPr>
                <w:rFonts w:eastAsia="TT56t00" w:cstheme="minorHAnsi"/>
              </w:rPr>
              <w:t>About the same number of infections as predicted based on the national experience.*</w:t>
            </w:r>
          </w:p>
        </w:tc>
        <w:tc>
          <w:tcPr>
            <w:tcW w:w="546" w:type="dxa"/>
            <w:tcBorders>
              <w:top w:val="nil"/>
              <w:left w:val="single" w:sz="4" w:space="0" w:color="auto"/>
              <w:bottom w:val="nil"/>
              <w:right w:val="nil"/>
            </w:tcBorders>
            <w:vAlign w:val="center"/>
          </w:tcPr>
          <w:p w14:paraId="77CCC34C" w14:textId="42C925CD" w:rsidR="0007555C" w:rsidRDefault="00864274" w:rsidP="00864274">
            <w:pPr>
              <w:autoSpaceDE w:val="0"/>
              <w:autoSpaceDN w:val="0"/>
              <w:adjustRightInd w:val="0"/>
              <w:jc w:val="center"/>
              <w:rPr>
                <w:rFonts w:eastAsia="TT56t00" w:cstheme="minorHAnsi"/>
              </w:rPr>
            </w:pPr>
            <w:r>
              <w:rPr>
                <w:noProof/>
              </w:rPr>
              <w:drawing>
                <wp:inline distT="0" distB="0" distL="0" distR="0" wp14:anchorId="39BBEF62" wp14:editId="79DB4822">
                  <wp:extent cx="209550" cy="2381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9550" cy="238125"/>
                          </a:xfrm>
                          <a:prstGeom prst="rect">
                            <a:avLst/>
                          </a:prstGeom>
                        </pic:spPr>
                      </pic:pic>
                    </a:graphicData>
                  </a:graphic>
                </wp:inline>
              </w:drawing>
            </w:r>
          </w:p>
        </w:tc>
        <w:tc>
          <w:tcPr>
            <w:tcW w:w="1728" w:type="dxa"/>
            <w:tcBorders>
              <w:left w:val="nil"/>
              <w:right w:val="single" w:sz="4" w:space="0" w:color="auto"/>
            </w:tcBorders>
          </w:tcPr>
          <w:p w14:paraId="056D2037" w14:textId="7CE0FAF2" w:rsidR="0007555C" w:rsidRDefault="0007555C" w:rsidP="0007555C">
            <w:pPr>
              <w:autoSpaceDE w:val="0"/>
              <w:autoSpaceDN w:val="0"/>
              <w:adjustRightInd w:val="0"/>
              <w:rPr>
                <w:rFonts w:eastAsia="TT56t00" w:cstheme="minorHAnsi"/>
              </w:rPr>
            </w:pPr>
            <w:r w:rsidRPr="0007555C">
              <w:rPr>
                <w:rFonts w:eastAsia="TT56t00" w:cstheme="minorHAnsi"/>
              </w:rPr>
              <w:t>More infections (worse</w:t>
            </w:r>
            <w:r>
              <w:rPr>
                <w:rFonts w:eastAsia="TT56t00" w:cstheme="minorHAnsi"/>
              </w:rPr>
              <w:t xml:space="preserve">) than </w:t>
            </w:r>
            <w:r w:rsidRPr="0007555C">
              <w:rPr>
                <w:rFonts w:eastAsia="TT56t00" w:cstheme="minorHAnsi"/>
              </w:rPr>
              <w:t>predicted based on the national experience.*</w:t>
            </w:r>
          </w:p>
        </w:tc>
        <w:tc>
          <w:tcPr>
            <w:tcW w:w="1212" w:type="dxa"/>
            <w:tcBorders>
              <w:top w:val="nil"/>
              <w:left w:val="single" w:sz="4" w:space="0" w:color="auto"/>
              <w:bottom w:val="nil"/>
              <w:right w:val="nil"/>
            </w:tcBorders>
            <w:vAlign w:val="center"/>
          </w:tcPr>
          <w:p w14:paraId="46799D25" w14:textId="062ED431" w:rsidR="0007555C" w:rsidRPr="00864274" w:rsidRDefault="00864274" w:rsidP="00864274">
            <w:pPr>
              <w:autoSpaceDE w:val="0"/>
              <w:autoSpaceDN w:val="0"/>
              <w:adjustRightInd w:val="0"/>
              <w:jc w:val="center"/>
              <w:rPr>
                <w:rFonts w:eastAsia="TT56t00" w:cstheme="minorHAnsi"/>
                <w:b/>
              </w:rPr>
            </w:pPr>
            <w:r w:rsidRPr="00864274">
              <w:rPr>
                <w:rFonts w:eastAsia="TT56t00" w:cstheme="minorHAnsi"/>
                <w:b/>
              </w:rPr>
              <w:t>No Conclusion</w:t>
            </w:r>
          </w:p>
        </w:tc>
        <w:tc>
          <w:tcPr>
            <w:tcW w:w="1728" w:type="dxa"/>
            <w:tcBorders>
              <w:left w:val="nil"/>
            </w:tcBorders>
          </w:tcPr>
          <w:p w14:paraId="428E7300" w14:textId="5AD36FA5" w:rsidR="0007555C" w:rsidRDefault="0007555C" w:rsidP="0007555C">
            <w:pPr>
              <w:autoSpaceDE w:val="0"/>
              <w:autoSpaceDN w:val="0"/>
              <w:adjustRightInd w:val="0"/>
              <w:rPr>
                <w:rFonts w:eastAsia="TT56t00" w:cstheme="minorHAnsi"/>
              </w:rPr>
            </w:pPr>
            <w:r w:rsidRPr="0007555C">
              <w:rPr>
                <w:rFonts w:eastAsia="TT56t00" w:cstheme="minorHAnsi"/>
              </w:rPr>
              <w:t>When the number of predicted infections is less than 1, no conclusion can be made.</w:t>
            </w:r>
          </w:p>
        </w:tc>
      </w:tr>
      <w:tr w:rsidR="00864274" w14:paraId="04EC4B92" w14:textId="77777777" w:rsidTr="00FB25BA">
        <w:tc>
          <w:tcPr>
            <w:tcW w:w="10002" w:type="dxa"/>
            <w:gridSpan w:val="8"/>
          </w:tcPr>
          <w:p w14:paraId="1A95EE86" w14:textId="30EA0799" w:rsidR="00864274" w:rsidRDefault="00864274" w:rsidP="0007555C">
            <w:pPr>
              <w:autoSpaceDE w:val="0"/>
              <w:autoSpaceDN w:val="0"/>
              <w:adjustRightInd w:val="0"/>
              <w:rPr>
                <w:rFonts w:eastAsia="TT56t00" w:cstheme="minorHAnsi"/>
              </w:rPr>
            </w:pPr>
            <w:r>
              <w:rPr>
                <w:rFonts w:eastAsia="TT56t00" w:cstheme="minorHAnsi"/>
              </w:rPr>
              <w:t xml:space="preserve">* </w:t>
            </w:r>
            <w:r w:rsidRPr="00AD6FE0">
              <w:rPr>
                <w:rFonts w:eastAsia="TT56t00" w:cstheme="minorHAnsi"/>
                <w:i/>
              </w:rPr>
              <w:t>National experience contains data from 2015 re-baseline</w:t>
            </w:r>
          </w:p>
        </w:tc>
      </w:tr>
    </w:tbl>
    <w:p w14:paraId="657EB7A5" w14:textId="77777777" w:rsidR="0007555C" w:rsidRPr="0007555C" w:rsidRDefault="0007555C" w:rsidP="0007555C">
      <w:pPr>
        <w:autoSpaceDE w:val="0"/>
        <w:autoSpaceDN w:val="0"/>
        <w:adjustRightInd w:val="0"/>
        <w:spacing w:after="0" w:line="240" w:lineRule="auto"/>
        <w:rPr>
          <w:rFonts w:eastAsia="TT56t00" w:cstheme="minorHAnsi"/>
        </w:rPr>
      </w:pPr>
    </w:p>
    <w:p w14:paraId="1A793233" w14:textId="01B8D9C6" w:rsidR="00AD6FE0" w:rsidRDefault="00AD6FE0" w:rsidP="00AD6FE0">
      <w:pPr>
        <w:pStyle w:val="ListParagraph"/>
        <w:autoSpaceDE w:val="0"/>
        <w:autoSpaceDN w:val="0"/>
        <w:adjustRightInd w:val="0"/>
        <w:spacing w:after="0" w:line="240" w:lineRule="auto"/>
        <w:jc w:val="center"/>
        <w:rPr>
          <w:rFonts w:eastAsia="TT56t00" w:cstheme="minorHAnsi"/>
        </w:rPr>
      </w:pPr>
      <w:r>
        <w:rPr>
          <w:rFonts w:eastAsia="TT56t00" w:cstheme="minorHAnsi"/>
        </w:rPr>
        <w:t>&lt;Or alternate can be presented as such:&gt;</w:t>
      </w:r>
    </w:p>
    <w:p w14:paraId="24763B89" w14:textId="4B29B7B3" w:rsidR="00FA60E6" w:rsidRDefault="00AD6FE0" w:rsidP="00AD6FE0">
      <w:pPr>
        <w:pStyle w:val="ListParagraph"/>
        <w:autoSpaceDE w:val="0"/>
        <w:autoSpaceDN w:val="0"/>
        <w:adjustRightInd w:val="0"/>
        <w:spacing w:after="0" w:line="240" w:lineRule="auto"/>
        <w:jc w:val="center"/>
        <w:rPr>
          <w:rFonts w:eastAsia="TT56t00" w:cstheme="minorHAnsi"/>
        </w:rPr>
      </w:pPr>
      <w:r>
        <w:rPr>
          <w:noProof/>
        </w:rPr>
        <w:drawing>
          <wp:inline distT="0" distB="0" distL="0" distR="0" wp14:anchorId="00568D39" wp14:editId="137464E7">
            <wp:extent cx="4933950" cy="7524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933950" cy="752475"/>
                    </a:xfrm>
                    <a:prstGeom prst="rect">
                      <a:avLst/>
                    </a:prstGeom>
                  </pic:spPr>
                </pic:pic>
              </a:graphicData>
            </a:graphic>
          </wp:inline>
        </w:drawing>
      </w:r>
      <w:commentRangeEnd w:id="11"/>
      <w:r>
        <w:rPr>
          <w:rStyle w:val="CommentReference"/>
        </w:rPr>
        <w:commentReference w:id="11"/>
      </w:r>
    </w:p>
    <w:p w14:paraId="5437F4D2" w14:textId="01B80545" w:rsidR="00AD6FE0" w:rsidRDefault="00AD6FE0" w:rsidP="00AD6FE0">
      <w:pPr>
        <w:pStyle w:val="ListParagraph"/>
        <w:autoSpaceDE w:val="0"/>
        <w:autoSpaceDN w:val="0"/>
        <w:adjustRightInd w:val="0"/>
        <w:spacing w:after="0" w:line="240" w:lineRule="auto"/>
        <w:jc w:val="center"/>
        <w:rPr>
          <w:rFonts w:eastAsia="TT56t00" w:cstheme="minorHAnsi"/>
        </w:rPr>
      </w:pPr>
    </w:p>
    <w:p w14:paraId="66D6B2A3" w14:textId="58E710FA" w:rsidR="00FA60E6" w:rsidRPr="00956ACE" w:rsidRDefault="00FA60E6" w:rsidP="00FA60E6">
      <w:pPr>
        <w:pStyle w:val="ListParagraph"/>
        <w:numPr>
          <w:ilvl w:val="0"/>
          <w:numId w:val="5"/>
        </w:numPr>
        <w:autoSpaceDE w:val="0"/>
        <w:autoSpaceDN w:val="0"/>
        <w:adjustRightInd w:val="0"/>
        <w:spacing w:after="0" w:line="240" w:lineRule="auto"/>
        <w:rPr>
          <w:rFonts w:eastAsia="TT56t00" w:cstheme="minorHAnsi"/>
        </w:rPr>
      </w:pPr>
      <w:r w:rsidRPr="00956ACE">
        <w:rPr>
          <w:rFonts w:eastAsia="TT56t00" w:cstheme="minorHAnsi"/>
        </w:rPr>
        <w:lastRenderedPageBreak/>
        <w:t>Conti</w:t>
      </w:r>
      <w:r>
        <w:rPr>
          <w:rFonts w:eastAsia="TT56t00" w:cstheme="minorHAnsi"/>
        </w:rPr>
        <w:t>nue to show only the # observed and # predicted, regardless of the value for # predicted. Do not show any supplemental information for “conclusions”. Instead, refer reader to the technical report to learn more about how the facility has performed when</w:t>
      </w:r>
      <w:r w:rsidRPr="00FA60E6">
        <w:t xml:space="preserve"> </w:t>
      </w:r>
      <w:r w:rsidRPr="00FA60E6">
        <w:rPr>
          <w:rFonts w:eastAsia="TT56t00" w:cstheme="minorHAnsi"/>
        </w:rPr>
        <w:t xml:space="preserve">data </w:t>
      </w:r>
      <w:r>
        <w:rPr>
          <w:rFonts w:eastAsia="TT56t00" w:cstheme="minorHAnsi"/>
        </w:rPr>
        <w:t xml:space="preserve">is </w:t>
      </w:r>
      <w:r w:rsidRPr="00FA60E6">
        <w:rPr>
          <w:rFonts w:eastAsia="TT56t00" w:cstheme="minorHAnsi"/>
        </w:rPr>
        <w:t>aggregat</w:t>
      </w:r>
      <w:r>
        <w:rPr>
          <w:rFonts w:eastAsia="TT56t00" w:cstheme="minorHAnsi"/>
        </w:rPr>
        <w:t>ed</w:t>
      </w:r>
      <w:r w:rsidRPr="00FA60E6">
        <w:rPr>
          <w:rFonts w:eastAsia="TT56t00" w:cstheme="minorHAnsi"/>
        </w:rPr>
        <w:t xml:space="preserve"> over a longer period of time</w:t>
      </w:r>
      <w:r>
        <w:rPr>
          <w:rFonts w:eastAsia="TT56t00" w:cstheme="minorHAnsi"/>
        </w:rPr>
        <w:t xml:space="preserve"> . </w:t>
      </w:r>
    </w:p>
    <w:p w14:paraId="721BE083" w14:textId="77777777" w:rsidR="00FA60E6" w:rsidRDefault="00FA60E6" w:rsidP="007C57D2"/>
    <w:p w14:paraId="584B801F" w14:textId="1C15299E" w:rsidR="0086790C" w:rsidRPr="00BB5C22" w:rsidRDefault="0086790C">
      <w:pPr>
        <w:rPr>
          <w:u w:val="single"/>
        </w:rPr>
      </w:pPr>
      <w:r w:rsidRPr="00BB5C22">
        <w:rPr>
          <w:u w:val="single"/>
        </w:rPr>
        <w:t>Technical Report</w:t>
      </w:r>
    </w:p>
    <w:p w14:paraId="260DA772" w14:textId="68E20E21" w:rsidR="00BB5C22" w:rsidRDefault="003237DB" w:rsidP="003237DB">
      <w:pPr>
        <w:ind w:left="720"/>
      </w:pPr>
      <w:commentRangeStart w:id="12"/>
      <w:r>
        <w:t xml:space="preserve">The SIR is the primary method of HAI data interpretation in the state reports. </w:t>
      </w:r>
      <w:r w:rsidR="00BB5C22" w:rsidRPr="00E123D4">
        <w:t>The SIR is a summary measure that can be used to track HAIs over time and can be calculated on a variety of levels, including unit, facility, state, and nation. It adjusts for differences between healthcare facilities such as types of patients and procedures, as well as other factors such as the facility’s size and whether it is affiliated with a medical school (please refer to section/page number {include link to other material in the report} for more information about risk adjustment). It compares the number of infections reported in a given time period to the number of infections that were predicted using data from a baseline time period, which varies for different infection types. Lower SIRs indicate better performance.</w:t>
      </w:r>
      <w:r w:rsidR="00BB5C22" w:rsidRPr="00BB5C22">
        <w:t xml:space="preserve"> </w:t>
      </w:r>
      <w:commentRangeEnd w:id="12"/>
      <w:r w:rsidR="00EC1E1C">
        <w:rPr>
          <w:rStyle w:val="CommentReference"/>
        </w:rPr>
        <w:commentReference w:id="12"/>
      </w:r>
    </w:p>
    <w:p w14:paraId="4344F768" w14:textId="20CD6B50" w:rsidR="003237DB" w:rsidRDefault="00414B13" w:rsidP="003237DB">
      <w:pPr>
        <w:ind w:left="720"/>
      </w:pPr>
      <w:r>
        <w:t>&lt;Reference or link to language about risk adjustment?&gt;</w:t>
      </w:r>
    </w:p>
    <w:p w14:paraId="1E0D1921" w14:textId="17AA24E8" w:rsidR="007C57D2" w:rsidRDefault="007C57D2" w:rsidP="00B06A6E">
      <w:pPr>
        <w:ind w:left="720"/>
      </w:pPr>
      <w:r>
        <w:t xml:space="preserve">The workgroup recommends </w:t>
      </w:r>
      <w:r w:rsidR="00A10C0B">
        <w:t>similar language for interpreting SIRs using aggregated data from a longer time period as the main SIR report. T</w:t>
      </w:r>
      <w:r>
        <w:t xml:space="preserve">he following interpretation language to be used in a technical report data table geared towards clinicians and others more experienced in the HAI reporting arena:  </w:t>
      </w:r>
    </w:p>
    <w:p w14:paraId="64EC1D6C" w14:textId="77777777" w:rsidR="00825BA1" w:rsidRDefault="007C57D2" w:rsidP="00A10C0B">
      <w:pPr>
        <w:pStyle w:val="ListParagraph"/>
        <w:numPr>
          <w:ilvl w:val="1"/>
          <w:numId w:val="1"/>
        </w:numPr>
      </w:pPr>
      <w:r>
        <w:t>Significantly fewer infections (better) observed than predicted, based on the national baseline</w:t>
      </w:r>
    </w:p>
    <w:p w14:paraId="1D96786B" w14:textId="77777777" w:rsidR="00825BA1" w:rsidRDefault="007C57D2" w:rsidP="00A10C0B">
      <w:pPr>
        <w:pStyle w:val="ListParagraph"/>
        <w:numPr>
          <w:ilvl w:val="1"/>
          <w:numId w:val="1"/>
        </w:numPr>
      </w:pPr>
      <w:r>
        <w:t xml:space="preserve">No significant difference (same) between the number of observed and predicted infections, based on the national baseline </w:t>
      </w:r>
    </w:p>
    <w:p w14:paraId="7789CD6B" w14:textId="7EBC6C5F" w:rsidR="007C57D2" w:rsidRDefault="007C57D2" w:rsidP="00A10C0B">
      <w:pPr>
        <w:pStyle w:val="ListParagraph"/>
        <w:numPr>
          <w:ilvl w:val="1"/>
          <w:numId w:val="1"/>
        </w:numPr>
      </w:pPr>
      <w:r>
        <w:t xml:space="preserve">Significantly more infections (worse) observed than predicted, based on the national baseline  </w:t>
      </w:r>
    </w:p>
    <w:p w14:paraId="68A419F8" w14:textId="77777777" w:rsidR="00A10C0B" w:rsidRDefault="00A10C0B" w:rsidP="00A10C0B">
      <w:pPr>
        <w:ind w:firstLine="720"/>
        <w:rPr>
          <w:b/>
        </w:rPr>
      </w:pPr>
    </w:p>
    <w:p w14:paraId="2A023B0A" w14:textId="385D26BE" w:rsidR="007C57D2" w:rsidRPr="00A10C0B" w:rsidRDefault="007C57D2" w:rsidP="00A10C0B">
      <w:pPr>
        <w:ind w:firstLine="720"/>
        <w:rPr>
          <w:b/>
        </w:rPr>
      </w:pPr>
      <w:bookmarkStart w:id="13" w:name="_GoBack"/>
      <w:bookmarkEnd w:id="13"/>
      <w:r w:rsidRPr="00A10C0B">
        <w:rPr>
          <w:b/>
        </w:rPr>
        <w:t>Comparing a Facility to its Peers Using State or National Data</w:t>
      </w:r>
    </w:p>
    <w:p w14:paraId="36030554" w14:textId="1C56F17E" w:rsidR="007C57D2" w:rsidRDefault="007C57D2" w:rsidP="00A10C0B">
      <w:pPr>
        <w:ind w:left="720"/>
      </w:pPr>
      <w:r>
        <w:t>Many stakeholders have expressed interest in comparing each facility’s SIR to the overall state or national experience to gauge the performance of a facility relative to their peers.  Performing a statistical comparison between an individual facility’s SIR and the current national or state SIR is not recommended as they may not be strictly comparable to one another</w:t>
      </w:r>
      <w:r w:rsidR="00A10C0B">
        <w:t xml:space="preserve">, </w:t>
      </w:r>
      <w:r w:rsidR="00A10C0B" w:rsidRPr="00A10C0B">
        <w:rPr>
          <w:i/>
        </w:rPr>
        <w:t>especially if different time periods from which the SIRs were calculated</w:t>
      </w:r>
      <w:r>
        <w:t xml:space="preserve">. The methodology* used to compare two SIRs assumes that the distribution of risk exposure between a cohort (e.g. facility, state) and the standard population (i.e., national data) are proportional.  </w:t>
      </w:r>
    </w:p>
    <w:p w14:paraId="5F60B3CD" w14:textId="57C9CF0A" w:rsidR="0086790C" w:rsidRDefault="007C57D2" w:rsidP="00A10C0B">
      <w:pPr>
        <w:ind w:left="720"/>
      </w:pPr>
      <w:r>
        <w:t>However, a facility’s SIR can be compared to a single nominal value, such as a “goal” or “target” SIR. This can be done using the NHSN TAP Reports, or using the SIR macro posted on the NHSN website that compares a “single SIR to 1 or other nominal value”</w:t>
      </w:r>
    </w:p>
    <w:p w14:paraId="44A8D886" w14:textId="77777777" w:rsidR="00260461" w:rsidRDefault="00260461" w:rsidP="00286EAC">
      <w:pPr>
        <w:rPr>
          <w:u w:val="single"/>
        </w:rPr>
      </w:pPr>
    </w:p>
    <w:p w14:paraId="5E9A0D98" w14:textId="2DCDA111" w:rsidR="00286EAC" w:rsidRDefault="00FA60E6" w:rsidP="00286EAC">
      <w:pPr>
        <w:rPr>
          <w:u w:val="single"/>
        </w:rPr>
      </w:pPr>
      <w:r w:rsidRPr="00FA60E6">
        <w:rPr>
          <w:u w:val="single"/>
        </w:rPr>
        <w:lastRenderedPageBreak/>
        <w:t>Explanation/Interpretation of SIR</w:t>
      </w:r>
    </w:p>
    <w:p w14:paraId="354E7939" w14:textId="77777777" w:rsidR="00AE4343" w:rsidRDefault="00AE4343" w:rsidP="00AE4343">
      <w:pPr>
        <w:ind w:firstLine="720"/>
      </w:pPr>
      <w:r>
        <w:t>See section IV for a more detailed explanation of Interpreting the SIR &lt;insert section IV link&gt;</w:t>
      </w:r>
    </w:p>
    <w:p w14:paraId="122EAAF9" w14:textId="77777777" w:rsidR="00FA60E6" w:rsidRDefault="00FA60E6" w:rsidP="00AE4343">
      <w:pPr>
        <w:ind w:left="720"/>
      </w:pPr>
      <w:r>
        <w:t xml:space="preserve">Summary information about the SIR and its interpretation: An advantage of the SIR is its ability to summarize a large amount of HAI data from a single facility, a state, or some other group of facilities into a single summary statistic. However, it can be difficult to communicate the meaning of the SIR, even as a single statistic that compares “observed” and “predicted” (or “expected”) numbers of infections.  </w:t>
      </w:r>
    </w:p>
    <w:p w14:paraId="2361C975" w14:textId="77777777" w:rsidR="00FA60E6" w:rsidRDefault="00FA60E6" w:rsidP="00AE4343">
      <w:pPr>
        <w:ind w:left="720"/>
      </w:pPr>
      <w:r>
        <w:t xml:space="preserve">Describing the numerator of the SIR is straightforward – it is the number of infections that were identified and reported during the surveillance period. The denominator is more challenging to describe to a lay audience, which may include individuals who are unfamiliar with comparisons to a baseline period. By comparison, clinical audiences are likely to be more familiar with observed to expected ratios, which are commonly used in quality improvement efforts. </w:t>
      </w:r>
    </w:p>
    <w:p w14:paraId="797A4D6A" w14:textId="77777777" w:rsidR="00FA60E6" w:rsidRDefault="00FA60E6" w:rsidP="00AE4343">
      <w:pPr>
        <w:ind w:firstLine="720"/>
      </w:pPr>
      <w:r>
        <w:t xml:space="preserve">When the SIR is calculated, there are three possible results: </w:t>
      </w:r>
    </w:p>
    <w:p w14:paraId="63F8D963" w14:textId="1A5CA3E7" w:rsidR="00FA60E6" w:rsidRDefault="00FA60E6" w:rsidP="00FA60E6">
      <w:pPr>
        <w:pStyle w:val="ListParagraph"/>
        <w:numPr>
          <w:ilvl w:val="0"/>
          <w:numId w:val="3"/>
        </w:numPr>
      </w:pPr>
      <w:r>
        <w:t xml:space="preserve">The SIR is less than 1.0 – this indicates that there were fewer infections reported during the surveillance period than would have been predicted given the baseline data.   </w:t>
      </w:r>
    </w:p>
    <w:p w14:paraId="5CB88ACC" w14:textId="77777777" w:rsidR="00FA60E6" w:rsidRDefault="00FA60E6" w:rsidP="00FA60E6">
      <w:pPr>
        <w:pStyle w:val="ListParagraph"/>
        <w:numPr>
          <w:ilvl w:val="0"/>
          <w:numId w:val="3"/>
        </w:numPr>
      </w:pPr>
      <w:r>
        <w:t xml:space="preserve">The SIR is equal to 1.0 – as in any ratio, the nominal value of 1 indicates that the numerator and denominator are equal. In this case, the number of infections reported during the surveillance period is the same as the number of infections predicted given the baseline data. </w:t>
      </w:r>
    </w:p>
    <w:p w14:paraId="2EB19A2A" w14:textId="77777777" w:rsidR="00FA60E6" w:rsidRDefault="00FA60E6" w:rsidP="00FA60E6">
      <w:pPr>
        <w:pStyle w:val="ListParagraph"/>
        <w:numPr>
          <w:ilvl w:val="0"/>
          <w:numId w:val="3"/>
        </w:numPr>
      </w:pPr>
      <w:r>
        <w:t xml:space="preserve">The SIR is greater than 1.0 – this indicates that there were more infections reported during the surveillance period than would have been predicted given the baseline data.  </w:t>
      </w:r>
    </w:p>
    <w:p w14:paraId="27C4728E" w14:textId="76D8B61E" w:rsidR="00286EAC" w:rsidRDefault="00286EAC" w:rsidP="00286EAC">
      <w:pPr>
        <w:rPr>
          <w:u w:val="single"/>
        </w:rPr>
      </w:pPr>
      <w:commentRangeStart w:id="14"/>
      <w:r>
        <w:rPr>
          <w:u w:val="single"/>
        </w:rPr>
        <w:t>Benefits</w:t>
      </w:r>
      <w:commentRangeEnd w:id="14"/>
      <w:r w:rsidR="00A10C0B">
        <w:rPr>
          <w:rStyle w:val="CommentReference"/>
        </w:rPr>
        <w:commentReference w:id="14"/>
      </w:r>
    </w:p>
    <w:p w14:paraId="1F0323BA" w14:textId="77777777" w:rsidR="00F95338" w:rsidRPr="00F95338" w:rsidRDefault="00F95338" w:rsidP="00384407">
      <w:pPr>
        <w:numPr>
          <w:ilvl w:val="0"/>
          <w:numId w:val="2"/>
        </w:numPr>
        <w:spacing w:after="0"/>
      </w:pPr>
      <w:r w:rsidRPr="00F95338">
        <w:t>More data may mean fewer facilities with predicted number of infections &lt;1</w:t>
      </w:r>
    </w:p>
    <w:p w14:paraId="567E48C5" w14:textId="77777777" w:rsidR="00F95338" w:rsidRPr="00F95338" w:rsidRDefault="00F95338" w:rsidP="00384407">
      <w:pPr>
        <w:numPr>
          <w:ilvl w:val="0"/>
          <w:numId w:val="2"/>
        </w:numPr>
        <w:spacing w:after="0"/>
      </w:pPr>
      <w:r w:rsidRPr="00F95338">
        <w:t>Aggregate data yields more precise results</w:t>
      </w:r>
    </w:p>
    <w:p w14:paraId="45BAA23B" w14:textId="77777777" w:rsidR="00F95338" w:rsidRPr="00F95338" w:rsidRDefault="00F95338" w:rsidP="00384407">
      <w:pPr>
        <w:numPr>
          <w:ilvl w:val="0"/>
          <w:numId w:val="2"/>
        </w:numPr>
        <w:spacing w:after="0"/>
      </w:pPr>
      <w:r w:rsidRPr="00F95338">
        <w:t>Larger sample size will yield result closer to the true SIR</w:t>
      </w:r>
    </w:p>
    <w:p w14:paraId="77D27357" w14:textId="77777777" w:rsidR="00286EAC" w:rsidRDefault="00286EAC" w:rsidP="00286EAC">
      <w:pPr>
        <w:rPr>
          <w:u w:val="single"/>
        </w:rPr>
      </w:pPr>
    </w:p>
    <w:p w14:paraId="366B87E7" w14:textId="77777777" w:rsidR="00286EAC" w:rsidRDefault="00286EAC" w:rsidP="00286EAC">
      <w:pPr>
        <w:rPr>
          <w:u w:val="single"/>
        </w:rPr>
      </w:pPr>
      <w:r>
        <w:rPr>
          <w:u w:val="single"/>
        </w:rPr>
        <w:t>Limitations</w:t>
      </w:r>
    </w:p>
    <w:p w14:paraId="44562988" w14:textId="77777777" w:rsidR="00F95338" w:rsidRPr="00F95338" w:rsidRDefault="00F95338" w:rsidP="00384407">
      <w:pPr>
        <w:numPr>
          <w:ilvl w:val="0"/>
          <w:numId w:val="2"/>
        </w:numPr>
        <w:spacing w:after="0" w:line="240" w:lineRule="auto"/>
      </w:pPr>
      <w:r w:rsidRPr="00F95338">
        <w:t>Data may not be as timely or useful to facilities (reporting will be delayed)</w:t>
      </w:r>
    </w:p>
    <w:p w14:paraId="3884154E" w14:textId="77777777" w:rsidR="00F95338" w:rsidRPr="00F95338" w:rsidRDefault="00F95338" w:rsidP="00384407">
      <w:pPr>
        <w:numPr>
          <w:ilvl w:val="0"/>
          <w:numId w:val="2"/>
        </w:numPr>
        <w:spacing w:after="0" w:line="240" w:lineRule="auto"/>
      </w:pPr>
      <w:r w:rsidRPr="00F95338">
        <w:t>No national comparison for same time period</w:t>
      </w:r>
    </w:p>
    <w:p w14:paraId="4EBD40BD" w14:textId="77777777" w:rsidR="00F95338" w:rsidRDefault="00F95338" w:rsidP="00384407">
      <w:pPr>
        <w:numPr>
          <w:ilvl w:val="0"/>
          <w:numId w:val="2"/>
        </w:numPr>
        <w:spacing w:after="0" w:line="240" w:lineRule="auto"/>
      </w:pPr>
      <w:r w:rsidRPr="00F95338">
        <w:t>Limited comparison between hospitals only if all have data available for same time period</w:t>
      </w:r>
    </w:p>
    <w:p w14:paraId="1458B271" w14:textId="605C4483" w:rsidR="00E123D4" w:rsidRDefault="00F95338" w:rsidP="00384407">
      <w:pPr>
        <w:numPr>
          <w:ilvl w:val="0"/>
          <w:numId w:val="2"/>
        </w:numPr>
        <w:spacing w:after="0" w:line="240" w:lineRule="auto"/>
      </w:pPr>
      <w:r w:rsidRPr="00F95338">
        <w:t>Limits the opportunity to measure trends over time</w:t>
      </w:r>
    </w:p>
    <w:p w14:paraId="2410A8E5" w14:textId="77777777" w:rsidR="00E123D4" w:rsidRPr="00E123D4" w:rsidRDefault="00E123D4" w:rsidP="00E123D4"/>
    <w:sectPr w:rsidR="00E123D4" w:rsidRPr="00E123D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Robert Orellana" w:date="2018-06-04T13:43:00Z" w:initials="RO">
    <w:p w14:paraId="7BE67B8B" w14:textId="77777777" w:rsidR="009C375C" w:rsidRDefault="009C375C">
      <w:pPr>
        <w:pStyle w:val="CommentText"/>
      </w:pPr>
      <w:r>
        <w:rPr>
          <w:rStyle w:val="CommentReference"/>
        </w:rPr>
        <w:annotationRef/>
      </w:r>
      <w:r>
        <w:t>Do we want to keep this in?</w:t>
      </w:r>
    </w:p>
  </w:comment>
  <w:comment w:id="1" w:author="Robert Orellana" w:date="2018-06-04T13:50:00Z" w:initials="RO">
    <w:p w14:paraId="541E8652" w14:textId="540C8143" w:rsidR="0086790C" w:rsidRDefault="0086790C">
      <w:pPr>
        <w:pStyle w:val="CommentText"/>
      </w:pPr>
      <w:r>
        <w:rPr>
          <w:rStyle w:val="CommentReference"/>
        </w:rPr>
        <w:annotationRef/>
      </w:r>
      <w:r>
        <w:t xml:space="preserve">Perhaps an introduction is not needed specially for this subsection because it will be discussed above; I included </w:t>
      </w:r>
      <w:r w:rsidR="002E6898">
        <w:t>for the time being so it can stand alone</w:t>
      </w:r>
    </w:p>
  </w:comment>
  <w:comment w:id="2" w:author="Robert Orellana" w:date="2018-04-03T13:30:00Z" w:initials="RO">
    <w:p w14:paraId="3213D753" w14:textId="77777777" w:rsidR="0086790C" w:rsidRDefault="0086790C" w:rsidP="0086790C">
      <w:pPr>
        <w:pStyle w:val="CommentText"/>
      </w:pPr>
      <w:r>
        <w:rPr>
          <w:rStyle w:val="CommentReference"/>
        </w:rPr>
        <w:annotationRef/>
      </w:r>
      <w:r>
        <w:t>Although we can calculate the number of expected infections based on the published model(s), and therefore, we can calculate a SIR, how often is this done? Is this expected by state level epidemiologists?</w:t>
      </w:r>
    </w:p>
  </w:comment>
  <w:comment w:id="3" w:author="Robert Orellana" w:date="2018-06-04T13:55:00Z" w:initials="RO">
    <w:p w14:paraId="7083666B" w14:textId="56B65A22" w:rsidR="00A26BBD" w:rsidRDefault="00A26BBD">
      <w:pPr>
        <w:pStyle w:val="CommentText"/>
      </w:pPr>
      <w:r>
        <w:rPr>
          <w:rStyle w:val="CommentReference"/>
        </w:rPr>
        <w:annotationRef/>
      </w:r>
      <w:r>
        <w:t xml:space="preserve">Can </w:t>
      </w:r>
      <w:r w:rsidR="00BB5C22">
        <w:t xml:space="preserve">other </w:t>
      </w:r>
      <w:r>
        <w:t>state reps confirm this?</w:t>
      </w:r>
    </w:p>
  </w:comment>
  <w:comment w:id="4" w:author="Robert Orellana [2]" w:date="2018-06-05T06:25:00Z" w:initials="RO">
    <w:p w14:paraId="66737796" w14:textId="41189DF0" w:rsidR="00F95338" w:rsidRDefault="00F95338">
      <w:pPr>
        <w:pStyle w:val="CommentText"/>
      </w:pPr>
      <w:r>
        <w:rPr>
          <w:rStyle w:val="CommentReference"/>
        </w:rPr>
        <w:annotationRef/>
      </w:r>
      <w:r>
        <w:t>This is a summary from previous DAPS section; it is repetitive so perhaps we just provide a link to basic analytic considerations?</w:t>
      </w:r>
    </w:p>
  </w:comment>
  <w:comment w:id="5" w:author="Robert Orellana [2]" w:date="2018-06-05T06:27:00Z" w:initials="RO">
    <w:p w14:paraId="616AF5BB" w14:textId="56CBB7C7" w:rsidR="00F95338" w:rsidRDefault="00F95338">
      <w:pPr>
        <w:pStyle w:val="CommentText"/>
      </w:pPr>
      <w:r>
        <w:rPr>
          <w:rStyle w:val="CommentReference"/>
        </w:rPr>
        <w:annotationRef/>
      </w:r>
      <w:r>
        <w:t>Link address needs updated</w:t>
      </w:r>
    </w:p>
  </w:comment>
  <w:comment w:id="6" w:author="Robert Orellana" w:date="2018-06-04T14:48:00Z" w:initials="RO">
    <w:p w14:paraId="49CD53F5" w14:textId="5ADA81D5" w:rsidR="003159F8" w:rsidRDefault="003159F8">
      <w:pPr>
        <w:pStyle w:val="CommentText"/>
      </w:pPr>
      <w:r>
        <w:rPr>
          <w:rStyle w:val="CommentReference"/>
        </w:rPr>
        <w:annotationRef/>
      </w:r>
      <w:r>
        <w:t>Personally, I wouldn’</w:t>
      </w:r>
      <w:r w:rsidR="00FB49F0">
        <w:t>t recommend this for both adding time and confusion so perhaps we remove all together</w:t>
      </w:r>
      <w:r w:rsidR="00F95338">
        <w:t xml:space="preserve"> but it is an option</w:t>
      </w:r>
    </w:p>
  </w:comment>
  <w:comment w:id="7" w:author="Robert Orellana [2]" w:date="2018-06-05T13:32:00Z" w:initials="RO">
    <w:p w14:paraId="7699B819" w14:textId="220677BC" w:rsidR="000364A8" w:rsidRDefault="000364A8">
      <w:pPr>
        <w:pStyle w:val="CommentText"/>
      </w:pPr>
      <w:r>
        <w:rPr>
          <w:rStyle w:val="CommentReference"/>
        </w:rPr>
        <w:annotationRef/>
      </w:r>
      <w:r>
        <w:t>I would imagine that we may still want to include this but the table will start to get really busy so should we stratify tables by unit type?</w:t>
      </w:r>
    </w:p>
  </w:comment>
  <w:comment w:id="8" w:author="Robert Orellana [2]" w:date="2018-06-05T13:36:00Z" w:initials="RO">
    <w:p w14:paraId="0B7272F4" w14:textId="57A6C8F4" w:rsidR="000364A8" w:rsidRDefault="000364A8">
      <w:pPr>
        <w:pStyle w:val="CommentText"/>
      </w:pPr>
      <w:r>
        <w:rPr>
          <w:rStyle w:val="CommentReference"/>
        </w:rPr>
        <w:annotationRef/>
      </w:r>
      <w:r>
        <w:t>Should we highlight this difference (or bold/italicize it)?</w:t>
      </w:r>
    </w:p>
  </w:comment>
  <w:comment w:id="9" w:author="Robert Orellana [2]" w:date="2018-06-05T13:36:00Z" w:initials="RO">
    <w:p w14:paraId="121A6699" w14:textId="1FFD7456" w:rsidR="000364A8" w:rsidRDefault="000364A8">
      <w:pPr>
        <w:pStyle w:val="CommentText"/>
      </w:pPr>
      <w:r>
        <w:rPr>
          <w:rStyle w:val="CommentReference"/>
        </w:rPr>
        <w:annotationRef/>
      </w:r>
      <w:r>
        <w:t>Should we highlight this difference (or bold/italicize it)?</w:t>
      </w:r>
    </w:p>
  </w:comment>
  <w:comment w:id="10" w:author="Robert Orellana [2]" w:date="2018-06-05T06:58:00Z" w:initials="RO">
    <w:p w14:paraId="156AADE0" w14:textId="23B64EEE" w:rsidR="00AE4343" w:rsidRDefault="00AE4343">
      <w:pPr>
        <w:pStyle w:val="CommentText"/>
      </w:pPr>
      <w:r>
        <w:rPr>
          <w:rStyle w:val="CommentReference"/>
        </w:rPr>
        <w:annotationRef/>
      </w:r>
      <w:r>
        <w:t>Double check this</w:t>
      </w:r>
    </w:p>
  </w:comment>
  <w:comment w:id="11" w:author="Robert Orellana [2]" w:date="2018-06-05T13:21:00Z" w:initials="RO">
    <w:p w14:paraId="2B872F29" w14:textId="582B5902" w:rsidR="00AD6FE0" w:rsidRDefault="00AD6FE0">
      <w:pPr>
        <w:pStyle w:val="CommentText"/>
      </w:pPr>
      <w:r>
        <w:rPr>
          <w:rStyle w:val="CommentReference"/>
        </w:rPr>
        <w:annotationRef/>
      </w:r>
      <w:r>
        <w:t>Select one or the other; should this be moved to display section?</w:t>
      </w:r>
    </w:p>
  </w:comment>
  <w:comment w:id="12" w:author="Robert Orellana [2]" w:date="2018-06-05T13:40:00Z" w:initials="RO">
    <w:p w14:paraId="48D8287A" w14:textId="521B6AB1" w:rsidR="00EC1E1C" w:rsidRDefault="00EC1E1C">
      <w:pPr>
        <w:pStyle w:val="CommentText"/>
      </w:pPr>
      <w:r>
        <w:rPr>
          <w:rStyle w:val="CommentReference"/>
        </w:rPr>
        <w:annotationRef/>
      </w:r>
      <w:r>
        <w:t>This is already stated in the main body of the document; should we just reference to the section or do we want to reiterate the summary?</w:t>
      </w:r>
    </w:p>
  </w:comment>
  <w:comment w:id="14" w:author="Robert Orellana [2]" w:date="2018-06-05T14:23:00Z" w:initials="RO">
    <w:p w14:paraId="75569472" w14:textId="320D03F2" w:rsidR="00A10C0B" w:rsidRDefault="00A10C0B">
      <w:pPr>
        <w:pStyle w:val="CommentText"/>
      </w:pPr>
      <w:r>
        <w:rPr>
          <w:rStyle w:val="CommentReference"/>
        </w:rPr>
        <w:annotationRef/>
      </w:r>
      <w:r>
        <w:t>Probably should be titled similar to other sections either benefits/limitations or pros/cons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BE67B8B" w15:done="0"/>
  <w15:commentEx w15:paraId="541E8652" w15:done="0"/>
  <w15:commentEx w15:paraId="3213D753" w15:done="0"/>
  <w15:commentEx w15:paraId="7083666B" w15:done="0"/>
  <w15:commentEx w15:paraId="66737796" w15:done="0"/>
  <w15:commentEx w15:paraId="616AF5BB" w15:done="0"/>
  <w15:commentEx w15:paraId="49CD53F5" w15:done="0"/>
  <w15:commentEx w15:paraId="7699B819" w15:done="0"/>
  <w15:commentEx w15:paraId="0B7272F4" w15:done="0"/>
  <w15:commentEx w15:paraId="121A6699" w15:done="0"/>
  <w15:commentEx w15:paraId="156AADE0" w15:done="0"/>
  <w15:commentEx w15:paraId="2B872F29" w15:done="0"/>
  <w15:commentEx w15:paraId="48D8287A" w15:done="0"/>
  <w15:commentEx w15:paraId="7556947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BE67B8B" w16cid:durableId="1EC0AA8B"/>
  <w16cid:commentId w16cid:paraId="541E8652" w16cid:durableId="1EC0AA8C"/>
  <w16cid:commentId w16cid:paraId="3213D753" w16cid:durableId="1EC0AA8D"/>
  <w16cid:commentId w16cid:paraId="7083666B" w16cid:durableId="1EC0AA8E"/>
  <w16cid:commentId w16cid:paraId="66737796" w16cid:durableId="1EC0AB3E"/>
  <w16cid:commentId w16cid:paraId="616AF5BB" w16cid:durableId="1EC0ABDE"/>
  <w16cid:commentId w16cid:paraId="49CD53F5" w16cid:durableId="1EC0AA8F"/>
  <w16cid:commentId w16cid:paraId="7699B819" w16cid:durableId="1EC10F68"/>
  <w16cid:commentId w16cid:paraId="0B7272F4" w16cid:durableId="1EC11065"/>
  <w16cid:commentId w16cid:paraId="121A6699" w16cid:durableId="1EC11041"/>
  <w16cid:commentId w16cid:paraId="156AADE0" w16cid:durableId="1EC0B308"/>
  <w16cid:commentId w16cid:paraId="2B872F29" w16cid:durableId="1EC10CD6"/>
  <w16cid:commentId w16cid:paraId="48D8287A" w16cid:durableId="1EC11133"/>
  <w16cid:commentId w16cid:paraId="75569472" w16cid:durableId="1EC11B5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983B2" w14:textId="77777777" w:rsidR="002C3535" w:rsidRDefault="002C3535" w:rsidP="00AE4343">
      <w:pPr>
        <w:spacing w:after="0" w:line="240" w:lineRule="auto"/>
      </w:pPr>
      <w:r>
        <w:separator/>
      </w:r>
    </w:p>
  </w:endnote>
  <w:endnote w:type="continuationSeparator" w:id="0">
    <w:p w14:paraId="349E1C74" w14:textId="77777777" w:rsidR="002C3535" w:rsidRDefault="002C3535" w:rsidP="00AE4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rgia,Bold">
    <w:altName w:val="Georgia"/>
    <w:panose1 w:val="00000000000000000000"/>
    <w:charset w:val="00"/>
    <w:family w:val="swiss"/>
    <w:notTrueType/>
    <w:pitch w:val="default"/>
    <w:sig w:usb0="00000003" w:usb1="00000000" w:usb2="00000000" w:usb3="00000000" w:csb0="00000001" w:csb1="00000000"/>
  </w:font>
  <w:font w:name="TT56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CA4D9" w14:textId="77777777" w:rsidR="002C3535" w:rsidRDefault="002C3535" w:rsidP="00AE4343">
      <w:pPr>
        <w:spacing w:after="0" w:line="240" w:lineRule="auto"/>
      </w:pPr>
      <w:r>
        <w:separator/>
      </w:r>
    </w:p>
  </w:footnote>
  <w:footnote w:type="continuationSeparator" w:id="0">
    <w:p w14:paraId="19682D48" w14:textId="77777777" w:rsidR="002C3535" w:rsidRDefault="002C3535" w:rsidP="00AE43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97978"/>
    <w:multiLevelType w:val="hybridMultilevel"/>
    <w:tmpl w:val="D70EE6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1BF58D9"/>
    <w:multiLevelType w:val="hybridMultilevel"/>
    <w:tmpl w:val="E030127A"/>
    <w:lvl w:ilvl="0" w:tplc="04090017">
      <w:start w:val="1"/>
      <w:numFmt w:val="lowerLetter"/>
      <w:lvlText w:val="%1)"/>
      <w:lvlJc w:val="left"/>
      <w:pPr>
        <w:ind w:left="1080" w:hanging="360"/>
      </w:pPr>
      <w:rPr>
        <w:rFonts w:hint="default"/>
      </w:rPr>
    </w:lvl>
    <w:lvl w:ilvl="1" w:tplc="0409000B">
      <w:start w:val="1"/>
      <w:numFmt w:val="bullet"/>
      <w:lvlText w:val=""/>
      <w:lvlJc w:val="left"/>
      <w:pPr>
        <w:ind w:left="1800" w:hanging="360"/>
      </w:pPr>
      <w:rPr>
        <w:rFonts w:ascii="Wingdings" w:hAnsi="Wingding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53F0295"/>
    <w:multiLevelType w:val="hybridMultilevel"/>
    <w:tmpl w:val="60169B1E"/>
    <w:lvl w:ilvl="0" w:tplc="B1688F00">
      <w:start w:val="1"/>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FCE296A"/>
    <w:multiLevelType w:val="hybridMultilevel"/>
    <w:tmpl w:val="1728D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387741"/>
    <w:multiLevelType w:val="hybridMultilevel"/>
    <w:tmpl w:val="9EAA6EDC"/>
    <w:lvl w:ilvl="0" w:tplc="7CD452A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344618"/>
    <w:multiLevelType w:val="hybridMultilevel"/>
    <w:tmpl w:val="B6461D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5"/>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ert Orellana">
    <w15:presenceInfo w15:providerId="None" w15:userId="Robert Orellana"/>
  </w15:person>
  <w15:person w15:author="Robert Orellana [2]">
    <w15:presenceInfo w15:providerId="Windows Live" w15:userId="bf6455523cd499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3D4"/>
    <w:rsid w:val="000364A8"/>
    <w:rsid w:val="0007555C"/>
    <w:rsid w:val="000D195D"/>
    <w:rsid w:val="00112A32"/>
    <w:rsid w:val="00121763"/>
    <w:rsid w:val="00173C29"/>
    <w:rsid w:val="00260461"/>
    <w:rsid w:val="00286EAC"/>
    <w:rsid w:val="002C3535"/>
    <w:rsid w:val="002E6898"/>
    <w:rsid w:val="003159F8"/>
    <w:rsid w:val="003224C4"/>
    <w:rsid w:val="003237DB"/>
    <w:rsid w:val="00384407"/>
    <w:rsid w:val="00414B13"/>
    <w:rsid w:val="004F1D90"/>
    <w:rsid w:val="004F6421"/>
    <w:rsid w:val="00514190"/>
    <w:rsid w:val="0064072E"/>
    <w:rsid w:val="006C5343"/>
    <w:rsid w:val="00745994"/>
    <w:rsid w:val="007C57D2"/>
    <w:rsid w:val="007C6107"/>
    <w:rsid w:val="00825BA1"/>
    <w:rsid w:val="00864274"/>
    <w:rsid w:val="0086790C"/>
    <w:rsid w:val="00880E6F"/>
    <w:rsid w:val="008D0542"/>
    <w:rsid w:val="009C375C"/>
    <w:rsid w:val="00A10C0B"/>
    <w:rsid w:val="00A26BBD"/>
    <w:rsid w:val="00A6289C"/>
    <w:rsid w:val="00AD6FE0"/>
    <w:rsid w:val="00AE4343"/>
    <w:rsid w:val="00B06A6E"/>
    <w:rsid w:val="00B30E4B"/>
    <w:rsid w:val="00BB5C22"/>
    <w:rsid w:val="00D728A1"/>
    <w:rsid w:val="00E07797"/>
    <w:rsid w:val="00E123D4"/>
    <w:rsid w:val="00EC1E1C"/>
    <w:rsid w:val="00F95338"/>
    <w:rsid w:val="00FA60E6"/>
    <w:rsid w:val="00FB49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11FF2"/>
  <w15:chartTrackingRefBased/>
  <w15:docId w15:val="{5BCE40C8-8787-43A1-8A6E-7FEA6A2F9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3D4"/>
    <w:pPr>
      <w:ind w:left="720"/>
      <w:contextualSpacing/>
    </w:pPr>
  </w:style>
  <w:style w:type="character" w:styleId="CommentReference">
    <w:name w:val="annotation reference"/>
    <w:basedOn w:val="DefaultParagraphFont"/>
    <w:uiPriority w:val="99"/>
    <w:semiHidden/>
    <w:unhideWhenUsed/>
    <w:rsid w:val="009C375C"/>
    <w:rPr>
      <w:sz w:val="16"/>
      <w:szCs w:val="16"/>
    </w:rPr>
  </w:style>
  <w:style w:type="paragraph" w:styleId="CommentText">
    <w:name w:val="annotation text"/>
    <w:basedOn w:val="Normal"/>
    <w:link w:val="CommentTextChar"/>
    <w:uiPriority w:val="99"/>
    <w:semiHidden/>
    <w:unhideWhenUsed/>
    <w:rsid w:val="009C375C"/>
    <w:pPr>
      <w:spacing w:line="240" w:lineRule="auto"/>
    </w:pPr>
    <w:rPr>
      <w:sz w:val="20"/>
      <w:szCs w:val="20"/>
    </w:rPr>
  </w:style>
  <w:style w:type="character" w:customStyle="1" w:styleId="CommentTextChar">
    <w:name w:val="Comment Text Char"/>
    <w:basedOn w:val="DefaultParagraphFont"/>
    <w:link w:val="CommentText"/>
    <w:uiPriority w:val="99"/>
    <w:semiHidden/>
    <w:rsid w:val="009C375C"/>
    <w:rPr>
      <w:sz w:val="20"/>
      <w:szCs w:val="20"/>
    </w:rPr>
  </w:style>
  <w:style w:type="paragraph" w:styleId="CommentSubject">
    <w:name w:val="annotation subject"/>
    <w:basedOn w:val="CommentText"/>
    <w:next w:val="CommentText"/>
    <w:link w:val="CommentSubjectChar"/>
    <w:uiPriority w:val="99"/>
    <w:semiHidden/>
    <w:unhideWhenUsed/>
    <w:rsid w:val="009C375C"/>
    <w:rPr>
      <w:b/>
      <w:bCs/>
    </w:rPr>
  </w:style>
  <w:style w:type="character" w:customStyle="1" w:styleId="CommentSubjectChar">
    <w:name w:val="Comment Subject Char"/>
    <w:basedOn w:val="CommentTextChar"/>
    <w:link w:val="CommentSubject"/>
    <w:uiPriority w:val="99"/>
    <w:semiHidden/>
    <w:rsid w:val="009C375C"/>
    <w:rPr>
      <w:b/>
      <w:bCs/>
      <w:sz w:val="20"/>
      <w:szCs w:val="20"/>
    </w:rPr>
  </w:style>
  <w:style w:type="paragraph" w:styleId="BalloonText">
    <w:name w:val="Balloon Text"/>
    <w:basedOn w:val="Normal"/>
    <w:link w:val="BalloonTextChar"/>
    <w:uiPriority w:val="99"/>
    <w:semiHidden/>
    <w:unhideWhenUsed/>
    <w:rsid w:val="009C3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375C"/>
    <w:rPr>
      <w:rFonts w:ascii="Segoe UI" w:hAnsi="Segoe UI" w:cs="Segoe UI"/>
      <w:sz w:val="18"/>
      <w:szCs w:val="18"/>
    </w:rPr>
  </w:style>
  <w:style w:type="character" w:styleId="Hyperlink">
    <w:name w:val="Hyperlink"/>
    <w:basedOn w:val="DefaultParagraphFont"/>
    <w:uiPriority w:val="99"/>
    <w:unhideWhenUsed/>
    <w:rsid w:val="00F95338"/>
    <w:rPr>
      <w:color w:val="0563C1" w:themeColor="hyperlink"/>
      <w:u w:val="single"/>
    </w:rPr>
  </w:style>
  <w:style w:type="character" w:styleId="UnresolvedMention">
    <w:name w:val="Unresolved Mention"/>
    <w:basedOn w:val="DefaultParagraphFont"/>
    <w:uiPriority w:val="99"/>
    <w:semiHidden/>
    <w:unhideWhenUsed/>
    <w:rsid w:val="00F95338"/>
    <w:rPr>
      <w:color w:val="605E5C"/>
      <w:shd w:val="clear" w:color="auto" w:fill="E1DFDD"/>
    </w:rPr>
  </w:style>
  <w:style w:type="character" w:styleId="FollowedHyperlink">
    <w:name w:val="FollowedHyperlink"/>
    <w:basedOn w:val="DefaultParagraphFont"/>
    <w:uiPriority w:val="99"/>
    <w:semiHidden/>
    <w:unhideWhenUsed/>
    <w:rsid w:val="00F95338"/>
    <w:rPr>
      <w:color w:val="954F72" w:themeColor="followedHyperlink"/>
      <w:u w:val="single"/>
    </w:rPr>
  </w:style>
  <w:style w:type="table" w:styleId="TableGrid">
    <w:name w:val="Table Grid"/>
    <w:basedOn w:val="TableNormal"/>
    <w:uiPriority w:val="39"/>
    <w:rsid w:val="00173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343"/>
  </w:style>
  <w:style w:type="paragraph" w:styleId="Footer">
    <w:name w:val="footer"/>
    <w:basedOn w:val="Normal"/>
    <w:link w:val="FooterChar"/>
    <w:uiPriority w:val="99"/>
    <w:unhideWhenUsed/>
    <w:rsid w:val="00AE4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5</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Orellana</dc:creator>
  <cp:keywords/>
  <dc:description/>
  <cp:lastModifiedBy>Robert Orellana</cp:lastModifiedBy>
  <cp:revision>16</cp:revision>
  <dcterms:created xsi:type="dcterms:W3CDTF">2018-06-04T16:58:00Z</dcterms:created>
  <dcterms:modified xsi:type="dcterms:W3CDTF">2018-06-05T18:25:00Z</dcterms:modified>
</cp:coreProperties>
</file>