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74E9C" w14:textId="3845E195" w:rsidR="00102724" w:rsidRDefault="00102724" w:rsidP="00102724">
      <w:pPr>
        <w:jc w:val="center"/>
        <w:rPr>
          <w:u w:val="single"/>
        </w:rPr>
      </w:pPr>
      <w:r>
        <w:rPr>
          <w:u w:val="single"/>
        </w:rPr>
        <w:t>Introduction/Overview</w:t>
      </w:r>
    </w:p>
    <w:p w14:paraId="095CD16E" w14:textId="53AED5E8" w:rsidR="00102724" w:rsidRPr="00503B9B" w:rsidRDefault="00102724" w:rsidP="00102724">
      <w:pPr>
        <w:autoSpaceDE w:val="0"/>
        <w:autoSpaceDN w:val="0"/>
        <w:adjustRightInd w:val="0"/>
        <w:spacing w:after="0" w:line="240" w:lineRule="auto"/>
        <w:rPr>
          <w:rFonts w:eastAsia="TT56t00" w:cstheme="minorHAnsi"/>
        </w:rPr>
      </w:pPr>
      <w:r w:rsidRPr="00503B9B">
        <w:rPr>
          <w:rFonts w:cstheme="minorHAnsi"/>
        </w:rPr>
        <w:t xml:space="preserve">Infection rates can provide valuable information about the HAI experience in a hospital. When a risk adjusted measure is not available, (e.g., </w:t>
      </w:r>
      <w:r w:rsidRPr="00503B9B">
        <w:rPr>
          <w:rFonts w:eastAsia="TT56t00" w:cstheme="minorHAnsi"/>
        </w:rPr>
        <w:t>in situations when the number of pre</w:t>
      </w:r>
      <w:r>
        <w:rPr>
          <w:rFonts w:eastAsia="TT56t00" w:cstheme="minorHAnsi"/>
        </w:rPr>
        <w:t>dicted infection is less than 1</w:t>
      </w:r>
      <w:r w:rsidRPr="00503B9B">
        <w:rPr>
          <w:rFonts w:eastAsia="TT56t00" w:cstheme="minorHAnsi"/>
        </w:rPr>
        <w:t xml:space="preserve">, infection rates can be </w:t>
      </w:r>
      <w:r>
        <w:rPr>
          <w:rFonts w:eastAsia="TT56t00" w:cstheme="minorHAnsi"/>
        </w:rPr>
        <w:t xml:space="preserve">considered </w:t>
      </w:r>
      <w:r w:rsidRPr="00503B9B">
        <w:rPr>
          <w:rFonts w:eastAsia="TT56t00" w:cstheme="minorHAnsi"/>
        </w:rPr>
        <w:t>as an alternate metric</w:t>
      </w:r>
      <w:r>
        <w:rPr>
          <w:rFonts w:eastAsia="TT56t00" w:cstheme="minorHAnsi"/>
        </w:rPr>
        <w:t xml:space="preserve"> for tracking HAIs</w:t>
      </w:r>
      <w:r w:rsidRPr="00503B9B">
        <w:rPr>
          <w:rFonts w:eastAsia="TT56t00" w:cstheme="minorHAnsi"/>
        </w:rPr>
        <w:t xml:space="preserve">. </w:t>
      </w:r>
    </w:p>
    <w:p w14:paraId="47FE83D2" w14:textId="01256B73" w:rsidR="00102724" w:rsidRDefault="00102724">
      <w:pPr>
        <w:rPr>
          <w:u w:val="single"/>
        </w:rPr>
      </w:pPr>
    </w:p>
    <w:p w14:paraId="1397D1C7" w14:textId="420CA1D8" w:rsidR="00102724" w:rsidRDefault="00102724" w:rsidP="00102724">
      <w:pPr>
        <w:jc w:val="center"/>
        <w:rPr>
          <w:u w:val="single"/>
        </w:rPr>
      </w:pPr>
      <w:r>
        <w:rPr>
          <w:u w:val="single"/>
        </w:rPr>
        <w:t>Methodology</w:t>
      </w:r>
    </w:p>
    <w:p w14:paraId="2D208D1B" w14:textId="77777777" w:rsidR="00102724" w:rsidRDefault="00102724" w:rsidP="00102724">
      <w:pPr>
        <w:autoSpaceDE w:val="0"/>
        <w:autoSpaceDN w:val="0"/>
        <w:adjustRightInd w:val="0"/>
        <w:spacing w:after="0" w:line="240" w:lineRule="auto"/>
        <w:rPr>
          <w:rFonts w:eastAsia="TT56t00" w:cstheme="minorHAnsi"/>
        </w:rPr>
      </w:pPr>
    </w:p>
    <w:p w14:paraId="54D20240" w14:textId="77777777" w:rsidR="00102724" w:rsidRDefault="00102724" w:rsidP="00102724">
      <w:pPr>
        <w:autoSpaceDE w:val="0"/>
        <w:autoSpaceDN w:val="0"/>
        <w:adjustRightInd w:val="0"/>
        <w:spacing w:after="0" w:line="240" w:lineRule="auto"/>
        <w:rPr>
          <w:rFonts w:eastAsia="TT56t00" w:cstheme="minorHAnsi"/>
        </w:rPr>
      </w:pPr>
      <w:r w:rsidRPr="00956ACE">
        <w:rPr>
          <w:rFonts w:eastAsia="TT56t00" w:cstheme="minorHAnsi"/>
        </w:rPr>
        <w:t>Refer t</w:t>
      </w:r>
      <w:r>
        <w:rPr>
          <w:rFonts w:eastAsia="TT56t00" w:cstheme="minorHAnsi"/>
        </w:rPr>
        <w:t>o pages (</w:t>
      </w:r>
      <w:r w:rsidRPr="006B50F7">
        <w:rPr>
          <w:rFonts w:eastAsia="TT56t00" w:cstheme="minorHAnsi"/>
          <w:highlight w:val="yellow"/>
        </w:rPr>
        <w:t>X-X</w:t>
      </w:r>
      <w:r>
        <w:rPr>
          <w:rFonts w:eastAsia="TT56t00" w:cstheme="minorHAnsi"/>
        </w:rPr>
        <w:t>) of the DAPS Methods section for a thorough discussion of the use of infection rates.  A high level summary is provided below:</w:t>
      </w:r>
    </w:p>
    <w:p w14:paraId="17AD28FE" w14:textId="77777777" w:rsidR="00102724" w:rsidRDefault="00102724" w:rsidP="00102724">
      <w:pPr>
        <w:pStyle w:val="ListParagraph"/>
        <w:numPr>
          <w:ilvl w:val="0"/>
          <w:numId w:val="6"/>
        </w:numPr>
        <w:autoSpaceDE w:val="0"/>
        <w:autoSpaceDN w:val="0"/>
        <w:adjustRightInd w:val="0"/>
        <w:spacing w:after="0" w:line="240" w:lineRule="auto"/>
        <w:rPr>
          <w:rFonts w:eastAsia="TT56t00" w:cstheme="minorHAnsi"/>
        </w:rPr>
      </w:pPr>
      <w:r>
        <w:rPr>
          <w:rFonts w:eastAsia="TT56t00" w:cstheme="minorHAnsi"/>
        </w:rPr>
        <w:t>Limit the publication of NHSN data to “in-plan” data only</w:t>
      </w:r>
    </w:p>
    <w:p w14:paraId="690A66A5" w14:textId="77777777" w:rsidR="00102724" w:rsidRPr="00CA3B49" w:rsidRDefault="00102724" w:rsidP="00102724">
      <w:pPr>
        <w:pStyle w:val="ListParagraph"/>
        <w:numPr>
          <w:ilvl w:val="0"/>
          <w:numId w:val="6"/>
        </w:numPr>
        <w:spacing w:after="0" w:line="240" w:lineRule="auto"/>
        <w:rPr>
          <w:rFonts w:cstheme="minorHAnsi"/>
          <w:b/>
        </w:rPr>
      </w:pPr>
      <w:r w:rsidRPr="00CA3B49">
        <w:rPr>
          <w:rFonts w:eastAsia="TT56t00" w:cstheme="minorHAnsi"/>
        </w:rPr>
        <w:t xml:space="preserve">Ensure the facility has sufficient exposure </w:t>
      </w:r>
      <w:r>
        <w:rPr>
          <w:rFonts w:eastAsia="TT56t00" w:cstheme="minorHAnsi"/>
        </w:rPr>
        <w:t xml:space="preserve">volume </w:t>
      </w:r>
      <w:r w:rsidRPr="00CA3B49">
        <w:rPr>
          <w:rFonts w:eastAsia="TT56t00" w:cstheme="minorHAnsi"/>
        </w:rPr>
        <w:t xml:space="preserve">in order to calculate a meaningful rate. </w:t>
      </w:r>
      <w:r>
        <w:rPr>
          <w:rFonts w:cstheme="minorHAnsi"/>
        </w:rPr>
        <w:t>As a recommendation:</w:t>
      </w:r>
    </w:p>
    <w:p w14:paraId="4F10C7FE" w14:textId="77777777" w:rsidR="00102724" w:rsidRPr="00CA3B49" w:rsidRDefault="00102724" w:rsidP="00102724">
      <w:pPr>
        <w:pStyle w:val="ListParagraph"/>
        <w:numPr>
          <w:ilvl w:val="1"/>
          <w:numId w:val="6"/>
        </w:numPr>
        <w:spacing w:after="0" w:line="240" w:lineRule="auto"/>
        <w:rPr>
          <w:rFonts w:cstheme="minorHAnsi"/>
          <w:b/>
        </w:rPr>
      </w:pPr>
      <w:r>
        <w:rPr>
          <w:rFonts w:cstheme="minorHAnsi"/>
        </w:rPr>
        <w:t>D</w:t>
      </w:r>
      <w:r w:rsidRPr="00CA3B49">
        <w:rPr>
          <w:rFonts w:cstheme="minorHAnsi"/>
        </w:rPr>
        <w:t>evice-associated rates</w:t>
      </w:r>
      <w:r>
        <w:rPr>
          <w:rFonts w:cstheme="minorHAnsi"/>
        </w:rPr>
        <w:t>:</w:t>
      </w:r>
      <w:r w:rsidRPr="00CA3B49">
        <w:rPr>
          <w:rFonts w:cstheme="minorHAnsi"/>
        </w:rPr>
        <w:t xml:space="preserve"> </w:t>
      </w:r>
      <w:r>
        <w:rPr>
          <w:rFonts w:cstheme="minorHAnsi"/>
        </w:rPr>
        <w:t xml:space="preserve">only </w:t>
      </w:r>
      <w:r w:rsidRPr="00CA3B49">
        <w:rPr>
          <w:rFonts w:cstheme="minorHAnsi"/>
        </w:rPr>
        <w:t>calculated for locatio</w:t>
      </w:r>
      <w:r>
        <w:rPr>
          <w:rFonts w:cstheme="minorHAnsi"/>
        </w:rPr>
        <w:t>ns with at least 50 device days</w:t>
      </w:r>
    </w:p>
    <w:p w14:paraId="51D5455F" w14:textId="77777777" w:rsidR="00102724" w:rsidRPr="00CA3B49" w:rsidRDefault="00102724" w:rsidP="00102724">
      <w:pPr>
        <w:pStyle w:val="ListParagraph"/>
        <w:numPr>
          <w:ilvl w:val="1"/>
          <w:numId w:val="6"/>
        </w:numPr>
        <w:spacing w:after="0" w:line="240" w:lineRule="auto"/>
        <w:rPr>
          <w:rFonts w:cstheme="minorHAnsi"/>
          <w:b/>
        </w:rPr>
      </w:pPr>
      <w:r w:rsidRPr="00CA3B49">
        <w:rPr>
          <w:rFonts w:cstheme="minorHAnsi"/>
        </w:rPr>
        <w:t>SSI rates</w:t>
      </w:r>
      <w:r>
        <w:rPr>
          <w:rFonts w:cstheme="minorHAnsi"/>
        </w:rPr>
        <w:t>:</w:t>
      </w:r>
      <w:r w:rsidRPr="00CA3B49">
        <w:rPr>
          <w:rFonts w:cstheme="minorHAnsi"/>
        </w:rPr>
        <w:t xml:space="preserve"> </w:t>
      </w:r>
      <w:r>
        <w:rPr>
          <w:rFonts w:cstheme="minorHAnsi"/>
        </w:rPr>
        <w:t xml:space="preserve">only </w:t>
      </w:r>
      <w:r w:rsidRPr="00CA3B49">
        <w:rPr>
          <w:rFonts w:cstheme="minorHAnsi"/>
        </w:rPr>
        <w:t>calculated for facilities that perform at least 20 surgical procedures</w:t>
      </w:r>
    </w:p>
    <w:p w14:paraId="7DD32F24" w14:textId="77777777" w:rsidR="00102724" w:rsidRPr="00CA3B49" w:rsidRDefault="00102724" w:rsidP="00102724">
      <w:pPr>
        <w:pStyle w:val="ListParagraph"/>
        <w:numPr>
          <w:ilvl w:val="1"/>
          <w:numId w:val="6"/>
        </w:numPr>
        <w:spacing w:after="0" w:line="240" w:lineRule="auto"/>
        <w:rPr>
          <w:rFonts w:cstheme="minorHAnsi"/>
          <w:b/>
        </w:rPr>
      </w:pPr>
      <w:r w:rsidRPr="00CA3B49">
        <w:rPr>
          <w:rFonts w:cstheme="minorHAnsi"/>
        </w:rPr>
        <w:t>LabID rates</w:t>
      </w:r>
      <w:r>
        <w:rPr>
          <w:rFonts w:cstheme="minorHAnsi"/>
        </w:rPr>
        <w:t>:</w:t>
      </w:r>
      <w:r w:rsidRPr="00CA3B49">
        <w:rPr>
          <w:rFonts w:cstheme="minorHAnsi"/>
        </w:rPr>
        <w:t xml:space="preserve"> only calculated for those facilities with at least 50 patient days. </w:t>
      </w:r>
    </w:p>
    <w:p w14:paraId="29C46BEB" w14:textId="1608F89B" w:rsidR="00102724" w:rsidRDefault="00102724" w:rsidP="00102724">
      <w:pPr>
        <w:pStyle w:val="ListParagraph"/>
        <w:numPr>
          <w:ilvl w:val="0"/>
          <w:numId w:val="6"/>
        </w:numPr>
        <w:autoSpaceDE w:val="0"/>
        <w:autoSpaceDN w:val="0"/>
        <w:adjustRightInd w:val="0"/>
        <w:spacing w:after="0" w:line="240" w:lineRule="auto"/>
        <w:rPr>
          <w:rFonts w:eastAsia="TT56t00" w:cstheme="minorHAnsi"/>
        </w:rPr>
      </w:pPr>
      <w:r>
        <w:rPr>
          <w:rFonts w:eastAsia="TT56t00" w:cstheme="minorHAnsi"/>
        </w:rPr>
        <w:t xml:space="preserve">Consider using the NHSN default multiplier when calculating rates; however, if the resulting rates are too small or large for a meaningful interpretation, feel free to adjust the multiplier as needed. </w:t>
      </w:r>
    </w:p>
    <w:p w14:paraId="26F82287" w14:textId="18C4417B" w:rsidR="00102724" w:rsidRPr="00183B5C" w:rsidRDefault="001C272B" w:rsidP="00102724">
      <w:pPr>
        <w:pStyle w:val="ListParagraph"/>
        <w:numPr>
          <w:ilvl w:val="0"/>
          <w:numId w:val="6"/>
        </w:numPr>
        <w:autoSpaceDE w:val="0"/>
        <w:autoSpaceDN w:val="0"/>
        <w:adjustRightInd w:val="0"/>
        <w:spacing w:after="0" w:line="240" w:lineRule="auto"/>
        <w:rPr>
          <w:rFonts w:eastAsia="TT56t00" w:cstheme="minorHAnsi"/>
        </w:rPr>
      </w:pPr>
      <w:r>
        <w:rPr>
          <w:rFonts w:eastAsia="TT56t00" w:cstheme="minorHAnsi"/>
        </w:rPr>
        <w:t>Rates should be stratified</w:t>
      </w:r>
      <w:r w:rsidR="00102724">
        <w:rPr>
          <w:rFonts w:eastAsia="TT56t00" w:cstheme="minorHAnsi"/>
        </w:rPr>
        <w:t xml:space="preserve"> based on the known risk factors that are significantly associated with that HAI’s incidence (refer to SIR models). </w:t>
      </w:r>
    </w:p>
    <w:p w14:paraId="6F6CE950" w14:textId="77777777" w:rsidR="00102724" w:rsidRDefault="00102724" w:rsidP="00102724">
      <w:pPr>
        <w:autoSpaceDE w:val="0"/>
        <w:autoSpaceDN w:val="0"/>
        <w:adjustRightInd w:val="0"/>
        <w:spacing w:after="0" w:line="240" w:lineRule="auto"/>
        <w:rPr>
          <w:rFonts w:eastAsia="TT56t00" w:cstheme="minorHAnsi"/>
        </w:rPr>
      </w:pPr>
    </w:p>
    <w:tbl>
      <w:tblPr>
        <w:tblStyle w:val="TableGrid"/>
        <w:tblW w:w="0" w:type="auto"/>
        <w:tblLook w:val="04A0" w:firstRow="1" w:lastRow="0" w:firstColumn="1" w:lastColumn="0" w:noHBand="0" w:noVBand="1"/>
      </w:tblPr>
      <w:tblGrid>
        <w:gridCol w:w="3354"/>
        <w:gridCol w:w="3526"/>
        <w:gridCol w:w="3190"/>
      </w:tblGrid>
      <w:tr w:rsidR="00102724" w14:paraId="1969929F" w14:textId="77777777" w:rsidTr="002274B5">
        <w:tc>
          <w:tcPr>
            <w:tcW w:w="3354" w:type="dxa"/>
            <w:shd w:val="clear" w:color="auto" w:fill="D9D9D9" w:themeFill="background1" w:themeFillShade="D9"/>
          </w:tcPr>
          <w:p w14:paraId="403FA530" w14:textId="77777777" w:rsidR="00102724" w:rsidRPr="00183B5C" w:rsidRDefault="00102724" w:rsidP="002274B5">
            <w:pPr>
              <w:autoSpaceDE w:val="0"/>
              <w:autoSpaceDN w:val="0"/>
              <w:adjustRightInd w:val="0"/>
              <w:rPr>
                <w:rFonts w:eastAsia="TT56t00" w:cstheme="minorHAnsi"/>
                <w:b/>
                <w:u w:val="single"/>
              </w:rPr>
            </w:pPr>
            <w:r w:rsidRPr="00183B5C">
              <w:rPr>
                <w:rFonts w:eastAsia="TT56t00" w:cstheme="minorHAnsi"/>
                <w:b/>
                <w:u w:val="single"/>
              </w:rPr>
              <w:t>HAI Type</w:t>
            </w:r>
          </w:p>
        </w:tc>
        <w:tc>
          <w:tcPr>
            <w:tcW w:w="3526" w:type="dxa"/>
            <w:shd w:val="clear" w:color="auto" w:fill="D9D9D9" w:themeFill="background1" w:themeFillShade="D9"/>
          </w:tcPr>
          <w:p w14:paraId="64B0F77B" w14:textId="77777777" w:rsidR="00102724" w:rsidRPr="00183B5C" w:rsidRDefault="00102724" w:rsidP="002274B5">
            <w:pPr>
              <w:autoSpaceDE w:val="0"/>
              <w:autoSpaceDN w:val="0"/>
              <w:adjustRightInd w:val="0"/>
              <w:rPr>
                <w:rFonts w:eastAsia="TT56t00" w:cstheme="minorHAnsi"/>
                <w:b/>
                <w:u w:val="single"/>
              </w:rPr>
            </w:pPr>
            <w:r>
              <w:rPr>
                <w:rFonts w:eastAsia="TT56t00" w:cstheme="minorHAnsi"/>
                <w:b/>
                <w:u w:val="single"/>
              </w:rPr>
              <w:t xml:space="preserve">NHSN </w:t>
            </w:r>
            <w:r w:rsidRPr="00183B5C">
              <w:rPr>
                <w:rFonts w:eastAsia="TT56t00" w:cstheme="minorHAnsi"/>
                <w:b/>
                <w:u w:val="single"/>
              </w:rPr>
              <w:t>Default Multiplier</w:t>
            </w:r>
          </w:p>
        </w:tc>
        <w:tc>
          <w:tcPr>
            <w:tcW w:w="3190" w:type="dxa"/>
            <w:shd w:val="clear" w:color="auto" w:fill="D9D9D9" w:themeFill="background1" w:themeFillShade="D9"/>
          </w:tcPr>
          <w:p w14:paraId="741309BD" w14:textId="77777777" w:rsidR="00102724" w:rsidRPr="00183B5C" w:rsidRDefault="00102724" w:rsidP="002274B5">
            <w:pPr>
              <w:autoSpaceDE w:val="0"/>
              <w:autoSpaceDN w:val="0"/>
              <w:adjustRightInd w:val="0"/>
              <w:rPr>
                <w:rFonts w:eastAsia="TT56t00" w:cstheme="minorHAnsi"/>
                <w:b/>
                <w:u w:val="single"/>
              </w:rPr>
            </w:pPr>
            <w:r w:rsidRPr="00183B5C">
              <w:rPr>
                <w:rFonts w:eastAsia="TT56t00" w:cstheme="minorHAnsi"/>
                <w:b/>
                <w:u w:val="single"/>
              </w:rPr>
              <w:t>Interpretation</w:t>
            </w:r>
          </w:p>
        </w:tc>
      </w:tr>
      <w:tr w:rsidR="00102724" w14:paraId="3114B880" w14:textId="77777777" w:rsidTr="002274B5">
        <w:tc>
          <w:tcPr>
            <w:tcW w:w="3354" w:type="dxa"/>
          </w:tcPr>
          <w:p w14:paraId="022A9417" w14:textId="77777777" w:rsidR="00102724" w:rsidRDefault="00102724" w:rsidP="002274B5">
            <w:pPr>
              <w:autoSpaceDE w:val="0"/>
              <w:autoSpaceDN w:val="0"/>
              <w:adjustRightInd w:val="0"/>
              <w:rPr>
                <w:rFonts w:eastAsia="TT56t00" w:cstheme="minorHAnsi"/>
              </w:rPr>
            </w:pPr>
            <w:r>
              <w:rPr>
                <w:rFonts w:eastAsia="TT56t00" w:cstheme="minorHAnsi"/>
              </w:rPr>
              <w:t>Device-associated Events (CLABSI, CAUTI, VAE)</w:t>
            </w:r>
          </w:p>
        </w:tc>
        <w:tc>
          <w:tcPr>
            <w:tcW w:w="3526" w:type="dxa"/>
          </w:tcPr>
          <w:p w14:paraId="367FDDEB" w14:textId="77777777" w:rsidR="00102724" w:rsidRDefault="00102724" w:rsidP="002274B5">
            <w:pPr>
              <w:autoSpaceDE w:val="0"/>
              <w:autoSpaceDN w:val="0"/>
              <w:adjustRightInd w:val="0"/>
              <w:rPr>
                <w:rFonts w:eastAsia="TT56t00" w:cstheme="minorHAnsi"/>
              </w:rPr>
            </w:pPr>
            <w:r>
              <w:rPr>
                <w:rFonts w:eastAsia="TT56t00" w:cstheme="minorHAnsi"/>
              </w:rPr>
              <w:t>1,000 device days</w:t>
            </w:r>
          </w:p>
        </w:tc>
        <w:tc>
          <w:tcPr>
            <w:tcW w:w="3190" w:type="dxa"/>
          </w:tcPr>
          <w:p w14:paraId="6271569D" w14:textId="77777777" w:rsidR="00102724" w:rsidRDefault="00102724" w:rsidP="002274B5">
            <w:pPr>
              <w:autoSpaceDE w:val="0"/>
              <w:autoSpaceDN w:val="0"/>
              <w:adjustRightInd w:val="0"/>
              <w:rPr>
                <w:rFonts w:eastAsia="TT56t00" w:cstheme="minorHAnsi"/>
              </w:rPr>
            </w:pPr>
            <w:r>
              <w:rPr>
                <w:rFonts w:eastAsia="TT56t00" w:cstheme="minorHAnsi"/>
              </w:rPr>
              <w:t># of infections per 1,000 device days</w:t>
            </w:r>
          </w:p>
        </w:tc>
      </w:tr>
      <w:tr w:rsidR="00102724" w14:paraId="24F5F2C6" w14:textId="77777777" w:rsidTr="002274B5">
        <w:tc>
          <w:tcPr>
            <w:tcW w:w="3354" w:type="dxa"/>
          </w:tcPr>
          <w:p w14:paraId="02F6DCD2" w14:textId="77777777" w:rsidR="00102724" w:rsidRDefault="00102724" w:rsidP="002274B5">
            <w:pPr>
              <w:autoSpaceDE w:val="0"/>
              <w:autoSpaceDN w:val="0"/>
              <w:adjustRightInd w:val="0"/>
              <w:rPr>
                <w:rFonts w:eastAsia="TT56t00" w:cstheme="minorHAnsi"/>
              </w:rPr>
            </w:pPr>
            <w:r>
              <w:rPr>
                <w:rFonts w:eastAsia="TT56t00" w:cstheme="minorHAnsi"/>
              </w:rPr>
              <w:t>Surgical Site Infections</w:t>
            </w:r>
          </w:p>
        </w:tc>
        <w:tc>
          <w:tcPr>
            <w:tcW w:w="3526" w:type="dxa"/>
          </w:tcPr>
          <w:p w14:paraId="5382215B" w14:textId="77777777" w:rsidR="00102724" w:rsidRDefault="00102724" w:rsidP="002274B5">
            <w:pPr>
              <w:autoSpaceDE w:val="0"/>
              <w:autoSpaceDN w:val="0"/>
              <w:adjustRightInd w:val="0"/>
              <w:rPr>
                <w:rFonts w:eastAsia="TT56t00" w:cstheme="minorHAnsi"/>
              </w:rPr>
            </w:pPr>
            <w:r>
              <w:rPr>
                <w:rFonts w:eastAsia="TT56t00" w:cstheme="minorHAnsi"/>
              </w:rPr>
              <w:t>100 procedures</w:t>
            </w:r>
          </w:p>
        </w:tc>
        <w:tc>
          <w:tcPr>
            <w:tcW w:w="3190" w:type="dxa"/>
          </w:tcPr>
          <w:p w14:paraId="42467B53" w14:textId="77777777" w:rsidR="00102724" w:rsidRDefault="00102724" w:rsidP="002274B5">
            <w:pPr>
              <w:autoSpaceDE w:val="0"/>
              <w:autoSpaceDN w:val="0"/>
              <w:adjustRightInd w:val="0"/>
              <w:rPr>
                <w:rFonts w:eastAsia="TT56t00" w:cstheme="minorHAnsi"/>
              </w:rPr>
            </w:pPr>
            <w:r>
              <w:rPr>
                <w:rFonts w:eastAsia="TT56t00" w:cstheme="minorHAnsi"/>
              </w:rPr>
              <w:t># of infections per 100 procedures</w:t>
            </w:r>
          </w:p>
        </w:tc>
      </w:tr>
      <w:tr w:rsidR="00102724" w14:paraId="0CECF484" w14:textId="77777777" w:rsidTr="002274B5">
        <w:tc>
          <w:tcPr>
            <w:tcW w:w="3354" w:type="dxa"/>
          </w:tcPr>
          <w:p w14:paraId="0A6F64AF" w14:textId="77777777" w:rsidR="00102724" w:rsidRDefault="00102724" w:rsidP="002274B5">
            <w:pPr>
              <w:autoSpaceDE w:val="0"/>
              <w:autoSpaceDN w:val="0"/>
              <w:adjustRightInd w:val="0"/>
              <w:rPr>
                <w:rFonts w:eastAsia="TT56t00" w:cstheme="minorHAnsi"/>
              </w:rPr>
            </w:pPr>
            <w:r>
              <w:rPr>
                <w:rFonts w:eastAsia="TT56t00" w:cstheme="minorHAnsi"/>
              </w:rPr>
              <w:t>MRSA bacteremia Laboratory-identified (LabID) Events</w:t>
            </w:r>
          </w:p>
        </w:tc>
        <w:tc>
          <w:tcPr>
            <w:tcW w:w="3526" w:type="dxa"/>
          </w:tcPr>
          <w:p w14:paraId="6E763D60" w14:textId="77777777" w:rsidR="00102724" w:rsidRDefault="00102724" w:rsidP="002274B5">
            <w:pPr>
              <w:autoSpaceDE w:val="0"/>
              <w:autoSpaceDN w:val="0"/>
              <w:adjustRightInd w:val="0"/>
              <w:rPr>
                <w:rFonts w:eastAsia="TT56t00" w:cstheme="minorHAnsi"/>
              </w:rPr>
            </w:pPr>
            <w:r>
              <w:rPr>
                <w:rFonts w:eastAsia="TT56t00" w:cstheme="minorHAnsi"/>
              </w:rPr>
              <w:t>1,000 patient days</w:t>
            </w:r>
          </w:p>
        </w:tc>
        <w:tc>
          <w:tcPr>
            <w:tcW w:w="3190" w:type="dxa"/>
          </w:tcPr>
          <w:p w14:paraId="491D87BB" w14:textId="77777777" w:rsidR="00102724" w:rsidRDefault="00102724" w:rsidP="002274B5">
            <w:pPr>
              <w:autoSpaceDE w:val="0"/>
              <w:autoSpaceDN w:val="0"/>
              <w:adjustRightInd w:val="0"/>
              <w:rPr>
                <w:rFonts w:eastAsia="TT56t00" w:cstheme="minorHAnsi"/>
              </w:rPr>
            </w:pPr>
            <w:r>
              <w:rPr>
                <w:rFonts w:eastAsia="TT56t00" w:cstheme="minorHAnsi"/>
              </w:rPr>
              <w:t># of events per 1,000 patient days</w:t>
            </w:r>
          </w:p>
        </w:tc>
      </w:tr>
      <w:tr w:rsidR="00102724" w14:paraId="29A5E243" w14:textId="77777777" w:rsidTr="002274B5">
        <w:tc>
          <w:tcPr>
            <w:tcW w:w="3354" w:type="dxa"/>
          </w:tcPr>
          <w:p w14:paraId="796D2EC9" w14:textId="77777777" w:rsidR="00102724" w:rsidRDefault="00102724" w:rsidP="002274B5">
            <w:pPr>
              <w:autoSpaceDE w:val="0"/>
              <w:autoSpaceDN w:val="0"/>
              <w:adjustRightInd w:val="0"/>
              <w:rPr>
                <w:rFonts w:eastAsia="TT56t00" w:cstheme="minorHAnsi"/>
              </w:rPr>
            </w:pPr>
            <w:proofErr w:type="spellStart"/>
            <w:r w:rsidRPr="00183B5C">
              <w:rPr>
                <w:rFonts w:eastAsia="TT56t00" w:cstheme="minorHAnsi"/>
                <w:i/>
              </w:rPr>
              <w:t>C.difficile</w:t>
            </w:r>
            <w:proofErr w:type="spellEnd"/>
            <w:r>
              <w:rPr>
                <w:rFonts w:eastAsia="TT56t00" w:cstheme="minorHAnsi"/>
              </w:rPr>
              <w:t xml:space="preserve"> LabID Events</w:t>
            </w:r>
          </w:p>
        </w:tc>
        <w:tc>
          <w:tcPr>
            <w:tcW w:w="3526" w:type="dxa"/>
          </w:tcPr>
          <w:p w14:paraId="6CA8D61E" w14:textId="77777777" w:rsidR="00102724" w:rsidRDefault="00102724" w:rsidP="002274B5">
            <w:pPr>
              <w:autoSpaceDE w:val="0"/>
              <w:autoSpaceDN w:val="0"/>
              <w:adjustRightInd w:val="0"/>
              <w:rPr>
                <w:rFonts w:eastAsia="TT56t00" w:cstheme="minorHAnsi"/>
              </w:rPr>
            </w:pPr>
            <w:r>
              <w:rPr>
                <w:rFonts w:eastAsia="TT56t00" w:cstheme="minorHAnsi"/>
              </w:rPr>
              <w:t>10,000 patient days*</w:t>
            </w:r>
          </w:p>
        </w:tc>
        <w:tc>
          <w:tcPr>
            <w:tcW w:w="3190" w:type="dxa"/>
          </w:tcPr>
          <w:p w14:paraId="242B3BE7" w14:textId="77777777" w:rsidR="00102724" w:rsidRDefault="00102724" w:rsidP="002274B5">
            <w:pPr>
              <w:autoSpaceDE w:val="0"/>
              <w:autoSpaceDN w:val="0"/>
              <w:adjustRightInd w:val="0"/>
              <w:rPr>
                <w:rFonts w:eastAsia="TT56t00" w:cstheme="minorHAnsi"/>
              </w:rPr>
            </w:pPr>
            <w:r>
              <w:rPr>
                <w:rFonts w:eastAsia="TT56t00" w:cstheme="minorHAnsi"/>
              </w:rPr>
              <w:t># of events per 10,000 patient days</w:t>
            </w:r>
          </w:p>
        </w:tc>
      </w:tr>
    </w:tbl>
    <w:p w14:paraId="20B123C2" w14:textId="469CA1FA" w:rsidR="00102724" w:rsidRDefault="00102724" w:rsidP="00102724">
      <w:pPr>
        <w:rPr>
          <w:rFonts w:cstheme="minorHAnsi"/>
          <w:i/>
          <w:iCs/>
        </w:rPr>
      </w:pPr>
      <w:r w:rsidRPr="00390A30">
        <w:rPr>
          <w:rFonts w:eastAsia="TT56t00" w:cstheme="minorHAnsi"/>
        </w:rPr>
        <w:t>*</w:t>
      </w:r>
      <w:r w:rsidRPr="00390A30">
        <w:rPr>
          <w:rFonts w:cstheme="minorHAnsi"/>
          <w:i/>
          <w:iCs/>
        </w:rPr>
        <w:t xml:space="preserve"> When the MDRO/CDI module was developed, NHSN decided to use 10,000 patient days as the multiplier when calculating CDI Rates for LabID event surveillance, thinking that incidence would be fairly low. Therefore, this was done in NHSN simply for ease of interpretation. Multipliers only impact how you interpret the rate (per 1,000 patient days, per 10,000 patient days, etc.) and do not change the actual raw value/calculation of the rate itself.</w:t>
      </w:r>
    </w:p>
    <w:p w14:paraId="01FECB31" w14:textId="77777777" w:rsidR="00102724" w:rsidRPr="00102724" w:rsidRDefault="00102724" w:rsidP="00102724">
      <w:pPr>
        <w:rPr>
          <w:rFonts w:cstheme="minorHAnsi"/>
          <w:i/>
          <w:iCs/>
        </w:rPr>
      </w:pPr>
    </w:p>
    <w:p w14:paraId="46B58139" w14:textId="51FF754C" w:rsidR="00102724" w:rsidRPr="00102724" w:rsidRDefault="00102724" w:rsidP="00102724">
      <w:pPr>
        <w:autoSpaceDE w:val="0"/>
        <w:autoSpaceDN w:val="0"/>
        <w:adjustRightInd w:val="0"/>
        <w:spacing w:after="0" w:line="240" w:lineRule="auto"/>
        <w:rPr>
          <w:rFonts w:eastAsia="TT56t00" w:cstheme="minorHAnsi"/>
        </w:rPr>
      </w:pPr>
      <w:r w:rsidRPr="00102724">
        <w:rPr>
          <w:rFonts w:eastAsia="TT56t00" w:cstheme="minorHAnsi"/>
        </w:rPr>
        <w:t>Example Rate Calculation: CLABSI in medical ICUs during 2017</w:t>
      </w:r>
    </w:p>
    <w:p w14:paraId="31F63D8C" w14:textId="71FCBA0F" w:rsidR="00102724" w:rsidRDefault="00102724" w:rsidP="00102724">
      <w:pPr>
        <w:autoSpaceDE w:val="0"/>
        <w:autoSpaceDN w:val="0"/>
        <w:adjustRightInd w:val="0"/>
        <w:spacing w:after="0" w:line="240" w:lineRule="auto"/>
        <w:rPr>
          <w:rFonts w:eastAsia="TT56t00" w:cstheme="minorHAnsi"/>
        </w:rPr>
      </w:pPr>
    </w:p>
    <w:p w14:paraId="077AD4A7" w14:textId="3B79ECE9" w:rsidR="00102724" w:rsidRDefault="00102724" w:rsidP="00102724">
      <w:pPr>
        <w:autoSpaceDE w:val="0"/>
        <w:autoSpaceDN w:val="0"/>
        <w:adjustRightInd w:val="0"/>
        <w:spacing w:after="0" w:line="240" w:lineRule="auto"/>
        <w:rPr>
          <w:rFonts w:eastAsia="TT56t00" w:cstheme="minorHAnsi"/>
        </w:rPr>
      </w:pPr>
      <w:r w:rsidRPr="00102724">
        <w:rPr>
          <w:rFonts w:eastAsia="TT56t00" w:cstheme="minorHAnsi"/>
          <w:u w:val="single"/>
        </w:rPr>
        <w:t>Formula</w:t>
      </w:r>
      <w:r>
        <w:rPr>
          <w:rFonts w:eastAsia="TT56t00" w:cstheme="minorHAnsi"/>
        </w:rPr>
        <w:t>: (# CLABSIs / # central line days) * 1,000</w:t>
      </w:r>
    </w:p>
    <w:p w14:paraId="4B40848C" w14:textId="32A3B7A6" w:rsidR="00102724" w:rsidRDefault="00102724" w:rsidP="00102724">
      <w:pPr>
        <w:autoSpaceDE w:val="0"/>
        <w:autoSpaceDN w:val="0"/>
        <w:adjustRightInd w:val="0"/>
        <w:spacing w:after="0" w:line="240" w:lineRule="auto"/>
        <w:rPr>
          <w:rFonts w:eastAsia="TT56t00" w:cstheme="minorHAnsi"/>
        </w:rPr>
      </w:pPr>
      <w:r w:rsidRPr="00102724">
        <w:rPr>
          <w:rFonts w:eastAsia="TT56t00" w:cstheme="minorHAnsi"/>
          <w:u w:val="single"/>
        </w:rPr>
        <w:t>Example</w:t>
      </w:r>
      <w:r>
        <w:rPr>
          <w:rFonts w:eastAsia="TT56t00" w:cstheme="minorHAnsi"/>
        </w:rPr>
        <w:t>: 5 CLABSIs / 4500 central line days * 1,000 = 1.11 CLABSIs per 1,000 central line days</w:t>
      </w:r>
    </w:p>
    <w:p w14:paraId="18E6C105" w14:textId="77777777" w:rsidR="00102724" w:rsidRDefault="00102724" w:rsidP="00102724">
      <w:pPr>
        <w:autoSpaceDE w:val="0"/>
        <w:autoSpaceDN w:val="0"/>
        <w:adjustRightInd w:val="0"/>
        <w:spacing w:after="0" w:line="240" w:lineRule="auto"/>
        <w:rPr>
          <w:rFonts w:eastAsia="TT56t00" w:cstheme="minorHAnsi"/>
        </w:rPr>
      </w:pPr>
    </w:p>
    <w:p w14:paraId="79A9BC6C" w14:textId="0F46B143" w:rsidR="00102724" w:rsidRDefault="00102724">
      <w:pPr>
        <w:rPr>
          <w:u w:val="single"/>
        </w:rPr>
      </w:pPr>
    </w:p>
    <w:p w14:paraId="260B08A4" w14:textId="3C7443A9" w:rsidR="00102724" w:rsidRDefault="00102724">
      <w:pPr>
        <w:rPr>
          <w:u w:val="single"/>
        </w:rPr>
      </w:pPr>
    </w:p>
    <w:p w14:paraId="53547A91" w14:textId="27D1A12E" w:rsidR="00102724" w:rsidRDefault="00102724">
      <w:pPr>
        <w:rPr>
          <w:u w:val="single"/>
        </w:rPr>
      </w:pPr>
    </w:p>
    <w:p w14:paraId="30213555" w14:textId="77777777" w:rsidR="00102724" w:rsidRDefault="00102724">
      <w:pPr>
        <w:rPr>
          <w:u w:val="single"/>
        </w:rPr>
      </w:pPr>
    </w:p>
    <w:p w14:paraId="15499A17" w14:textId="5A64C9AE" w:rsidR="00102724" w:rsidRDefault="00102724" w:rsidP="00C318E6">
      <w:pPr>
        <w:jc w:val="center"/>
        <w:rPr>
          <w:u w:val="single"/>
        </w:rPr>
      </w:pPr>
      <w:r>
        <w:rPr>
          <w:u w:val="single"/>
        </w:rPr>
        <w:lastRenderedPageBreak/>
        <w:t>Interpretation and Consideration for Data Display</w:t>
      </w:r>
    </w:p>
    <w:p w14:paraId="669108B2" w14:textId="77777777" w:rsidR="0065433C" w:rsidRDefault="0065433C" w:rsidP="0065433C">
      <w:pPr>
        <w:autoSpaceDE w:val="0"/>
        <w:autoSpaceDN w:val="0"/>
        <w:adjustRightInd w:val="0"/>
        <w:spacing w:after="0" w:line="240" w:lineRule="auto"/>
        <w:rPr>
          <w:rFonts w:eastAsia="TT56t00" w:cstheme="minorHAnsi"/>
          <w:u w:val="single"/>
        </w:rPr>
      </w:pPr>
      <w:commentRangeStart w:id="0"/>
    </w:p>
    <w:p w14:paraId="2762CB30" w14:textId="51D2C8AF" w:rsidR="00956ACE" w:rsidRPr="00102724" w:rsidRDefault="00C318E6" w:rsidP="00102724">
      <w:pPr>
        <w:pStyle w:val="ListParagraph"/>
        <w:numPr>
          <w:ilvl w:val="0"/>
          <w:numId w:val="7"/>
        </w:numPr>
        <w:autoSpaceDE w:val="0"/>
        <w:autoSpaceDN w:val="0"/>
        <w:adjustRightInd w:val="0"/>
        <w:spacing w:after="0" w:line="240" w:lineRule="auto"/>
        <w:rPr>
          <w:rFonts w:eastAsia="TT56t00" w:cstheme="minorHAnsi"/>
          <w:b/>
        </w:rPr>
      </w:pPr>
      <w:r>
        <w:rPr>
          <w:rFonts w:eastAsia="TT56t00" w:cstheme="minorHAnsi"/>
          <w:b/>
        </w:rPr>
        <w:t xml:space="preserve">Considerations for </w:t>
      </w:r>
      <w:r w:rsidR="00956ACE" w:rsidRPr="00102724">
        <w:rPr>
          <w:rFonts w:eastAsia="TT56t00" w:cstheme="minorHAnsi"/>
          <w:b/>
        </w:rPr>
        <w:t>Consumer Report</w:t>
      </w:r>
      <w:commentRangeEnd w:id="0"/>
      <w:r w:rsidR="00102724">
        <w:rPr>
          <w:rStyle w:val="CommentReference"/>
        </w:rPr>
        <w:commentReference w:id="0"/>
      </w:r>
    </w:p>
    <w:p w14:paraId="26F9A02B" w14:textId="32E5F58E" w:rsidR="00956ACE" w:rsidRPr="00956ACE" w:rsidRDefault="00956ACE" w:rsidP="00956ACE">
      <w:pPr>
        <w:pStyle w:val="ListParagraph"/>
        <w:numPr>
          <w:ilvl w:val="0"/>
          <w:numId w:val="1"/>
        </w:numPr>
        <w:autoSpaceDE w:val="0"/>
        <w:autoSpaceDN w:val="0"/>
        <w:adjustRightInd w:val="0"/>
        <w:spacing w:after="0" w:line="240" w:lineRule="auto"/>
        <w:rPr>
          <w:rFonts w:eastAsia="TT56t00" w:cstheme="minorHAnsi"/>
          <w:u w:val="single"/>
        </w:rPr>
      </w:pPr>
      <w:r>
        <w:rPr>
          <w:rFonts w:eastAsia="TT56t00" w:cstheme="minorHAnsi"/>
        </w:rPr>
        <w:t>The DAPS template for a consumer audience does not show a calculated SIR value</w:t>
      </w:r>
    </w:p>
    <w:p w14:paraId="3B0A26C5" w14:textId="0D7E533D" w:rsidR="00956ACE" w:rsidRPr="00956ACE" w:rsidRDefault="00956ACE" w:rsidP="00956ACE">
      <w:pPr>
        <w:autoSpaceDE w:val="0"/>
        <w:autoSpaceDN w:val="0"/>
        <w:adjustRightInd w:val="0"/>
        <w:spacing w:after="0" w:line="240" w:lineRule="auto"/>
        <w:rPr>
          <w:rFonts w:eastAsia="TT56t00" w:cstheme="minorHAnsi"/>
        </w:rPr>
      </w:pPr>
      <w:r w:rsidRPr="00956ACE">
        <w:rPr>
          <w:rFonts w:eastAsia="TT56t00" w:cstheme="minorHAnsi"/>
        </w:rPr>
        <w:t>Options</w:t>
      </w:r>
    </w:p>
    <w:p w14:paraId="1161BD0D" w14:textId="22D2F3CD" w:rsidR="00956ACE" w:rsidRDefault="00956ACE" w:rsidP="00102724">
      <w:pPr>
        <w:pStyle w:val="ListParagraph"/>
        <w:numPr>
          <w:ilvl w:val="0"/>
          <w:numId w:val="8"/>
        </w:numPr>
        <w:autoSpaceDE w:val="0"/>
        <w:autoSpaceDN w:val="0"/>
        <w:adjustRightInd w:val="0"/>
        <w:spacing w:after="0" w:line="240" w:lineRule="auto"/>
        <w:rPr>
          <w:rFonts w:eastAsia="TT56t00" w:cstheme="minorHAnsi"/>
        </w:rPr>
      </w:pPr>
      <w:r w:rsidRPr="00956ACE">
        <w:rPr>
          <w:rFonts w:eastAsia="TT56t00" w:cstheme="minorHAnsi"/>
        </w:rPr>
        <w:t>Conti</w:t>
      </w:r>
      <w:r>
        <w:rPr>
          <w:rFonts w:eastAsia="TT56t00" w:cstheme="minorHAnsi"/>
        </w:rPr>
        <w:t xml:space="preserve">nue to show only the # observed and # predicted, regardless of the value for # predicted. In addition, show a separate table with </w:t>
      </w:r>
      <w:r w:rsidR="00102724">
        <w:rPr>
          <w:rFonts w:eastAsia="TT56t00" w:cstheme="minorHAnsi"/>
        </w:rPr>
        <w:t xml:space="preserve">stratified </w:t>
      </w:r>
      <w:r>
        <w:rPr>
          <w:rFonts w:eastAsia="TT56t00" w:cstheme="minorHAnsi"/>
        </w:rPr>
        <w:t>infection rates for those facilities with &lt; 1 predicted, in order to display a “conclusion” regarding how this facility compared with itself over time.</w:t>
      </w:r>
    </w:p>
    <w:p w14:paraId="4449C2F1" w14:textId="77777777" w:rsidR="00956ACE" w:rsidRDefault="00956ACE" w:rsidP="00956ACE">
      <w:pPr>
        <w:pStyle w:val="ListParagraph"/>
        <w:autoSpaceDE w:val="0"/>
        <w:autoSpaceDN w:val="0"/>
        <w:adjustRightInd w:val="0"/>
        <w:spacing w:after="0" w:line="240" w:lineRule="auto"/>
        <w:rPr>
          <w:rFonts w:eastAsia="TT56t00" w:cstheme="minorHAnsi"/>
        </w:rPr>
      </w:pPr>
    </w:p>
    <w:p w14:paraId="323515F8" w14:textId="05803E4E" w:rsidR="00956ACE" w:rsidRPr="00956ACE" w:rsidRDefault="00956ACE" w:rsidP="00102724">
      <w:pPr>
        <w:pStyle w:val="ListParagraph"/>
        <w:numPr>
          <w:ilvl w:val="0"/>
          <w:numId w:val="8"/>
        </w:numPr>
        <w:autoSpaceDE w:val="0"/>
        <w:autoSpaceDN w:val="0"/>
        <w:adjustRightInd w:val="0"/>
        <w:spacing w:after="0" w:line="240" w:lineRule="auto"/>
        <w:rPr>
          <w:rFonts w:eastAsia="TT56t00" w:cstheme="minorHAnsi"/>
        </w:rPr>
      </w:pPr>
      <w:r w:rsidRPr="00956ACE">
        <w:rPr>
          <w:rFonts w:eastAsia="TT56t00" w:cstheme="minorHAnsi"/>
        </w:rPr>
        <w:t>Conti</w:t>
      </w:r>
      <w:r>
        <w:rPr>
          <w:rFonts w:eastAsia="TT56t00" w:cstheme="minorHAnsi"/>
        </w:rPr>
        <w:t xml:space="preserve">nue to show only the # observed and # predicted, regardless of the value for # predicted. Do not show any supplemental information for rates. Refer reader to the technical report to learn more about how the facility has performed over time, using rates. </w:t>
      </w:r>
    </w:p>
    <w:p w14:paraId="4C95F649" w14:textId="77777777" w:rsidR="00956ACE" w:rsidRDefault="00956ACE" w:rsidP="0065433C">
      <w:pPr>
        <w:autoSpaceDE w:val="0"/>
        <w:autoSpaceDN w:val="0"/>
        <w:adjustRightInd w:val="0"/>
        <w:spacing w:after="0" w:line="240" w:lineRule="auto"/>
        <w:rPr>
          <w:rFonts w:eastAsia="TT56t00" w:cstheme="minorHAnsi"/>
          <w:u w:val="single"/>
        </w:rPr>
      </w:pPr>
    </w:p>
    <w:p w14:paraId="5E0E57F8" w14:textId="77777777" w:rsidR="00956ACE" w:rsidRDefault="00956ACE" w:rsidP="0065433C">
      <w:pPr>
        <w:autoSpaceDE w:val="0"/>
        <w:autoSpaceDN w:val="0"/>
        <w:adjustRightInd w:val="0"/>
        <w:spacing w:after="0" w:line="240" w:lineRule="auto"/>
        <w:rPr>
          <w:rFonts w:eastAsia="TT56t00" w:cstheme="minorHAnsi"/>
          <w:u w:val="single"/>
        </w:rPr>
      </w:pPr>
    </w:p>
    <w:p w14:paraId="2BE8EF3E" w14:textId="2C1CF239" w:rsidR="00CA3B49" w:rsidRPr="00C318E6" w:rsidRDefault="00C318E6" w:rsidP="00956ACE">
      <w:pPr>
        <w:pStyle w:val="ListParagraph"/>
        <w:numPr>
          <w:ilvl w:val="0"/>
          <w:numId w:val="7"/>
        </w:numPr>
        <w:autoSpaceDE w:val="0"/>
        <w:autoSpaceDN w:val="0"/>
        <w:adjustRightInd w:val="0"/>
        <w:spacing w:after="0" w:line="240" w:lineRule="auto"/>
        <w:rPr>
          <w:rFonts w:eastAsia="TT56t00" w:cstheme="minorHAnsi"/>
          <w:b/>
        </w:rPr>
      </w:pPr>
      <w:r>
        <w:rPr>
          <w:rFonts w:eastAsia="TT56t00" w:cstheme="minorHAnsi"/>
          <w:b/>
        </w:rPr>
        <w:t xml:space="preserve">Considerations for </w:t>
      </w:r>
      <w:r w:rsidR="006B50F7" w:rsidRPr="00102724">
        <w:rPr>
          <w:rFonts w:eastAsia="TT56t00" w:cstheme="minorHAnsi"/>
          <w:b/>
        </w:rPr>
        <w:t>Technical Report</w:t>
      </w:r>
    </w:p>
    <w:p w14:paraId="79447130" w14:textId="4D2F8EC6" w:rsidR="00CA3B49" w:rsidRPr="00183B5C" w:rsidRDefault="00CA3B49" w:rsidP="00CA3B49">
      <w:pPr>
        <w:autoSpaceDE w:val="0"/>
        <w:autoSpaceDN w:val="0"/>
        <w:adjustRightInd w:val="0"/>
        <w:spacing w:after="0" w:line="240" w:lineRule="auto"/>
        <w:rPr>
          <w:rFonts w:eastAsia="TT56t00" w:cstheme="minorHAnsi"/>
        </w:rPr>
      </w:pPr>
      <w:r w:rsidRPr="00CA3B49">
        <w:rPr>
          <w:rFonts w:eastAsia="TT56t00" w:cstheme="minorHAnsi"/>
        </w:rPr>
        <w:t xml:space="preserve">It should be noted in the report that many factors can influence an infection rate in a facility, and that infection rates for one facility should not be compared to infection rates for another facility. </w:t>
      </w:r>
      <w:r>
        <w:rPr>
          <w:rFonts w:eastAsia="TT56t00" w:cstheme="minorHAnsi"/>
        </w:rPr>
        <w:t xml:space="preserve">In order to help avoid the readers from making unfair comparisons, and to provide a more meaningful interpretation, rates should be stratified whenever possible using the variables included in NHSN’s SIR risk adjustment models for that infection type. </w:t>
      </w:r>
      <w:r w:rsidR="00183B5C" w:rsidRPr="00183B5C">
        <w:rPr>
          <w:rFonts w:cstheme="minorHAnsi"/>
        </w:rPr>
        <w:t>For example, some types of patient care areas within a hospital experience higher rates of device-ass</w:t>
      </w:r>
      <w:r w:rsidR="00183B5C">
        <w:rPr>
          <w:rFonts w:cstheme="minorHAnsi"/>
        </w:rPr>
        <w:t>ociated infections than others</w:t>
      </w:r>
      <w:r w:rsidR="00183B5C" w:rsidRPr="00183B5C">
        <w:rPr>
          <w:rFonts w:cstheme="minorHAnsi"/>
        </w:rPr>
        <w:t xml:space="preserve">, each patient undergoing a surgical procedure has different patient- and procedure-level </w:t>
      </w:r>
      <w:r w:rsidR="00183B5C">
        <w:rPr>
          <w:rFonts w:cstheme="minorHAnsi"/>
        </w:rPr>
        <w:t xml:space="preserve">risk factors, </w:t>
      </w:r>
      <w:r w:rsidR="00183B5C" w:rsidRPr="00183B5C">
        <w:rPr>
          <w:rFonts w:cstheme="minorHAnsi"/>
        </w:rPr>
        <w:t xml:space="preserve">and facilities may experience a higher incidence of methicillin-resistant </w:t>
      </w:r>
      <w:r w:rsidR="00183B5C" w:rsidRPr="00183B5C">
        <w:rPr>
          <w:rFonts w:cstheme="minorHAnsi"/>
          <w:i/>
        </w:rPr>
        <w:t>Staphylococcus aureus</w:t>
      </w:r>
      <w:r w:rsidR="00183B5C" w:rsidRPr="00183B5C">
        <w:rPr>
          <w:rFonts w:cstheme="minorHAnsi"/>
        </w:rPr>
        <w:t xml:space="preserve"> or </w:t>
      </w:r>
      <w:r w:rsidR="00183B5C" w:rsidRPr="00183B5C">
        <w:rPr>
          <w:rFonts w:cstheme="minorHAnsi"/>
          <w:i/>
        </w:rPr>
        <w:t>Clostridium difficile</w:t>
      </w:r>
      <w:r w:rsidR="00183B5C" w:rsidRPr="00183B5C">
        <w:rPr>
          <w:rFonts w:cstheme="minorHAnsi"/>
        </w:rPr>
        <w:t xml:space="preserve"> infections due to the prevalence of these infection</w:t>
      </w:r>
      <w:r w:rsidR="00183B5C">
        <w:rPr>
          <w:rFonts w:cstheme="minorHAnsi"/>
        </w:rPr>
        <w:t>s</w:t>
      </w:r>
      <w:r w:rsidR="00183B5C" w:rsidRPr="00183B5C">
        <w:rPr>
          <w:rFonts w:cstheme="minorHAnsi"/>
        </w:rPr>
        <w:t xml:space="preserve"> in the community</w:t>
      </w:r>
      <w:r w:rsidR="00183B5C">
        <w:rPr>
          <w:rFonts w:cstheme="minorHAnsi"/>
        </w:rPr>
        <w:t xml:space="preserve"> (cite: NHSN’s Guide to the SIR)</w:t>
      </w:r>
      <w:r w:rsidR="00183B5C" w:rsidRPr="00183B5C">
        <w:rPr>
          <w:rFonts w:cstheme="minorHAnsi"/>
        </w:rPr>
        <w:t xml:space="preserve">. A single facility-wide rate </w:t>
      </w:r>
      <w:r w:rsidR="00183B5C">
        <w:rPr>
          <w:rFonts w:cstheme="minorHAnsi"/>
        </w:rPr>
        <w:t>does</w:t>
      </w:r>
      <w:r w:rsidR="00183B5C" w:rsidRPr="00183B5C">
        <w:rPr>
          <w:rFonts w:cstheme="minorHAnsi"/>
        </w:rPr>
        <w:t xml:space="preserve"> not take these various risk factors into consideration.   </w:t>
      </w:r>
    </w:p>
    <w:p w14:paraId="25B62A9C" w14:textId="7DB1F4D1" w:rsidR="00390A30" w:rsidRDefault="00390A30" w:rsidP="00183B5C">
      <w:pPr>
        <w:autoSpaceDE w:val="0"/>
        <w:autoSpaceDN w:val="0"/>
        <w:adjustRightInd w:val="0"/>
        <w:spacing w:after="0" w:line="240" w:lineRule="auto"/>
        <w:rPr>
          <w:rFonts w:eastAsia="TT56t00" w:cstheme="minorHAnsi"/>
        </w:rPr>
      </w:pPr>
    </w:p>
    <w:p w14:paraId="0105B2CC" w14:textId="35B8547D" w:rsidR="00390A30" w:rsidRPr="00C318E6" w:rsidRDefault="00390A30" w:rsidP="00C318E6">
      <w:pPr>
        <w:autoSpaceDE w:val="0"/>
        <w:autoSpaceDN w:val="0"/>
        <w:adjustRightInd w:val="0"/>
        <w:spacing w:after="0" w:line="240" w:lineRule="auto"/>
        <w:rPr>
          <w:rFonts w:eastAsia="TT56t00" w:cstheme="minorHAnsi"/>
        </w:rPr>
      </w:pPr>
      <w:r w:rsidRPr="00C318E6">
        <w:rPr>
          <w:rFonts w:eastAsia="TT56t00" w:cstheme="minorHAnsi"/>
        </w:rPr>
        <w:t xml:space="preserve">In a technical report, include the values for the 95% confidence interval around the rate. A SAS macro to perform this calculation is available here: </w:t>
      </w:r>
      <w:hyperlink r:id="rId9" w:history="1">
        <w:r w:rsidRPr="00C318E6">
          <w:rPr>
            <w:rStyle w:val="Hyperlink"/>
            <w:rFonts w:eastAsia="TT56t00" w:cstheme="minorHAnsi"/>
          </w:rPr>
          <w:t>https://www.cdc.gov/nhsn/ps-analysis-resources/index.html</w:t>
        </w:r>
      </w:hyperlink>
      <w:r w:rsidRPr="00C318E6">
        <w:rPr>
          <w:rFonts w:eastAsia="TT56t00" w:cstheme="minorHAnsi"/>
        </w:rPr>
        <w:t xml:space="preserve"> </w:t>
      </w:r>
    </w:p>
    <w:p w14:paraId="32BA84AC" w14:textId="77777777" w:rsidR="00390A30" w:rsidRDefault="00390A30" w:rsidP="00183B5C">
      <w:pPr>
        <w:autoSpaceDE w:val="0"/>
        <w:autoSpaceDN w:val="0"/>
        <w:adjustRightInd w:val="0"/>
        <w:spacing w:after="0" w:line="240" w:lineRule="auto"/>
        <w:rPr>
          <w:rFonts w:eastAsia="TT56t00" w:cstheme="minorHAnsi"/>
        </w:rPr>
      </w:pPr>
    </w:p>
    <w:p w14:paraId="0C6679C1" w14:textId="342A30DC" w:rsidR="00390A30" w:rsidRPr="00C318E6" w:rsidRDefault="00390A30" w:rsidP="00C318E6">
      <w:pPr>
        <w:pStyle w:val="ListParagraph"/>
        <w:numPr>
          <w:ilvl w:val="0"/>
          <w:numId w:val="7"/>
        </w:numPr>
        <w:autoSpaceDE w:val="0"/>
        <w:autoSpaceDN w:val="0"/>
        <w:adjustRightInd w:val="0"/>
        <w:spacing w:after="0" w:line="240" w:lineRule="auto"/>
        <w:rPr>
          <w:rFonts w:eastAsia="TT56t00" w:cstheme="minorHAnsi"/>
          <w:b/>
        </w:rPr>
      </w:pPr>
      <w:r w:rsidRPr="00C318E6">
        <w:rPr>
          <w:rFonts w:eastAsia="TT56t00" w:cstheme="minorHAnsi"/>
          <w:b/>
        </w:rPr>
        <w:t>Display of Rates</w:t>
      </w:r>
    </w:p>
    <w:p w14:paraId="43F5E99A" w14:textId="77777777" w:rsidR="00390A30" w:rsidRPr="00C318E6" w:rsidRDefault="00390A30" w:rsidP="00C318E6">
      <w:pPr>
        <w:autoSpaceDE w:val="0"/>
        <w:autoSpaceDN w:val="0"/>
        <w:adjustRightInd w:val="0"/>
        <w:spacing w:after="0" w:line="240" w:lineRule="auto"/>
        <w:rPr>
          <w:rFonts w:eastAsia="TT56t00" w:cstheme="minorHAnsi"/>
        </w:rPr>
      </w:pPr>
      <w:r w:rsidRPr="00C318E6">
        <w:rPr>
          <w:rFonts w:eastAsia="TT56t00" w:cstheme="minorHAnsi"/>
        </w:rPr>
        <w:t xml:space="preserve">We recommend that all facilities for which rates are being calculated be listed together, in a designated section of the report, rather than mixed-in with SIR facilities  </w:t>
      </w:r>
    </w:p>
    <w:p w14:paraId="1FB84825" w14:textId="77777777" w:rsidR="00390A30" w:rsidRDefault="00390A30" w:rsidP="00390A30">
      <w:pPr>
        <w:pStyle w:val="ListParagraph"/>
        <w:autoSpaceDE w:val="0"/>
        <w:autoSpaceDN w:val="0"/>
        <w:adjustRightInd w:val="0"/>
        <w:spacing w:after="0" w:line="240" w:lineRule="auto"/>
        <w:rPr>
          <w:rFonts w:eastAsia="TT56t00" w:cstheme="minorHAnsi"/>
        </w:rPr>
      </w:pPr>
    </w:p>
    <w:p w14:paraId="569A54DE" w14:textId="40D986DF" w:rsidR="00390A30" w:rsidRPr="00C318E6" w:rsidRDefault="00390A30" w:rsidP="00C318E6">
      <w:pPr>
        <w:autoSpaceDE w:val="0"/>
        <w:autoSpaceDN w:val="0"/>
        <w:adjustRightInd w:val="0"/>
        <w:spacing w:after="0" w:line="240" w:lineRule="auto"/>
        <w:rPr>
          <w:rFonts w:eastAsia="TT56t00" w:cstheme="minorHAnsi"/>
        </w:rPr>
      </w:pPr>
      <w:r w:rsidRPr="00C318E6">
        <w:rPr>
          <w:rFonts w:eastAsia="TT56t00" w:cstheme="minorHAnsi"/>
        </w:rPr>
        <w:t xml:space="preserve">Rates should be stratified based on the major factors included in the SIR risk adjusted model, and a rationale for the stratification should be included in the Methods section </w:t>
      </w:r>
      <w:r w:rsidRPr="00C318E6">
        <w:rPr>
          <w:rFonts w:cstheme="minorHAnsi"/>
          <w:szCs w:val="24"/>
        </w:rPr>
        <w:t>(e.g., to align with NHSN published rates or to account for differences in infection risk among patient care area types or patients undergoing surgical procedures).</w:t>
      </w:r>
    </w:p>
    <w:p w14:paraId="28F81E11" w14:textId="77777777" w:rsidR="00C318E6" w:rsidRPr="00C318E6" w:rsidRDefault="00C318E6" w:rsidP="00C318E6">
      <w:pPr>
        <w:pStyle w:val="ListParagraph"/>
        <w:rPr>
          <w:rFonts w:eastAsia="TT56t00" w:cstheme="minorHAnsi"/>
        </w:rPr>
      </w:pPr>
    </w:p>
    <w:p w14:paraId="038608F6" w14:textId="77777777" w:rsidR="00C318E6" w:rsidRPr="00C318E6" w:rsidRDefault="00C318E6" w:rsidP="00C318E6">
      <w:pPr>
        <w:autoSpaceDE w:val="0"/>
        <w:autoSpaceDN w:val="0"/>
        <w:adjustRightInd w:val="0"/>
        <w:spacing w:after="0" w:line="240" w:lineRule="auto"/>
        <w:rPr>
          <w:rFonts w:eastAsia="TT56t00" w:cstheme="minorHAnsi"/>
        </w:rPr>
      </w:pPr>
      <w:r w:rsidRPr="00C318E6">
        <w:rPr>
          <w:rFonts w:eastAsia="TT56t00" w:cstheme="minorHAnsi"/>
        </w:rPr>
        <w:t xml:space="preserve">Sufficient explanation about the use of rates should be provided in a methods section. We recommend listing all factors included in the SIR risk adjustment model for that facility/infection type as possible influencers of the facility’s rate (e.g., “CLABSI infection rates are known to be impacted by the size of the facility, the type of facility, medical school affiliation, and type of unit”). </w:t>
      </w:r>
    </w:p>
    <w:p w14:paraId="741801AF" w14:textId="3A09F673" w:rsidR="00C318E6" w:rsidRPr="00390A30" w:rsidRDefault="00C318E6" w:rsidP="00C318E6">
      <w:pPr>
        <w:pStyle w:val="ListParagraph"/>
        <w:autoSpaceDE w:val="0"/>
        <w:autoSpaceDN w:val="0"/>
        <w:adjustRightInd w:val="0"/>
        <w:spacing w:after="0" w:line="240" w:lineRule="auto"/>
        <w:ind w:left="360"/>
        <w:rPr>
          <w:rFonts w:eastAsia="TT56t00" w:cstheme="minorHAnsi"/>
        </w:rPr>
      </w:pPr>
    </w:p>
    <w:p w14:paraId="0445D1AB" w14:textId="3EC43404" w:rsidR="00390A30" w:rsidRDefault="00390A30" w:rsidP="00183B5C">
      <w:pPr>
        <w:autoSpaceDE w:val="0"/>
        <w:autoSpaceDN w:val="0"/>
        <w:adjustRightInd w:val="0"/>
        <w:spacing w:after="0" w:line="240" w:lineRule="auto"/>
        <w:rPr>
          <w:rFonts w:eastAsia="TT56t00" w:cstheme="minorHAnsi"/>
        </w:rPr>
      </w:pPr>
    </w:p>
    <w:p w14:paraId="080C599E" w14:textId="1DB11D0E" w:rsidR="00C318E6" w:rsidRDefault="00C318E6" w:rsidP="00183B5C">
      <w:pPr>
        <w:autoSpaceDE w:val="0"/>
        <w:autoSpaceDN w:val="0"/>
        <w:adjustRightInd w:val="0"/>
        <w:spacing w:after="0" w:line="240" w:lineRule="auto"/>
        <w:rPr>
          <w:rFonts w:eastAsia="TT56t00" w:cstheme="minorHAnsi"/>
        </w:rPr>
      </w:pPr>
    </w:p>
    <w:p w14:paraId="2EB46599" w14:textId="7B0564D7" w:rsidR="00C318E6" w:rsidRDefault="00C318E6" w:rsidP="00183B5C">
      <w:pPr>
        <w:autoSpaceDE w:val="0"/>
        <w:autoSpaceDN w:val="0"/>
        <w:adjustRightInd w:val="0"/>
        <w:spacing w:after="0" w:line="240" w:lineRule="auto"/>
        <w:rPr>
          <w:rFonts w:eastAsia="TT56t00" w:cstheme="minorHAnsi"/>
        </w:rPr>
      </w:pPr>
    </w:p>
    <w:p w14:paraId="18FA82A5" w14:textId="77777777" w:rsidR="00C318E6" w:rsidRDefault="00C318E6" w:rsidP="00183B5C">
      <w:pPr>
        <w:autoSpaceDE w:val="0"/>
        <w:autoSpaceDN w:val="0"/>
        <w:adjustRightInd w:val="0"/>
        <w:spacing w:after="0" w:line="240" w:lineRule="auto"/>
        <w:rPr>
          <w:rFonts w:eastAsia="TT56t00" w:cstheme="minorHAnsi"/>
        </w:rPr>
      </w:pPr>
    </w:p>
    <w:p w14:paraId="71CD70BF" w14:textId="37812CF1" w:rsidR="00390A30" w:rsidRPr="00C318E6" w:rsidRDefault="00C318E6" w:rsidP="00390A30">
      <w:pPr>
        <w:pStyle w:val="ListParagraph"/>
        <w:numPr>
          <w:ilvl w:val="0"/>
          <w:numId w:val="7"/>
        </w:numPr>
        <w:autoSpaceDE w:val="0"/>
        <w:autoSpaceDN w:val="0"/>
        <w:adjustRightInd w:val="0"/>
        <w:spacing w:after="0" w:line="240" w:lineRule="auto"/>
        <w:rPr>
          <w:rFonts w:eastAsia="TT56t00" w:cstheme="minorHAnsi"/>
          <w:b/>
        </w:rPr>
      </w:pPr>
      <w:r w:rsidRPr="00C318E6">
        <w:rPr>
          <w:rFonts w:eastAsia="TT56t00" w:cstheme="minorHAnsi"/>
          <w:b/>
        </w:rPr>
        <w:lastRenderedPageBreak/>
        <w:t>Use of Benchmark</w:t>
      </w:r>
    </w:p>
    <w:p w14:paraId="56B2A1C8" w14:textId="6557D776" w:rsidR="00822B2C" w:rsidRPr="00C318E6" w:rsidRDefault="00822B2C" w:rsidP="00C318E6">
      <w:pPr>
        <w:autoSpaceDE w:val="0"/>
        <w:autoSpaceDN w:val="0"/>
        <w:adjustRightInd w:val="0"/>
        <w:spacing w:after="0" w:line="240" w:lineRule="auto"/>
        <w:rPr>
          <w:rFonts w:eastAsia="TT56t00" w:cstheme="minorHAnsi"/>
        </w:rPr>
      </w:pPr>
      <w:r w:rsidRPr="00C318E6">
        <w:rPr>
          <w:rFonts w:eastAsia="TT56t00" w:cstheme="minorHAnsi"/>
        </w:rPr>
        <w:t>For most infection types, n</w:t>
      </w:r>
      <w:r w:rsidR="00390A30" w:rsidRPr="00C318E6">
        <w:rPr>
          <w:rFonts w:eastAsia="TT56t00" w:cstheme="minorHAnsi"/>
        </w:rPr>
        <w:t xml:space="preserve">ational rates are </w:t>
      </w:r>
      <w:r w:rsidRPr="00C318E6">
        <w:rPr>
          <w:rFonts w:eastAsia="TT56t00" w:cstheme="minorHAnsi"/>
        </w:rPr>
        <w:t xml:space="preserve">no longer </w:t>
      </w:r>
      <w:r w:rsidR="00390A30" w:rsidRPr="00C318E6">
        <w:rPr>
          <w:rFonts w:eastAsia="TT56t00" w:cstheme="minorHAnsi"/>
        </w:rPr>
        <w:t xml:space="preserve">available or published from NHSN. </w:t>
      </w:r>
      <w:r w:rsidRPr="00C318E6">
        <w:rPr>
          <w:rFonts w:eastAsia="TT56t00" w:cstheme="minorHAnsi"/>
        </w:rPr>
        <w:t xml:space="preserve">CDC is developing a national “predicted rate calculator”, which will provide 2015 </w:t>
      </w:r>
      <w:r w:rsidRPr="00C318E6">
        <w:rPr>
          <w:rFonts w:eastAsia="TT56t00" w:cstheme="minorHAnsi"/>
          <w:i/>
        </w:rPr>
        <w:t xml:space="preserve">stratified </w:t>
      </w:r>
      <w:r w:rsidRPr="00C318E6">
        <w:rPr>
          <w:rFonts w:eastAsia="TT56t00" w:cstheme="minorHAnsi"/>
        </w:rPr>
        <w:t xml:space="preserve">national rates for each infection type. These rates will be stratified by </w:t>
      </w:r>
      <w:r w:rsidRPr="00C318E6">
        <w:rPr>
          <w:rFonts w:eastAsia="TT56t00" w:cstheme="minorHAnsi"/>
          <w:i/>
        </w:rPr>
        <w:t xml:space="preserve">every </w:t>
      </w:r>
      <w:r w:rsidRPr="00C318E6">
        <w:rPr>
          <w:rFonts w:eastAsia="TT56t00" w:cstheme="minorHAnsi"/>
        </w:rPr>
        <w:t xml:space="preserve">variable in the SIR risk adjustment model. </w:t>
      </w:r>
    </w:p>
    <w:p w14:paraId="52FC9E99" w14:textId="77777777" w:rsidR="00822B2C" w:rsidRPr="00822B2C" w:rsidRDefault="00822B2C" w:rsidP="00822B2C">
      <w:pPr>
        <w:pStyle w:val="ListParagraph"/>
        <w:rPr>
          <w:rFonts w:eastAsia="TT56t00" w:cstheme="minorHAnsi"/>
        </w:rPr>
      </w:pPr>
    </w:p>
    <w:p w14:paraId="75F1A966" w14:textId="5748FA2D" w:rsidR="00822B2C" w:rsidRDefault="00822B2C" w:rsidP="00822B2C">
      <w:pPr>
        <w:pStyle w:val="ListParagraph"/>
        <w:numPr>
          <w:ilvl w:val="1"/>
          <w:numId w:val="1"/>
        </w:numPr>
        <w:autoSpaceDE w:val="0"/>
        <w:autoSpaceDN w:val="0"/>
        <w:adjustRightInd w:val="0"/>
        <w:spacing w:after="0" w:line="240" w:lineRule="auto"/>
        <w:rPr>
          <w:rFonts w:eastAsia="TT56t00" w:cstheme="minorHAnsi"/>
        </w:rPr>
      </w:pPr>
      <w:r>
        <w:rPr>
          <w:rFonts w:eastAsia="TT56t00" w:cstheme="minorHAnsi"/>
        </w:rPr>
        <w:t xml:space="preserve">Theoretically, a facility’s rate could be compared to this national </w:t>
      </w:r>
      <w:r w:rsidR="00C318E6">
        <w:rPr>
          <w:rFonts w:eastAsia="TT56t00" w:cstheme="minorHAnsi"/>
        </w:rPr>
        <w:t xml:space="preserve">2015 </w:t>
      </w:r>
      <w:r>
        <w:rPr>
          <w:rFonts w:eastAsia="TT56t00" w:cstheme="minorHAnsi"/>
        </w:rPr>
        <w:t>rate if following the same level of stratifications</w:t>
      </w:r>
    </w:p>
    <w:p w14:paraId="5719DAC0" w14:textId="6F1A633B" w:rsidR="00822B2C" w:rsidRDefault="00822B2C" w:rsidP="00822B2C">
      <w:pPr>
        <w:pStyle w:val="ListParagraph"/>
        <w:numPr>
          <w:ilvl w:val="1"/>
          <w:numId w:val="1"/>
        </w:numPr>
        <w:autoSpaceDE w:val="0"/>
        <w:autoSpaceDN w:val="0"/>
        <w:adjustRightInd w:val="0"/>
        <w:spacing w:after="0" w:line="240" w:lineRule="auto"/>
        <w:rPr>
          <w:rFonts w:eastAsia="TT56t00" w:cstheme="minorHAnsi"/>
        </w:rPr>
      </w:pPr>
      <w:r w:rsidRPr="00C318E6">
        <w:rPr>
          <w:rFonts w:eastAsia="TT56t00" w:cstheme="minorHAnsi"/>
        </w:rPr>
        <w:t xml:space="preserve">The predicted rate calculator will not </w:t>
      </w:r>
      <w:r>
        <w:rPr>
          <w:rFonts w:eastAsia="TT56t00" w:cstheme="minorHAnsi"/>
        </w:rPr>
        <w:t>be updated on an annual basis. The 2015 national data will be the only data available in this calculator – therefore, this national comparison will eventually become outdated.</w:t>
      </w:r>
    </w:p>
    <w:p w14:paraId="1C2E6065" w14:textId="1492A359" w:rsidR="00822B2C" w:rsidRPr="00822B2C" w:rsidRDefault="00822B2C" w:rsidP="00822B2C">
      <w:pPr>
        <w:rPr>
          <w:rFonts w:eastAsia="TT56t00" w:cstheme="minorHAnsi"/>
        </w:rPr>
      </w:pPr>
    </w:p>
    <w:p w14:paraId="716B4CE4" w14:textId="5BFDAAE3" w:rsidR="00390A30" w:rsidRPr="00C318E6" w:rsidRDefault="00822B2C" w:rsidP="00C318E6">
      <w:pPr>
        <w:autoSpaceDE w:val="0"/>
        <w:autoSpaceDN w:val="0"/>
        <w:adjustRightInd w:val="0"/>
        <w:spacing w:after="0" w:line="240" w:lineRule="auto"/>
        <w:rPr>
          <w:rFonts w:eastAsia="TT56t00" w:cstheme="minorHAnsi"/>
        </w:rPr>
      </w:pPr>
      <w:r w:rsidRPr="00C318E6">
        <w:rPr>
          <w:rFonts w:eastAsia="TT56t00" w:cstheme="minorHAnsi"/>
        </w:rPr>
        <w:t xml:space="preserve">If NOT using the rate calculator: </w:t>
      </w:r>
      <w:r w:rsidR="00390A30" w:rsidRPr="00C318E6">
        <w:rPr>
          <w:rFonts w:eastAsia="TT56t00" w:cstheme="minorHAnsi"/>
        </w:rPr>
        <w:t xml:space="preserve">These facilities cannot be compared to a national benchmark. Therefore, facilities for which rates are being calculated should be compared </w:t>
      </w:r>
      <w:r w:rsidR="00390A30" w:rsidRPr="00C318E6">
        <w:rPr>
          <w:rFonts w:eastAsia="TT56t00" w:cstheme="minorHAnsi"/>
          <w:i/>
        </w:rPr>
        <w:t xml:space="preserve">to themselves </w:t>
      </w:r>
      <w:r w:rsidR="00390A30" w:rsidRPr="00C318E6">
        <w:rPr>
          <w:rFonts w:eastAsia="TT56t00" w:cstheme="minorHAnsi"/>
        </w:rPr>
        <w:t xml:space="preserve">over time in order to comment on </w:t>
      </w:r>
      <w:r w:rsidR="00C318E6" w:rsidRPr="00C318E6">
        <w:rPr>
          <w:rFonts w:eastAsia="TT56t00" w:cstheme="minorHAnsi"/>
        </w:rPr>
        <w:t>the HAI incidence in the facility.</w:t>
      </w:r>
    </w:p>
    <w:p w14:paraId="2D91C03A" w14:textId="77777777" w:rsidR="00C318E6" w:rsidRPr="00C318E6" w:rsidRDefault="00C318E6" w:rsidP="00C318E6">
      <w:pPr>
        <w:pStyle w:val="ListParagraph"/>
        <w:autoSpaceDE w:val="0"/>
        <w:autoSpaceDN w:val="0"/>
        <w:adjustRightInd w:val="0"/>
        <w:spacing w:after="0" w:line="240" w:lineRule="auto"/>
        <w:ind w:left="360"/>
        <w:rPr>
          <w:rFonts w:eastAsia="TT56t00" w:cstheme="minorHAnsi"/>
        </w:rPr>
      </w:pPr>
    </w:p>
    <w:p w14:paraId="74F3F6F3" w14:textId="5CE06110" w:rsidR="00390A30" w:rsidRPr="00C318E6" w:rsidRDefault="00390A30" w:rsidP="00C318E6">
      <w:pPr>
        <w:autoSpaceDE w:val="0"/>
        <w:autoSpaceDN w:val="0"/>
        <w:adjustRightInd w:val="0"/>
        <w:spacing w:after="0" w:line="240" w:lineRule="auto"/>
        <w:rPr>
          <w:rFonts w:eastAsia="TT56t00" w:cstheme="minorHAnsi"/>
        </w:rPr>
      </w:pPr>
      <w:r w:rsidRPr="00C318E6">
        <w:rPr>
          <w:rFonts w:eastAsia="TT56t00" w:cstheme="minorHAnsi"/>
        </w:rPr>
        <w:t>Readers should be cautioned when interpreting rates, as this is not a risk-adjusted metric and therefore cannot be c</w:t>
      </w:r>
      <w:r w:rsidR="00C318E6" w:rsidRPr="00C318E6">
        <w:rPr>
          <w:rFonts w:eastAsia="TT56t00" w:cstheme="minorHAnsi"/>
        </w:rPr>
        <w:t>ompared to any other facility.</w:t>
      </w:r>
    </w:p>
    <w:p w14:paraId="3E2D01C3" w14:textId="7BD39C03" w:rsidR="00390A30" w:rsidRPr="00390A30" w:rsidRDefault="00390A30" w:rsidP="00390A30">
      <w:pPr>
        <w:pStyle w:val="ListParagraph"/>
        <w:autoSpaceDE w:val="0"/>
        <w:autoSpaceDN w:val="0"/>
        <w:adjustRightInd w:val="0"/>
        <w:spacing w:after="0" w:line="240" w:lineRule="auto"/>
        <w:rPr>
          <w:rFonts w:eastAsia="TT56t00" w:cstheme="minorHAnsi"/>
        </w:rPr>
      </w:pPr>
    </w:p>
    <w:p w14:paraId="5EAB3952" w14:textId="1AE80AC7" w:rsidR="008948A1" w:rsidRPr="00822B2C" w:rsidRDefault="008948A1" w:rsidP="00822B2C">
      <w:pPr>
        <w:autoSpaceDE w:val="0"/>
        <w:autoSpaceDN w:val="0"/>
        <w:adjustRightInd w:val="0"/>
        <w:spacing w:after="0" w:line="240" w:lineRule="auto"/>
        <w:rPr>
          <w:rFonts w:eastAsia="TT56t00" w:cstheme="minorHAnsi"/>
        </w:rPr>
      </w:pPr>
    </w:p>
    <w:p w14:paraId="2B80170C" w14:textId="19E21EC0" w:rsidR="008948A1" w:rsidRDefault="00537EDF" w:rsidP="00537EDF">
      <w:pPr>
        <w:spacing w:after="0" w:line="240" w:lineRule="auto"/>
        <w:jc w:val="center"/>
        <w:rPr>
          <w:rFonts w:cstheme="minorHAnsi"/>
          <w:szCs w:val="24"/>
          <w:u w:val="single"/>
        </w:rPr>
      </w:pPr>
      <w:r w:rsidRPr="00537EDF">
        <w:rPr>
          <w:rFonts w:cstheme="minorHAnsi"/>
          <w:szCs w:val="24"/>
          <w:u w:val="single"/>
        </w:rPr>
        <w:t>Conclusion</w:t>
      </w:r>
      <w:r>
        <w:rPr>
          <w:rFonts w:cstheme="minorHAnsi"/>
          <w:szCs w:val="24"/>
          <w:u w:val="single"/>
        </w:rPr>
        <w:t xml:space="preserve"> and Discussion of Pros/Cons</w:t>
      </w:r>
    </w:p>
    <w:p w14:paraId="43BBEBC4" w14:textId="7DFCE3E6" w:rsidR="00537EDF" w:rsidRDefault="00537EDF" w:rsidP="00537EDF">
      <w:pPr>
        <w:spacing w:after="0" w:line="240" w:lineRule="auto"/>
        <w:jc w:val="center"/>
        <w:rPr>
          <w:rFonts w:cstheme="minorHAnsi"/>
          <w:szCs w:val="24"/>
          <w:u w:val="single"/>
        </w:rPr>
      </w:pPr>
    </w:p>
    <w:p w14:paraId="69BFF3A0" w14:textId="7C19ACF4" w:rsidR="00537EDF" w:rsidRPr="00537EDF" w:rsidRDefault="00537EDF" w:rsidP="00537EDF">
      <w:pPr>
        <w:spacing w:after="0" w:line="240" w:lineRule="auto"/>
        <w:rPr>
          <w:rFonts w:cstheme="minorHAnsi"/>
          <w:szCs w:val="24"/>
        </w:rPr>
      </w:pPr>
      <w:r>
        <w:rPr>
          <w:rFonts w:cstheme="minorHAnsi"/>
          <w:szCs w:val="24"/>
        </w:rPr>
        <w:t xml:space="preserve">Infection rates can be used to track HAI incidence in a specific facility/unit over time, especially when the SIR cannot be calculated for a facility. Rates provide an obtainable metric for the facility to use in tracking their HAIs, which can be helpful for prevention efforts. However, caution should be used when interpreting rates. Rates are not risk adjusted, and therefore are easily influenced by changing factors within a hospital, such as changes in patient population or laboratory testing practices. Rates should be stratified by the significant risk factors when available, which may require substantial analytic work outside of NHSN. The layout, organization, and text around the displayed rate tables should clearly discourage comparison of rates between facilities. Due to the nuances and careful interpretation needed when reviewing rates, this metric may not be suitable for a consumer audience. Furthermore, national rates are currently not available from NHSN, and therefore benchmarking can </w:t>
      </w:r>
      <w:bookmarkStart w:id="1" w:name="_GoBack"/>
      <w:bookmarkEnd w:id="1"/>
      <w:r>
        <w:rPr>
          <w:rFonts w:cstheme="minorHAnsi"/>
          <w:szCs w:val="24"/>
        </w:rPr>
        <w:t>be performed by comparing the facility to itself over time.</w:t>
      </w:r>
    </w:p>
    <w:sectPr w:rsidR="00537EDF" w:rsidRPr="00537EDF" w:rsidSect="00D26908">
      <w:footerReference w:type="default" r:id="rId10"/>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Weiner, Lindsey (CDC/OID/NCEZID)" w:date="2018-09-07T07:51:00Z" w:initials="WL(">
    <w:p w14:paraId="1CECF3C4" w14:textId="42A4B28C" w:rsidR="00102724" w:rsidRDefault="00102724">
      <w:pPr>
        <w:pStyle w:val="CommentText"/>
      </w:pPr>
      <w:r>
        <w:rPr>
          <w:rStyle w:val="CommentReference"/>
        </w:rPr>
        <w:annotationRef/>
      </w:r>
      <w:r>
        <w:t xml:space="preserve">Has the workgroup discussed this? I would vote for option 2.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ECF3C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BD10D" w14:textId="77777777" w:rsidR="006B50F7" w:rsidRDefault="006B50F7" w:rsidP="006B50F7">
      <w:pPr>
        <w:spacing w:after="0" w:line="240" w:lineRule="auto"/>
      </w:pPr>
      <w:r>
        <w:separator/>
      </w:r>
    </w:p>
  </w:endnote>
  <w:endnote w:type="continuationSeparator" w:id="0">
    <w:p w14:paraId="4C045B6A" w14:textId="77777777" w:rsidR="006B50F7" w:rsidRDefault="006B50F7" w:rsidP="006B5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T56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069934"/>
      <w:docPartObj>
        <w:docPartGallery w:val="Page Numbers (Bottom of Page)"/>
        <w:docPartUnique/>
      </w:docPartObj>
    </w:sdtPr>
    <w:sdtEndPr>
      <w:rPr>
        <w:noProof/>
      </w:rPr>
    </w:sdtEndPr>
    <w:sdtContent>
      <w:p w14:paraId="1854843D" w14:textId="0D72F53D" w:rsidR="006B50F7" w:rsidRDefault="006B50F7">
        <w:pPr>
          <w:pStyle w:val="Footer"/>
          <w:jc w:val="center"/>
        </w:pPr>
        <w:r>
          <w:fldChar w:fldCharType="begin"/>
        </w:r>
        <w:r>
          <w:instrText xml:space="preserve"> PAGE   \* MERGEFORMAT </w:instrText>
        </w:r>
        <w:r>
          <w:fldChar w:fldCharType="separate"/>
        </w:r>
        <w:r w:rsidR="00C465FF">
          <w:rPr>
            <w:noProof/>
          </w:rPr>
          <w:t>1</w:t>
        </w:r>
        <w:r>
          <w:rPr>
            <w:noProof/>
          </w:rPr>
          <w:fldChar w:fldCharType="end"/>
        </w:r>
      </w:p>
    </w:sdtContent>
  </w:sdt>
  <w:p w14:paraId="321F3E33" w14:textId="77777777" w:rsidR="006B50F7" w:rsidRDefault="006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E2C00" w14:textId="77777777" w:rsidR="006B50F7" w:rsidRDefault="006B50F7" w:rsidP="006B50F7">
      <w:pPr>
        <w:spacing w:after="0" w:line="240" w:lineRule="auto"/>
      </w:pPr>
      <w:r>
        <w:separator/>
      </w:r>
    </w:p>
  </w:footnote>
  <w:footnote w:type="continuationSeparator" w:id="0">
    <w:p w14:paraId="339A2010" w14:textId="77777777" w:rsidR="006B50F7" w:rsidRDefault="006B50F7" w:rsidP="006B5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F58D9"/>
    <w:multiLevelType w:val="hybridMultilevel"/>
    <w:tmpl w:val="EFE483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46A7A"/>
    <w:multiLevelType w:val="hybridMultilevel"/>
    <w:tmpl w:val="44024C34"/>
    <w:lvl w:ilvl="0" w:tplc="C302B650">
      <w:start w:val="1"/>
      <w:numFmt w:val="lowerLetter"/>
      <w:lvlText w:val="%1)"/>
      <w:lvlJc w:val="left"/>
      <w:pPr>
        <w:ind w:left="1440" w:hanging="360"/>
      </w:pPr>
      <w:rPr>
        <w:b w:val="0"/>
      </w:rPr>
    </w:lvl>
    <w:lvl w:ilvl="1" w:tplc="19289A0C">
      <w:start w:val="1"/>
      <w:numFmt w:val="upperRoman"/>
      <w:lvlText w:val="%2."/>
      <w:lvlJc w:val="right"/>
      <w:pPr>
        <w:ind w:left="1152" w:firstLine="828"/>
      </w:pPr>
      <w:rPr>
        <w:rFonts w:hint="default"/>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3E254E2"/>
    <w:multiLevelType w:val="hybridMultilevel"/>
    <w:tmpl w:val="BA829FE4"/>
    <w:lvl w:ilvl="0" w:tplc="870C53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3F0295"/>
    <w:multiLevelType w:val="hybridMultilevel"/>
    <w:tmpl w:val="60169B1E"/>
    <w:lvl w:ilvl="0" w:tplc="B1688F00">
      <w:start w:val="1"/>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AE22485"/>
    <w:multiLevelType w:val="hybridMultilevel"/>
    <w:tmpl w:val="7E0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65550B"/>
    <w:multiLevelType w:val="hybridMultilevel"/>
    <w:tmpl w:val="6386A6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5"/>
  </w:num>
  <w:num w:numId="5">
    <w:abstractNumId w:val="0"/>
  </w:num>
  <w:num w:numId="6">
    <w:abstractNumId w:val="1"/>
  </w:num>
  <w:num w:numId="7">
    <w:abstractNumId w:val="7"/>
  </w:num>
  <w:num w:numId="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iner, Lindsey (CDC/OID/NCEZID)">
    <w15:presenceInfo w15:providerId="AD" w15:userId="S-1-5-21-1207783550-2075000910-922709458-3101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33C"/>
    <w:rsid w:val="00102724"/>
    <w:rsid w:val="00183B5C"/>
    <w:rsid w:val="001C272B"/>
    <w:rsid w:val="002C0A75"/>
    <w:rsid w:val="00390A30"/>
    <w:rsid w:val="00503B9B"/>
    <w:rsid w:val="00537EDF"/>
    <w:rsid w:val="005923C2"/>
    <w:rsid w:val="0065433C"/>
    <w:rsid w:val="006B50F7"/>
    <w:rsid w:val="00822B2C"/>
    <w:rsid w:val="008948A1"/>
    <w:rsid w:val="008C7757"/>
    <w:rsid w:val="00956ACE"/>
    <w:rsid w:val="00C318E6"/>
    <w:rsid w:val="00C45C3D"/>
    <w:rsid w:val="00C465FF"/>
    <w:rsid w:val="00CA3B49"/>
    <w:rsid w:val="00D26908"/>
    <w:rsid w:val="00DF6819"/>
    <w:rsid w:val="00E63A7D"/>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17E16"/>
  <w15:chartTrackingRefBased/>
  <w15:docId w15:val="{DA242DF0-EB05-46FA-954C-10CB8BE8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33C"/>
    <w:pPr>
      <w:ind w:left="720"/>
      <w:contextualSpacing/>
    </w:pPr>
  </w:style>
  <w:style w:type="character" w:styleId="Hyperlink">
    <w:name w:val="Hyperlink"/>
    <w:basedOn w:val="DefaultParagraphFont"/>
    <w:uiPriority w:val="99"/>
    <w:unhideWhenUsed/>
    <w:rsid w:val="008948A1"/>
    <w:rPr>
      <w:color w:val="0563C1" w:themeColor="hyperlink"/>
      <w:u w:val="single"/>
    </w:rPr>
  </w:style>
  <w:style w:type="character" w:styleId="CommentReference">
    <w:name w:val="annotation reference"/>
    <w:basedOn w:val="DefaultParagraphFont"/>
    <w:uiPriority w:val="99"/>
    <w:semiHidden/>
    <w:unhideWhenUsed/>
    <w:rsid w:val="008948A1"/>
    <w:rPr>
      <w:sz w:val="16"/>
      <w:szCs w:val="16"/>
    </w:rPr>
  </w:style>
  <w:style w:type="paragraph" w:styleId="CommentText">
    <w:name w:val="annotation text"/>
    <w:basedOn w:val="Normal"/>
    <w:link w:val="CommentTextChar"/>
    <w:uiPriority w:val="99"/>
    <w:semiHidden/>
    <w:unhideWhenUsed/>
    <w:rsid w:val="008948A1"/>
    <w:pPr>
      <w:spacing w:line="240" w:lineRule="auto"/>
    </w:pPr>
    <w:rPr>
      <w:sz w:val="20"/>
      <w:szCs w:val="20"/>
    </w:rPr>
  </w:style>
  <w:style w:type="character" w:customStyle="1" w:styleId="CommentTextChar">
    <w:name w:val="Comment Text Char"/>
    <w:basedOn w:val="DefaultParagraphFont"/>
    <w:link w:val="CommentText"/>
    <w:uiPriority w:val="99"/>
    <w:semiHidden/>
    <w:rsid w:val="008948A1"/>
    <w:rPr>
      <w:sz w:val="20"/>
      <w:szCs w:val="20"/>
    </w:rPr>
  </w:style>
  <w:style w:type="paragraph" w:styleId="CommentSubject">
    <w:name w:val="annotation subject"/>
    <w:basedOn w:val="CommentText"/>
    <w:next w:val="CommentText"/>
    <w:link w:val="CommentSubjectChar"/>
    <w:uiPriority w:val="99"/>
    <w:semiHidden/>
    <w:unhideWhenUsed/>
    <w:rsid w:val="008948A1"/>
    <w:rPr>
      <w:b/>
      <w:bCs/>
    </w:rPr>
  </w:style>
  <w:style w:type="character" w:customStyle="1" w:styleId="CommentSubjectChar">
    <w:name w:val="Comment Subject Char"/>
    <w:basedOn w:val="CommentTextChar"/>
    <w:link w:val="CommentSubject"/>
    <w:uiPriority w:val="99"/>
    <w:semiHidden/>
    <w:rsid w:val="008948A1"/>
    <w:rPr>
      <w:b/>
      <w:bCs/>
      <w:sz w:val="20"/>
      <w:szCs w:val="20"/>
    </w:rPr>
  </w:style>
  <w:style w:type="paragraph" w:styleId="BalloonText">
    <w:name w:val="Balloon Text"/>
    <w:basedOn w:val="Normal"/>
    <w:link w:val="BalloonTextChar"/>
    <w:uiPriority w:val="99"/>
    <w:semiHidden/>
    <w:unhideWhenUsed/>
    <w:rsid w:val="008948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8A1"/>
    <w:rPr>
      <w:rFonts w:ascii="Segoe UI" w:hAnsi="Segoe UI" w:cs="Segoe UI"/>
      <w:sz w:val="18"/>
      <w:szCs w:val="18"/>
    </w:rPr>
  </w:style>
  <w:style w:type="table" w:styleId="TableGrid">
    <w:name w:val="Table Grid"/>
    <w:basedOn w:val="TableNormal"/>
    <w:uiPriority w:val="39"/>
    <w:rsid w:val="00183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5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0F7"/>
  </w:style>
  <w:style w:type="paragraph" w:styleId="Footer">
    <w:name w:val="footer"/>
    <w:basedOn w:val="Normal"/>
    <w:link w:val="FooterChar"/>
    <w:uiPriority w:val="99"/>
    <w:unhideWhenUsed/>
    <w:rsid w:val="006B5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dc.gov/nhsn/ps-analysis-resource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Weiner, Lindsey (CDC/OID/NCEZID)</cp:lastModifiedBy>
  <cp:revision>6</cp:revision>
  <dcterms:created xsi:type="dcterms:W3CDTF">2018-09-07T11:42:00Z</dcterms:created>
  <dcterms:modified xsi:type="dcterms:W3CDTF">2018-09-07T12:11:00Z</dcterms:modified>
</cp:coreProperties>
</file>