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DB2" w:rsidRPr="007C0DB2" w:rsidRDefault="007C0DB2" w:rsidP="007C0DB2">
      <w:pPr>
        <w:spacing w:after="0" w:line="240" w:lineRule="auto"/>
        <w:jc w:val="both"/>
        <w:rPr>
          <w:b/>
          <w:sz w:val="32"/>
        </w:rPr>
      </w:pPr>
      <w:r w:rsidRPr="007C0DB2">
        <w:rPr>
          <w:b/>
          <w:noProof/>
          <w:sz w:val="32"/>
        </w:rPr>
        <mc:AlternateContent>
          <mc:Choice Requires="wps">
            <w:drawing>
              <wp:anchor distT="0" distB="0" distL="114300" distR="114300" simplePos="0" relativeHeight="251661312" behindDoc="0" locked="0" layoutInCell="1" allowOverlap="1" wp14:anchorId="4825480F" wp14:editId="594A4FD3">
                <wp:simplePos x="0" y="0"/>
                <wp:positionH relativeFrom="column">
                  <wp:posOffset>-47625</wp:posOffset>
                </wp:positionH>
                <wp:positionV relativeFrom="paragraph">
                  <wp:posOffset>-256540</wp:posOffset>
                </wp:positionV>
                <wp:extent cx="6057900" cy="4572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457200"/>
                        </a:xfrm>
                        <a:prstGeom prst="rect">
                          <a:avLst/>
                        </a:prstGeom>
                        <a:solidFill>
                          <a:schemeClr val="bg1">
                            <a:lumMod val="85000"/>
                          </a:schemeClr>
                        </a:solidFill>
                        <a:ln w="9525">
                          <a:solidFill>
                            <a:srgbClr val="000000"/>
                          </a:solidFill>
                          <a:miter lim="800000"/>
                          <a:headEnd/>
                          <a:tailEnd/>
                        </a:ln>
                      </wps:spPr>
                      <wps:txbx>
                        <w:txbxContent>
                          <w:p w:rsidR="007C0DB2" w:rsidRPr="007C0DB2" w:rsidRDefault="007C0DB2" w:rsidP="007C0DB2">
                            <w:pPr>
                              <w:jc w:val="center"/>
                              <w:rPr>
                                <w:b/>
                                <w:sz w:val="32"/>
                              </w:rPr>
                            </w:pPr>
                            <w:r w:rsidRPr="007C0DB2">
                              <w:rPr>
                                <w:b/>
                                <w:sz w:val="32"/>
                              </w:rPr>
                              <w:t xml:space="preserve">Healthcare-Associated </w:t>
                            </w:r>
                            <w:r>
                              <w:rPr>
                                <w:b/>
                                <w:sz w:val="32"/>
                              </w:rPr>
                              <w:t xml:space="preserve">Infections (HAI) Drug Diversion (DD) </w:t>
                            </w:r>
                            <w:r w:rsidRPr="007C0DB2">
                              <w:rPr>
                                <w:b/>
                                <w:sz w:val="32"/>
                              </w:rPr>
                              <w:t>Toolkit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25480F" id="_x0000_t202" coordsize="21600,21600" o:spt="202" path="m,l,21600r21600,l21600,xe">
                <v:stroke joinstyle="miter"/>
                <v:path gradientshapeok="t" o:connecttype="rect"/>
              </v:shapetype>
              <v:shape id="Text Box 2" o:spid="_x0000_s1026" type="#_x0000_t202" style="position:absolute;left:0;text-align:left;margin-left:-3.75pt;margin-top:-20.2pt;width:477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" fillcolor="#d8d8d8 [2732]">
                <v:textbox>
                  <w:txbxContent>
                    <w:p w:rsidR="007C0DB2" w:rsidRPr="007C0DB2" w:rsidRDefault="007C0DB2" w:rsidP="007C0DB2">
                      <w:pPr>
                        <w:jc w:val="center"/>
                        <w:rPr>
                          <w:b/>
                          <w:sz w:val="32"/>
                        </w:rPr>
                      </w:pPr>
                      <w:r w:rsidRPr="007C0DB2">
                        <w:rPr>
                          <w:b/>
                          <w:sz w:val="32"/>
                        </w:rPr>
                        <w:t xml:space="preserve">Healthcare-Associated </w:t>
                      </w:r>
                      <w:r>
                        <w:rPr>
                          <w:b/>
                          <w:sz w:val="32"/>
                        </w:rPr>
                        <w:t xml:space="preserve">Infections (HAI) Drug Diversion (DD) </w:t>
                      </w:r>
                      <w:r w:rsidRPr="007C0DB2">
                        <w:rPr>
                          <w:b/>
                          <w:sz w:val="32"/>
                        </w:rPr>
                        <w:t>Toolkit</w:t>
                      </w:r>
                    </w:p>
                  </w:txbxContent>
                </v:textbox>
              </v:shape>
            </w:pict>
          </mc:Fallback>
        </mc:AlternateContent>
      </w:r>
    </w:p>
    <w:p w:rsidR="007146C3" w:rsidRDefault="007146C3" w:rsidP="007C0DB2">
      <w:pPr>
        <w:spacing w:after="0" w:line="240" w:lineRule="auto"/>
        <w:jc w:val="both"/>
      </w:pPr>
    </w:p>
    <w:p w:rsidR="00826BFE" w:rsidRDefault="00826BFE" w:rsidP="007C0DB2">
      <w:pPr>
        <w:spacing w:after="0" w:line="240" w:lineRule="auto"/>
        <w:jc w:val="both"/>
      </w:pPr>
      <w:r w:rsidRPr="00826BFE">
        <w:t xml:space="preserve">Drug diversion is defined as the transfer of any legally prescribed medication from the individual for whom it was prescribed to another person for any illicit use. Addiction to various prescription narcotics (opioids) is a major driver of drug diversion. Drug diversion incidents are a major factor of prescription opioid abuse and misuse. Drug diversion in healthcare settings can result in patient harm, and in cases of injectable drugs, risks of infection from bloodborne pathogens. </w:t>
      </w:r>
      <w:r>
        <w:t xml:space="preserve"> Between 2004-2014, over 100 patients were infected among nearly 30,0</w:t>
      </w:r>
      <w:bookmarkStart w:id="0" w:name="_GoBack"/>
      <w:bookmarkEnd w:id="0"/>
      <w:r>
        <w:t>00 patients notified a</w:t>
      </w:r>
      <w:r w:rsidR="00912C6B">
        <w:t xml:space="preserve">nd/or recommended for testing </w:t>
      </w:r>
      <w:r w:rsidR="00912C6B" w:rsidRPr="00912C6B">
        <w:rPr>
          <w:highlight w:val="yellow"/>
        </w:rPr>
        <w:t>(INSERT REFERENCE)</w:t>
      </w:r>
      <w:r w:rsidR="00912C6B">
        <w:t>.</w:t>
      </w:r>
    </w:p>
    <w:p w:rsidR="007C0DB2" w:rsidRDefault="007C0DB2" w:rsidP="007C0DB2">
      <w:pPr>
        <w:spacing w:after="0" w:line="240" w:lineRule="auto"/>
        <w:jc w:val="both"/>
      </w:pPr>
    </w:p>
    <w:p w:rsidR="00826BFE" w:rsidRDefault="00826BFE" w:rsidP="00826BFE">
      <w:pPr>
        <w:spacing w:after="0" w:line="240" w:lineRule="auto"/>
        <w:jc w:val="both"/>
      </w:pPr>
      <w:r>
        <w:t xml:space="preserve">In 2014, the Council of State and Territorial Epidemiologists (CSTE) Healthcare-Associated Infection (HAI) Subcommittee convened a workgroup to </w:t>
      </w:r>
      <w:r w:rsidRPr="00826BFE">
        <w:t xml:space="preserve">support the public health response to drug diversion in healthcare settings. </w:t>
      </w:r>
      <w:r>
        <w:t xml:space="preserve"> </w:t>
      </w:r>
      <w:r w:rsidRPr="00826BFE">
        <w:t xml:space="preserve">The CSTE Drug Diversion Workgroup </w:t>
      </w:r>
      <w:r>
        <w:t>has been</w:t>
      </w:r>
      <w:r w:rsidRPr="00826BFE">
        <w:t xml:space="preserve"> working to define the role of state and local health departments in investigating and responding to these incidents and determining public health risk for bloodborne pathogen transmission.  </w:t>
      </w:r>
      <w:r>
        <w:t xml:space="preserve"> In October 2015, the Drug Diversion Workgroup assessed state and territorial health department healthcare-associated infection coordinators and requested review by state epidemiologists as part of a larger infection prevention and control assessment. The goal was to understand the frequency of drug diversion events, regulatory authority, reporting requirements, range of actions available, and partner engagement.</w:t>
      </w:r>
    </w:p>
    <w:p w:rsidR="00826BFE" w:rsidRDefault="00826BFE" w:rsidP="00826BFE">
      <w:pPr>
        <w:spacing w:after="0" w:line="240" w:lineRule="auto"/>
        <w:jc w:val="both"/>
      </w:pPr>
    </w:p>
    <w:p w:rsidR="00826BFE" w:rsidRDefault="00826BFE" w:rsidP="00826BFE">
      <w:pPr>
        <w:spacing w:after="0" w:line="240" w:lineRule="auto"/>
        <w:jc w:val="both"/>
      </w:pPr>
      <w:r>
        <w:t xml:space="preserve">Within the last five years, 26 out of 51 (51%) responding public health agencies investigated drug diversion as either part of an outbreak, an event with unknown disease transmission, or both. At least one event was investigated in 2010, eight in 2011, nine in 2012, 23 in 2013, and 24 in 2014.  In regards to state laws and regulations, 16 (31%) public health agencies responded that drug diversion incidents involving injectable drugs are required to be reported. Four (8%) feel prepared to investigate an event with no additional resources or training, while 23 (45%) feel their agencies are prepared but may require additional assistance including technical support from CDC or other state agencies, legal assistance, and additional staff. Nineteen responded that they are not prepared and require additional staff training (18%) or budgeted resources (20%), and five (10%) do not view drug diversion investigations as a role for their agency.  Investigation tools, model protocols, laws and regulations, a policy toolkit, more outreach and collaboration across disciplines, and additional recovery resources for healthcare providers suffering from addiction were reported to be necessary to effectively prevent and control drug diversion events in healthcare settings.  </w:t>
      </w:r>
    </w:p>
    <w:p w:rsidR="00826BFE" w:rsidRDefault="00826BFE" w:rsidP="00826BFE">
      <w:pPr>
        <w:tabs>
          <w:tab w:val="left" w:pos="2325"/>
        </w:tabs>
        <w:spacing w:after="0" w:line="240" w:lineRule="auto"/>
        <w:jc w:val="both"/>
      </w:pPr>
      <w:r>
        <w:tab/>
      </w:r>
    </w:p>
    <w:p w:rsidR="00826BFE" w:rsidRDefault="00912C6B" w:rsidP="00826BFE">
      <w:pPr>
        <w:tabs>
          <w:tab w:val="left" w:pos="2325"/>
        </w:tabs>
        <w:spacing w:after="0" w:line="240" w:lineRule="auto"/>
        <w:jc w:val="both"/>
      </w:pPr>
      <w:r>
        <w:t xml:space="preserve">The 2015 </w:t>
      </w:r>
      <w:r w:rsidR="00826BFE">
        <w:t xml:space="preserve">assessment identified </w:t>
      </w:r>
      <w:r>
        <w:t xml:space="preserve">several </w:t>
      </w:r>
      <w:r w:rsidR="00826BFE">
        <w:t>needs</w:t>
      </w:r>
      <w:r>
        <w:t>, including protocols and tools to identify and respond to drug diversion events.</w:t>
      </w:r>
      <w:r w:rsidR="00826BFE">
        <w:t xml:space="preserve">  </w:t>
      </w:r>
      <w:r>
        <w:t>This toolkit is intended to define</w:t>
      </w:r>
      <w:r w:rsidR="00826BFE">
        <w:t xml:space="preserve"> best practices and recommended methods for organizations to respond to drug diversion and tampering events that have potential to cause public health harm.  </w:t>
      </w:r>
      <w:r>
        <w:t>Other areas</w:t>
      </w:r>
      <w:r w:rsidR="003E3E50">
        <w:t xml:space="preserve"> regarding polic</w:t>
      </w:r>
      <w:r>
        <w:t>y and addiction and recovery resources ar</w:t>
      </w:r>
      <w:r w:rsidR="003E3E50">
        <w:t xml:space="preserve">e not addressed in this toolkit due to the large scope and capacity for the workgroup to address those larger topics in such a document. </w:t>
      </w:r>
    </w:p>
    <w:p w:rsidR="00826BFE" w:rsidRDefault="00826BFE" w:rsidP="00826BFE">
      <w:pPr>
        <w:spacing w:after="0" w:line="240" w:lineRule="auto"/>
        <w:jc w:val="both"/>
      </w:pPr>
    </w:p>
    <w:p w:rsidR="007146C3" w:rsidRDefault="007146C3" w:rsidP="007C0DB2">
      <w:pPr>
        <w:spacing w:after="0" w:line="240" w:lineRule="auto"/>
        <w:jc w:val="both"/>
      </w:pPr>
      <w:r>
        <w:t xml:space="preserve">The toolkit aims to improve the ability </w:t>
      </w:r>
      <w:r w:rsidR="003E3E50">
        <w:t xml:space="preserve">and timeliness </w:t>
      </w:r>
      <w:r>
        <w:t xml:space="preserve">for public health to </w:t>
      </w:r>
      <w:r w:rsidR="003E3E50">
        <w:t>respond to drug diversion and tampering events</w:t>
      </w:r>
      <w:r>
        <w:t xml:space="preserve">, thereby </w:t>
      </w:r>
      <w:r w:rsidR="003E3E50">
        <w:t xml:space="preserve">identifying potential outbreaks earlier and prevention further patient harm. </w:t>
      </w:r>
      <w:r>
        <w:t xml:space="preserve"> </w:t>
      </w:r>
    </w:p>
    <w:p w:rsidR="007146C3" w:rsidRDefault="007146C3" w:rsidP="007C0DB2">
      <w:pPr>
        <w:spacing w:after="0" w:line="240" w:lineRule="auto"/>
        <w:jc w:val="both"/>
      </w:pPr>
    </w:p>
    <w:p w:rsidR="003E3E50" w:rsidRDefault="003E3E50" w:rsidP="007C0DB2">
      <w:pPr>
        <w:spacing w:after="0" w:line="240" w:lineRule="auto"/>
        <w:jc w:val="both"/>
      </w:pPr>
    </w:p>
    <w:p w:rsidR="003E3E50" w:rsidRDefault="003E3E50" w:rsidP="007C0DB2">
      <w:pPr>
        <w:spacing w:after="0" w:line="240" w:lineRule="auto"/>
        <w:jc w:val="both"/>
      </w:pPr>
    </w:p>
    <w:p w:rsidR="003E3E50" w:rsidRDefault="003E3E50" w:rsidP="007C0DB2">
      <w:pPr>
        <w:spacing w:after="0" w:line="240" w:lineRule="auto"/>
        <w:jc w:val="both"/>
      </w:pPr>
    </w:p>
    <w:p w:rsidR="007146C3" w:rsidRDefault="007146C3" w:rsidP="007C0DB2">
      <w:pPr>
        <w:spacing w:after="0" w:line="240" w:lineRule="auto"/>
        <w:jc w:val="both"/>
      </w:pPr>
      <w:r>
        <w:lastRenderedPageBreak/>
        <w:t xml:space="preserve">HAI Data Analysis and Presentation Standardization Toolkit  </w:t>
      </w:r>
    </w:p>
    <w:p w:rsidR="007146C3" w:rsidRDefault="007146C3" w:rsidP="007C0DB2">
      <w:pPr>
        <w:spacing w:after="0" w:line="240" w:lineRule="auto"/>
        <w:jc w:val="both"/>
      </w:pPr>
      <w:r>
        <w:t xml:space="preserve">This complete PDF includes all sections of the HAI </w:t>
      </w:r>
      <w:r w:rsidR="003E3E50">
        <w:t>DD</w:t>
      </w:r>
      <w:r>
        <w:t xml:space="preserve"> Toolkit. For individual sections, see below. </w:t>
      </w:r>
    </w:p>
    <w:p w:rsidR="007146C3" w:rsidRDefault="007146C3" w:rsidP="007C0DB2">
      <w:pPr>
        <w:spacing w:after="0" w:line="240" w:lineRule="auto"/>
        <w:jc w:val="both"/>
      </w:pPr>
      <w:r>
        <w:t xml:space="preserve"> </w:t>
      </w:r>
    </w:p>
    <w:p w:rsidR="007146C3" w:rsidRDefault="007146C3" w:rsidP="007C0DB2">
      <w:pPr>
        <w:spacing w:after="0" w:line="240" w:lineRule="auto"/>
        <w:jc w:val="both"/>
      </w:pPr>
      <w:r>
        <w:t xml:space="preserve">1. Basic Overview and Table of Contents </w:t>
      </w:r>
    </w:p>
    <w:p w:rsidR="007146C3" w:rsidRDefault="007146C3" w:rsidP="007C0DB2">
      <w:pPr>
        <w:spacing w:after="0" w:line="240" w:lineRule="auto"/>
        <w:jc w:val="both"/>
      </w:pPr>
      <w:r>
        <w:t xml:space="preserve"> High-level summary of the main toolkit recommendations, and explanations for each toolkit section </w:t>
      </w:r>
    </w:p>
    <w:p w:rsidR="007146C3" w:rsidRDefault="007146C3" w:rsidP="007C0DB2">
      <w:pPr>
        <w:spacing w:after="0" w:line="240" w:lineRule="auto"/>
        <w:jc w:val="both"/>
      </w:pPr>
    </w:p>
    <w:p w:rsidR="007146C3" w:rsidRDefault="007146C3" w:rsidP="007C0DB2">
      <w:pPr>
        <w:spacing w:after="0" w:line="240" w:lineRule="auto"/>
        <w:jc w:val="both"/>
      </w:pPr>
      <w:r>
        <w:t xml:space="preserve">2. Toolkit Introduction </w:t>
      </w:r>
    </w:p>
    <w:p w:rsidR="007146C3" w:rsidRDefault="007146C3" w:rsidP="007C0DB2">
      <w:pPr>
        <w:spacing w:after="0" w:line="240" w:lineRule="auto"/>
        <w:jc w:val="both"/>
      </w:pPr>
      <w:r>
        <w:t xml:space="preserve"> History and process of developing the toolkit and summary of relevant literature and prior research </w:t>
      </w:r>
    </w:p>
    <w:p w:rsidR="00781CC5" w:rsidRDefault="00781CC5" w:rsidP="007C0DB2">
      <w:pPr>
        <w:spacing w:after="0" w:line="240" w:lineRule="auto"/>
        <w:jc w:val="both"/>
      </w:pPr>
    </w:p>
    <w:p w:rsidR="00781CC5" w:rsidRDefault="00781CC5" w:rsidP="007C0DB2">
      <w:pPr>
        <w:spacing w:after="0" w:line="240" w:lineRule="auto"/>
        <w:jc w:val="both"/>
      </w:pPr>
      <w:r>
        <w:t>3. Potential Partners in Identifying and Responding to Events</w:t>
      </w:r>
    </w:p>
    <w:p w:rsidR="004C2355" w:rsidRDefault="004C2355" w:rsidP="00C22799">
      <w:pPr>
        <w:pStyle w:val="ListParagraph"/>
        <w:numPr>
          <w:ilvl w:val="0"/>
          <w:numId w:val="2"/>
        </w:numPr>
        <w:spacing w:after="0" w:line="240" w:lineRule="auto"/>
        <w:jc w:val="both"/>
      </w:pPr>
      <w:r>
        <w:t xml:space="preserve">Guidance for engaging outside partners </w:t>
      </w:r>
    </w:p>
    <w:p w:rsidR="004C2355" w:rsidRDefault="004C2355" w:rsidP="00C22799">
      <w:pPr>
        <w:pStyle w:val="ListParagraph"/>
        <w:numPr>
          <w:ilvl w:val="0"/>
          <w:numId w:val="2"/>
        </w:numPr>
        <w:spacing w:after="0" w:line="240" w:lineRule="auto"/>
        <w:jc w:val="both"/>
      </w:pPr>
      <w:r>
        <w:t>Examples from state and local health departments</w:t>
      </w:r>
    </w:p>
    <w:p w:rsidR="007146C3" w:rsidRDefault="007146C3" w:rsidP="007C0DB2">
      <w:pPr>
        <w:spacing w:after="0" w:line="240" w:lineRule="auto"/>
        <w:jc w:val="both"/>
      </w:pPr>
    </w:p>
    <w:p w:rsidR="007146C3" w:rsidRDefault="00781CC5" w:rsidP="007C0DB2">
      <w:pPr>
        <w:spacing w:after="0" w:line="240" w:lineRule="auto"/>
        <w:jc w:val="both"/>
      </w:pPr>
      <w:r>
        <w:t>4</w:t>
      </w:r>
      <w:r w:rsidR="007146C3">
        <w:t xml:space="preserve">. Methods for </w:t>
      </w:r>
      <w:r w:rsidR="003E3E50">
        <w:t>Identifying and Responding to Drug Diversion and Tampering Events</w:t>
      </w:r>
      <w:r w:rsidR="007146C3">
        <w:t xml:space="preserve"> </w:t>
      </w:r>
    </w:p>
    <w:p w:rsidR="003E3E50" w:rsidRDefault="007146C3" w:rsidP="003E3E50">
      <w:pPr>
        <w:pStyle w:val="ListParagraph"/>
        <w:numPr>
          <w:ilvl w:val="0"/>
          <w:numId w:val="1"/>
        </w:numPr>
        <w:spacing w:after="0" w:line="240" w:lineRule="auto"/>
        <w:jc w:val="both"/>
      </w:pPr>
      <w:r>
        <w:t xml:space="preserve">Guidance </w:t>
      </w:r>
      <w:r w:rsidR="003E3E50">
        <w:t>for identifying drug diversion</w:t>
      </w:r>
      <w:r w:rsidR="005C0CA0">
        <w:t xml:space="preserve"> and tampering events</w:t>
      </w:r>
      <w:r w:rsidR="003E3E50">
        <w:t>; including potential areas for analysis and review.</w:t>
      </w:r>
    </w:p>
    <w:p w:rsidR="007146C3" w:rsidRDefault="003E3E50" w:rsidP="003E3E50">
      <w:pPr>
        <w:pStyle w:val="ListParagraph"/>
        <w:numPr>
          <w:ilvl w:val="0"/>
          <w:numId w:val="1"/>
        </w:numPr>
        <w:spacing w:after="0" w:line="240" w:lineRule="auto"/>
        <w:jc w:val="both"/>
      </w:pPr>
      <w:r>
        <w:t>Guidance for responding to reported or i</w:t>
      </w:r>
      <w:r w:rsidR="005C0CA0">
        <w:t xml:space="preserve">dentified events; including if there is potential risk requiring patient notification. </w:t>
      </w:r>
    </w:p>
    <w:p w:rsidR="003E3E50" w:rsidRDefault="005C0CA0" w:rsidP="003E3E50">
      <w:pPr>
        <w:pStyle w:val="ListParagraph"/>
        <w:numPr>
          <w:ilvl w:val="0"/>
          <w:numId w:val="1"/>
        </w:numPr>
        <w:spacing w:after="0" w:line="240" w:lineRule="auto"/>
        <w:jc w:val="both"/>
      </w:pPr>
      <w:r>
        <w:t xml:space="preserve">Examples from state and local health jurisdictions. </w:t>
      </w:r>
    </w:p>
    <w:p w:rsidR="003E3E50" w:rsidRDefault="003E3E50" w:rsidP="003E3E50">
      <w:pPr>
        <w:spacing w:after="0" w:line="240" w:lineRule="auto"/>
        <w:jc w:val="both"/>
      </w:pPr>
    </w:p>
    <w:p w:rsidR="007146C3" w:rsidRDefault="00781CC5" w:rsidP="005C0CA0">
      <w:pPr>
        <w:spacing w:after="0" w:line="240" w:lineRule="auto"/>
        <w:jc w:val="both"/>
      </w:pPr>
      <w:r>
        <w:t>5</w:t>
      </w:r>
      <w:r w:rsidR="007146C3">
        <w:t xml:space="preserve">. </w:t>
      </w:r>
      <w:r w:rsidR="005C0CA0">
        <w:t>Patient Notification Following Drug Diversion and Tampering Events</w:t>
      </w:r>
    </w:p>
    <w:p w:rsidR="005C0CA0" w:rsidRDefault="005C0CA0" w:rsidP="005C0CA0">
      <w:pPr>
        <w:pStyle w:val="ListParagraph"/>
        <w:numPr>
          <w:ilvl w:val="0"/>
          <w:numId w:val="1"/>
        </w:numPr>
        <w:spacing w:after="0" w:line="240" w:lineRule="auto"/>
        <w:jc w:val="both"/>
      </w:pPr>
      <w:r>
        <w:t xml:space="preserve">Guidance for notifying patients following drug diversion and tampering event; including various methods. </w:t>
      </w:r>
    </w:p>
    <w:p w:rsidR="005C0CA0" w:rsidRDefault="005C0CA0" w:rsidP="005C0CA0">
      <w:pPr>
        <w:pStyle w:val="ListParagraph"/>
        <w:numPr>
          <w:ilvl w:val="0"/>
          <w:numId w:val="1"/>
        </w:numPr>
        <w:spacing w:after="0" w:line="240" w:lineRule="auto"/>
        <w:jc w:val="both"/>
      </w:pPr>
      <w:r>
        <w:t>Example templates and sample letters</w:t>
      </w:r>
    </w:p>
    <w:p w:rsidR="007146C3" w:rsidRDefault="007146C3" w:rsidP="007C0DB2">
      <w:pPr>
        <w:spacing w:after="0" w:line="240" w:lineRule="auto"/>
        <w:jc w:val="both"/>
      </w:pPr>
    </w:p>
    <w:p w:rsidR="007146C3" w:rsidRDefault="005C0CA0" w:rsidP="007C0DB2">
      <w:pPr>
        <w:spacing w:after="0" w:line="240" w:lineRule="auto"/>
        <w:jc w:val="both"/>
      </w:pPr>
      <w:r>
        <w:t>6</w:t>
      </w:r>
      <w:r w:rsidR="007146C3">
        <w:t xml:space="preserve">. Additional </w:t>
      </w:r>
      <w:r>
        <w:t>Considerations</w:t>
      </w:r>
    </w:p>
    <w:p w:rsidR="005C0CA0" w:rsidRDefault="005C0CA0" w:rsidP="005C0CA0">
      <w:pPr>
        <w:pStyle w:val="ListParagraph"/>
        <w:numPr>
          <w:ilvl w:val="0"/>
          <w:numId w:val="1"/>
        </w:numPr>
        <w:spacing w:after="0" w:line="240" w:lineRule="auto"/>
        <w:jc w:val="both"/>
      </w:pPr>
      <w:r>
        <w:t>Guidance regarding other regulatory authorities that may be involved.</w:t>
      </w:r>
    </w:p>
    <w:p w:rsidR="005C0CA0" w:rsidRDefault="005C0CA0" w:rsidP="005C0CA0">
      <w:pPr>
        <w:pStyle w:val="ListParagraph"/>
        <w:numPr>
          <w:ilvl w:val="0"/>
          <w:numId w:val="1"/>
        </w:numPr>
        <w:spacing w:after="0" w:line="240" w:lineRule="auto"/>
        <w:jc w:val="both"/>
      </w:pPr>
      <w:r>
        <w:t xml:space="preserve">Legal considerations. </w:t>
      </w:r>
    </w:p>
    <w:p w:rsidR="007146C3" w:rsidRDefault="007146C3" w:rsidP="007C0DB2">
      <w:pPr>
        <w:spacing w:after="0" w:line="240" w:lineRule="auto"/>
        <w:jc w:val="both"/>
      </w:pPr>
    </w:p>
    <w:p w:rsidR="007146C3" w:rsidRDefault="005C0CA0" w:rsidP="007C0DB2">
      <w:pPr>
        <w:spacing w:after="0" w:line="240" w:lineRule="auto"/>
        <w:jc w:val="both"/>
      </w:pPr>
      <w:r>
        <w:t>7</w:t>
      </w:r>
      <w:r w:rsidR="007146C3">
        <w:t xml:space="preserve">. </w:t>
      </w:r>
      <w:r>
        <w:t>Methods and Guidance for After Action Report for Drug Diversion and Tampering Events</w:t>
      </w:r>
    </w:p>
    <w:p w:rsidR="005C0CA0" w:rsidRDefault="005C0CA0" w:rsidP="005C0CA0">
      <w:pPr>
        <w:pStyle w:val="ListParagraph"/>
        <w:numPr>
          <w:ilvl w:val="0"/>
          <w:numId w:val="1"/>
        </w:numPr>
        <w:spacing w:after="0" w:line="240" w:lineRule="auto"/>
        <w:jc w:val="both"/>
      </w:pPr>
      <w:r>
        <w:t>Guidance and suggestions for after actions reports</w:t>
      </w:r>
    </w:p>
    <w:p w:rsidR="005C0CA0" w:rsidRDefault="005C0CA0" w:rsidP="005C0CA0">
      <w:pPr>
        <w:pStyle w:val="ListParagraph"/>
        <w:numPr>
          <w:ilvl w:val="0"/>
          <w:numId w:val="1"/>
        </w:numPr>
        <w:spacing w:after="0" w:line="240" w:lineRule="auto"/>
        <w:jc w:val="both"/>
      </w:pPr>
      <w:r>
        <w:t>Understanding lessons from drug diversion and tampering events and improving future response activities</w:t>
      </w:r>
    </w:p>
    <w:p w:rsidR="005C0CA0" w:rsidRDefault="005C0CA0" w:rsidP="005C0CA0">
      <w:pPr>
        <w:pStyle w:val="ListParagraph"/>
        <w:spacing w:after="0" w:line="240" w:lineRule="auto"/>
        <w:jc w:val="both"/>
      </w:pPr>
    </w:p>
    <w:p w:rsidR="007146C3" w:rsidRDefault="005C0CA0" w:rsidP="007C0DB2">
      <w:pPr>
        <w:spacing w:after="0" w:line="240" w:lineRule="auto"/>
        <w:jc w:val="both"/>
      </w:pPr>
      <w:r>
        <w:t>8</w:t>
      </w:r>
      <w:r w:rsidR="007146C3">
        <w:t xml:space="preserve">. Toolkit Conclusion </w:t>
      </w:r>
    </w:p>
    <w:p w:rsidR="005C0CA0" w:rsidRDefault="005C0CA0" w:rsidP="007C0DB2">
      <w:pPr>
        <w:pStyle w:val="ListParagraph"/>
        <w:numPr>
          <w:ilvl w:val="0"/>
          <w:numId w:val="1"/>
        </w:numPr>
        <w:spacing w:after="0" w:line="240" w:lineRule="auto"/>
        <w:jc w:val="both"/>
      </w:pPr>
      <w:r>
        <w:t xml:space="preserve">Concluding thoughts on Toolkit implementation and future research needed </w:t>
      </w:r>
    </w:p>
    <w:p w:rsidR="007146C3" w:rsidRDefault="007146C3" w:rsidP="007C0DB2">
      <w:pPr>
        <w:spacing w:after="0" w:line="240" w:lineRule="auto"/>
        <w:jc w:val="both"/>
      </w:pPr>
      <w:r>
        <w:t xml:space="preserve"> </w:t>
      </w:r>
    </w:p>
    <w:p w:rsidR="005C0CA0" w:rsidRDefault="005C0CA0" w:rsidP="007C0DB2">
      <w:pPr>
        <w:spacing w:after="0" w:line="240" w:lineRule="auto"/>
        <w:jc w:val="both"/>
      </w:pPr>
      <w:r>
        <w:t>9</w:t>
      </w:r>
      <w:r w:rsidR="007146C3">
        <w:t xml:space="preserve">. Toolkit Evaluation </w:t>
      </w:r>
    </w:p>
    <w:p w:rsidR="007146C3" w:rsidRDefault="007146C3" w:rsidP="005C0CA0">
      <w:pPr>
        <w:pStyle w:val="ListParagraph"/>
        <w:numPr>
          <w:ilvl w:val="0"/>
          <w:numId w:val="1"/>
        </w:numPr>
        <w:spacing w:after="0" w:line="240" w:lineRule="auto"/>
        <w:jc w:val="both"/>
      </w:pPr>
      <w:r>
        <w:t xml:space="preserve">Share your thoughts with us. Any challenges with implementing the toolkit? </w:t>
      </w:r>
    </w:p>
    <w:p w:rsidR="007146C3" w:rsidRDefault="007146C3" w:rsidP="007C0DB2">
      <w:pPr>
        <w:spacing w:after="0" w:line="240" w:lineRule="auto"/>
        <w:jc w:val="both"/>
      </w:pPr>
    </w:p>
    <w:p w:rsidR="005C0CA0" w:rsidRDefault="005C0CA0" w:rsidP="007C0DB2">
      <w:pPr>
        <w:spacing w:after="0" w:line="240" w:lineRule="auto"/>
        <w:jc w:val="both"/>
      </w:pPr>
      <w:r>
        <w:t>10</w:t>
      </w:r>
      <w:r w:rsidR="007146C3">
        <w:t xml:space="preserve">. </w:t>
      </w:r>
      <w:r>
        <w:t>Contributors and Acknowledgments</w:t>
      </w:r>
    </w:p>
    <w:p w:rsidR="007146C3" w:rsidRDefault="007146C3" w:rsidP="005C0CA0">
      <w:pPr>
        <w:pStyle w:val="ListParagraph"/>
        <w:numPr>
          <w:ilvl w:val="0"/>
          <w:numId w:val="1"/>
        </w:numPr>
        <w:spacing w:after="0" w:line="240" w:lineRule="auto"/>
        <w:jc w:val="both"/>
      </w:pPr>
      <w:r>
        <w:t xml:space="preserve">List of Workgroup Members </w:t>
      </w:r>
    </w:p>
    <w:p w:rsidR="007146C3" w:rsidRDefault="007146C3" w:rsidP="007C0DB2">
      <w:pPr>
        <w:spacing w:after="0" w:line="240" w:lineRule="auto"/>
        <w:jc w:val="both"/>
      </w:pPr>
    </w:p>
    <w:p w:rsidR="007146C3" w:rsidRDefault="005C0CA0" w:rsidP="007C0DB2">
      <w:pPr>
        <w:spacing w:after="0" w:line="240" w:lineRule="auto"/>
        <w:jc w:val="both"/>
      </w:pPr>
      <w:r>
        <w:t>12</w:t>
      </w:r>
      <w:r w:rsidR="007146C3">
        <w:t xml:space="preserve">. References  </w:t>
      </w:r>
    </w:p>
    <w:p w:rsidR="007146C3" w:rsidRDefault="007146C3" w:rsidP="005C0CA0">
      <w:pPr>
        <w:spacing w:after="0" w:line="240" w:lineRule="auto"/>
        <w:jc w:val="both"/>
      </w:pPr>
      <w:r>
        <w:t xml:space="preserve">  </w:t>
      </w:r>
    </w:p>
    <w:p w:rsidR="00CC5FD2" w:rsidRDefault="005C0CA0" w:rsidP="007C0DB2">
      <w:pPr>
        <w:spacing w:after="0" w:line="240" w:lineRule="auto"/>
        <w:jc w:val="both"/>
      </w:pPr>
      <w:r>
        <w:t xml:space="preserve">13. </w:t>
      </w:r>
      <w:r w:rsidR="007146C3">
        <w:t>Technical Resources</w:t>
      </w:r>
    </w:p>
    <w:p w:rsidR="00610C16" w:rsidRDefault="00610C16" w:rsidP="00610C16">
      <w:pPr>
        <w:pStyle w:val="ListParagraph"/>
        <w:numPr>
          <w:ilvl w:val="0"/>
          <w:numId w:val="1"/>
        </w:numPr>
        <w:spacing w:after="0" w:line="240" w:lineRule="auto"/>
        <w:jc w:val="both"/>
      </w:pPr>
      <w:r>
        <w:t>Reference One and Only Campaign Resources and Table Top Exercises developed by NJ DOH</w:t>
      </w:r>
    </w:p>
    <w:sectPr w:rsidR="00610C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C79A7"/>
    <w:multiLevelType w:val="hybridMultilevel"/>
    <w:tmpl w:val="8F68F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234C97"/>
    <w:multiLevelType w:val="hybridMultilevel"/>
    <w:tmpl w:val="304EA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ehr, Jason S">
    <w15:presenceInfo w15:providerId="AD" w15:userId="S-1-5-21-854245398-2000478354-1801674531-321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6C3"/>
    <w:rsid w:val="003E3E50"/>
    <w:rsid w:val="004479C2"/>
    <w:rsid w:val="004C2355"/>
    <w:rsid w:val="005C0CA0"/>
    <w:rsid w:val="00610C16"/>
    <w:rsid w:val="007146C3"/>
    <w:rsid w:val="00781CC5"/>
    <w:rsid w:val="007C0DB2"/>
    <w:rsid w:val="00826BFE"/>
    <w:rsid w:val="00912C6B"/>
    <w:rsid w:val="00C22799"/>
    <w:rsid w:val="00CC5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DB2"/>
    <w:rPr>
      <w:rFonts w:ascii="Tahoma" w:hAnsi="Tahoma" w:cs="Tahoma"/>
      <w:sz w:val="16"/>
      <w:szCs w:val="16"/>
    </w:rPr>
  </w:style>
  <w:style w:type="paragraph" w:styleId="ListParagraph">
    <w:name w:val="List Paragraph"/>
    <w:basedOn w:val="Normal"/>
    <w:uiPriority w:val="34"/>
    <w:qFormat/>
    <w:rsid w:val="003E3E5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DB2"/>
    <w:rPr>
      <w:rFonts w:ascii="Tahoma" w:hAnsi="Tahoma" w:cs="Tahoma"/>
      <w:sz w:val="16"/>
      <w:szCs w:val="16"/>
    </w:rPr>
  </w:style>
  <w:style w:type="paragraph" w:styleId="ListParagraph">
    <w:name w:val="List Paragraph"/>
    <w:basedOn w:val="Normal"/>
    <w:uiPriority w:val="34"/>
    <w:qFormat/>
    <w:rsid w:val="003E3E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815</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State of New Hampshire</Company>
  <LinksUpToDate>false</LinksUpToDate>
  <CharactersWithSpaces>5451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Katrina.E.Hansen</dc:creator>
  <cp:lastModifiedBy>Katrina.E.Hansen</cp:lastModifiedBy>
  <cp:revision>2</cp:revision>
  <dcterms:created xsi:type="dcterms:W3CDTF">2016-11-14T19:51:00Z</dcterms:created>
  <dcterms:modified xsi:type="dcterms:W3CDTF">2016-11-14T19:51:00Z</dcterms:modified>
</cp:coreProperties>
</file>