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color w:val="172b4d"/>
          <w:sz w:val="24"/>
          <w:szCs w:val="24"/>
          <w:highlight w:val="white"/>
        </w:rPr>
      </w:pPr>
      <w:r w:rsidDel="00000000" w:rsidR="00000000" w:rsidRPr="00000000">
        <w:rPr>
          <w:b w:val="1"/>
          <w:color w:val="172b4d"/>
          <w:sz w:val="24"/>
          <w:szCs w:val="24"/>
          <w:highlight w:val="white"/>
          <w:rtl w:val="0"/>
        </w:rPr>
        <w:t xml:space="preserve">RCKMS January 2024 Authoring Tool Release - Updates to User Interface and Reports</w:t>
      </w:r>
    </w:p>
    <w:p w:rsidR="00000000" w:rsidDel="00000000" w:rsidP="00000000" w:rsidRDefault="00000000" w:rsidRPr="00000000" w14:paraId="00000002">
      <w:pPr>
        <w:rPr>
          <w:color w:val="172b4d"/>
          <w:highlight w:val="white"/>
          <w:u w:val="single"/>
        </w:rPr>
      </w:pPr>
      <w:r w:rsidDel="00000000" w:rsidR="00000000" w:rsidRPr="00000000">
        <w:rPr>
          <w:rtl w:val="0"/>
        </w:rPr>
      </w:r>
    </w:p>
    <w:p w:rsidR="00000000" w:rsidDel="00000000" w:rsidP="00000000" w:rsidRDefault="00000000" w:rsidRPr="00000000" w14:paraId="00000003">
      <w:pPr>
        <w:rPr>
          <w:color w:val="172b4d"/>
          <w:highlight w:val="white"/>
        </w:rPr>
      </w:pPr>
      <w:r w:rsidDel="00000000" w:rsidR="00000000" w:rsidRPr="00000000">
        <w:rPr>
          <w:color w:val="172b4d"/>
          <w:highlight w:val="white"/>
          <w:rtl w:val="0"/>
        </w:rPr>
        <w:t xml:space="preserve">This information pertains to the RCKMS Authoring Tool deployment that is scheduled for Wednesday, January 31, 2024. The upcoming deployment includes the following new features that are intended to support jurisdictions’ authoring efforts and reporting needs.</w:t>
      </w:r>
    </w:p>
    <w:p w:rsidR="00000000" w:rsidDel="00000000" w:rsidP="00000000" w:rsidRDefault="00000000" w:rsidRPr="00000000" w14:paraId="00000004">
      <w:pPr>
        <w:rPr>
          <w:color w:val="172b4d"/>
          <w:highlight w:val="white"/>
          <w:u w:val="single"/>
        </w:rPr>
      </w:pPr>
      <w:r w:rsidDel="00000000" w:rsidR="00000000" w:rsidRPr="00000000">
        <w:rPr>
          <w:rtl w:val="0"/>
        </w:rPr>
      </w:r>
    </w:p>
    <w:p w:rsidR="00000000" w:rsidDel="00000000" w:rsidP="00000000" w:rsidRDefault="00000000" w:rsidRPr="00000000" w14:paraId="00000005">
      <w:pPr>
        <w:rPr>
          <w:color w:val="172b4d"/>
          <w:highlight w:val="white"/>
          <w:u w:val="single"/>
        </w:rPr>
      </w:pPr>
      <w:r w:rsidDel="00000000" w:rsidR="00000000" w:rsidRPr="00000000">
        <w:rPr>
          <w:color w:val="172b4d"/>
          <w:highlight w:val="white"/>
          <w:u w:val="single"/>
          <w:rtl w:val="0"/>
        </w:rPr>
        <w:t xml:space="preserve">New Login Message</w:t>
      </w:r>
    </w:p>
    <w:p w:rsidR="00000000" w:rsidDel="00000000" w:rsidP="00000000" w:rsidRDefault="00000000" w:rsidRPr="00000000" w14:paraId="00000006">
      <w:pPr>
        <w:rPr>
          <w:color w:val="172b4d"/>
          <w:highlight w:val="white"/>
        </w:rPr>
      </w:pPr>
      <w:r w:rsidDel="00000000" w:rsidR="00000000" w:rsidRPr="00000000">
        <w:rPr>
          <w:rtl w:val="0"/>
        </w:rPr>
      </w:r>
    </w:p>
    <w:p w:rsidR="00000000" w:rsidDel="00000000" w:rsidP="00000000" w:rsidRDefault="00000000" w:rsidRPr="00000000" w14:paraId="00000007">
      <w:pPr>
        <w:numPr>
          <w:ilvl w:val="0"/>
          <w:numId w:val="2"/>
        </w:numPr>
        <w:ind w:left="720" w:hanging="360"/>
        <w:rPr>
          <w:color w:val="172b4d"/>
          <w:highlight w:val="white"/>
          <w:u w:val="none"/>
        </w:rPr>
      </w:pPr>
      <w:r w:rsidDel="00000000" w:rsidR="00000000" w:rsidRPr="00000000">
        <w:rPr>
          <w:color w:val="172b4d"/>
          <w:highlight w:val="white"/>
          <w:rtl w:val="0"/>
        </w:rPr>
        <w:t xml:space="preserve">The below message is now presented to jurisdiction users each time they log into the RCKMS Authoring Tool. The user must click ‘Accept’ to complete the login process.</w:t>
      </w:r>
    </w:p>
    <w:p w:rsidR="00000000" w:rsidDel="00000000" w:rsidP="00000000" w:rsidRDefault="00000000" w:rsidRPr="00000000" w14:paraId="00000008">
      <w:pPr>
        <w:rPr>
          <w:rFonts w:ascii="Roboto" w:cs="Roboto" w:eastAsia="Roboto" w:hAnsi="Roboto"/>
          <w:color w:val="172b4d"/>
          <w:sz w:val="21"/>
          <w:szCs w:val="21"/>
          <w:highlight w:val="white"/>
        </w:rPr>
      </w:pPr>
      <w:r w:rsidDel="00000000" w:rsidR="00000000" w:rsidRPr="00000000">
        <w:rPr>
          <w:rtl w:val="0"/>
        </w:rPr>
      </w:r>
    </w:p>
    <w:p w:rsidR="00000000" w:rsidDel="00000000" w:rsidP="00000000" w:rsidRDefault="00000000" w:rsidRPr="00000000" w14:paraId="00000009">
      <w:pPr>
        <w:ind w:left="720" w:firstLine="0"/>
        <w:rPr>
          <w:rFonts w:ascii="Roboto" w:cs="Roboto" w:eastAsia="Roboto" w:hAnsi="Roboto"/>
          <w:color w:val="172b4d"/>
          <w:sz w:val="21"/>
          <w:szCs w:val="21"/>
          <w:highlight w:val="white"/>
        </w:rPr>
      </w:pPr>
      <w:r w:rsidDel="00000000" w:rsidR="00000000" w:rsidRPr="00000000">
        <w:rPr>
          <w:rFonts w:ascii="Roboto" w:cs="Roboto" w:eastAsia="Roboto" w:hAnsi="Roboto"/>
          <w:color w:val="172b4d"/>
          <w:sz w:val="21"/>
          <w:szCs w:val="21"/>
          <w:highlight w:val="white"/>
        </w:rPr>
        <w:drawing>
          <wp:inline distB="114300" distT="114300" distL="114300" distR="114300">
            <wp:extent cx="3253264" cy="2199650"/>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253264" cy="219965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Roboto" w:cs="Roboto" w:eastAsia="Roboto" w:hAnsi="Roboto"/>
          <w:color w:val="172b4d"/>
          <w:sz w:val="21"/>
          <w:szCs w:val="21"/>
          <w:highlight w:val="white"/>
          <w:u w:val="single"/>
        </w:rPr>
      </w:pPr>
      <w:r w:rsidDel="00000000" w:rsidR="00000000" w:rsidRPr="00000000">
        <w:rPr>
          <w:rtl w:val="0"/>
        </w:rPr>
      </w:r>
    </w:p>
    <w:p w:rsidR="00000000" w:rsidDel="00000000" w:rsidP="00000000" w:rsidRDefault="00000000" w:rsidRPr="00000000" w14:paraId="0000000B">
      <w:pPr>
        <w:numPr>
          <w:ilvl w:val="0"/>
          <w:numId w:val="1"/>
        </w:numPr>
        <w:ind w:left="720" w:hanging="360"/>
        <w:rPr>
          <w:color w:val="172b4d"/>
          <w:highlight w:val="white"/>
        </w:rPr>
      </w:pPr>
      <w:r w:rsidDel="00000000" w:rsidR="00000000" w:rsidRPr="00000000">
        <w:rPr>
          <w:color w:val="172b4d"/>
          <w:highlight w:val="white"/>
          <w:rtl w:val="0"/>
        </w:rPr>
        <w:t xml:space="preserve">The RCKMS User Guide has been updated to the latest version: Fall 2023 | Version 4.0</w:t>
      </w:r>
    </w:p>
    <w:p w:rsidR="00000000" w:rsidDel="00000000" w:rsidP="00000000" w:rsidRDefault="00000000" w:rsidRPr="00000000" w14:paraId="0000000C">
      <w:pPr>
        <w:numPr>
          <w:ilvl w:val="0"/>
          <w:numId w:val="1"/>
        </w:numPr>
        <w:ind w:left="720" w:hanging="360"/>
        <w:rPr>
          <w:color w:val="172b4d"/>
          <w:highlight w:val="white"/>
          <w:u w:val="none"/>
        </w:rPr>
      </w:pPr>
      <w:r w:rsidDel="00000000" w:rsidR="00000000" w:rsidRPr="00000000">
        <w:rPr>
          <w:color w:val="172b4d"/>
          <w:highlight w:val="white"/>
          <w:rtl w:val="0"/>
        </w:rPr>
        <w:t xml:space="preserve">A new read-only ‘Nationally Notifiable?’ checkbox has been added to the Details tab of the Reporting Specification Editor to indicate whether a condition is nationally notifiable.</w:t>
      </w:r>
    </w:p>
    <w:p w:rsidR="00000000" w:rsidDel="00000000" w:rsidP="00000000" w:rsidRDefault="00000000" w:rsidRPr="00000000" w14:paraId="0000000D">
      <w:pPr>
        <w:ind w:left="720" w:firstLine="0"/>
        <w:rPr>
          <w:color w:val="172b4d"/>
          <w:highlight w:val="white"/>
        </w:rPr>
      </w:pPr>
      <w:r w:rsidDel="00000000" w:rsidR="00000000" w:rsidRPr="00000000">
        <w:rPr>
          <w:color w:val="172b4d"/>
          <w:highlight w:val="white"/>
        </w:rPr>
        <w:drawing>
          <wp:inline distB="114300" distT="114300" distL="114300" distR="114300">
            <wp:extent cx="5173675" cy="1282132"/>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73675" cy="1282132"/>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color w:val="172b4d"/>
          <w:highlight w:val="white"/>
        </w:rPr>
      </w:pPr>
      <w:r w:rsidDel="00000000" w:rsidR="00000000" w:rsidRPr="00000000">
        <w:rPr>
          <w:rtl w:val="0"/>
        </w:rPr>
      </w:r>
    </w:p>
    <w:p w:rsidR="00000000" w:rsidDel="00000000" w:rsidP="00000000" w:rsidRDefault="00000000" w:rsidRPr="00000000" w14:paraId="0000000F">
      <w:pPr>
        <w:numPr>
          <w:ilvl w:val="0"/>
          <w:numId w:val="1"/>
        </w:numPr>
        <w:ind w:left="720" w:hanging="360"/>
        <w:rPr>
          <w:color w:val="172b4d"/>
          <w:highlight w:val="white"/>
          <w:u w:val="none"/>
        </w:rPr>
      </w:pPr>
      <w:r w:rsidDel="00000000" w:rsidR="00000000" w:rsidRPr="00000000">
        <w:rPr>
          <w:color w:val="172b4d"/>
          <w:highlight w:val="white"/>
          <w:rtl w:val="0"/>
        </w:rPr>
        <w:t xml:space="preserve">The "Nationally Notifiable?" column in the Reporting Specifications list now references the new “Nationally Notifiable?” flag. Previously, the presence or absence of an NNC code, which is not a definitive indicator, was used to determine if a Y or N should be displayed in this column.</w:t>
      </w:r>
    </w:p>
    <w:p w:rsidR="00000000" w:rsidDel="00000000" w:rsidP="00000000" w:rsidRDefault="00000000" w:rsidRPr="00000000" w14:paraId="00000010">
      <w:pPr>
        <w:rPr>
          <w:rFonts w:ascii="Roboto" w:cs="Roboto" w:eastAsia="Roboto" w:hAnsi="Roboto"/>
          <w:color w:val="172b4d"/>
          <w:sz w:val="21"/>
          <w:szCs w:val="21"/>
          <w:highlight w:val="white"/>
          <w:u w:val="single"/>
        </w:rPr>
      </w:pPr>
      <w:r w:rsidDel="00000000" w:rsidR="00000000" w:rsidRPr="00000000">
        <w:rPr>
          <w:rtl w:val="0"/>
        </w:rPr>
      </w:r>
    </w:p>
    <w:p w:rsidR="00000000" w:rsidDel="00000000" w:rsidP="00000000" w:rsidRDefault="00000000" w:rsidRPr="00000000" w14:paraId="00000011">
      <w:pPr>
        <w:rPr>
          <w:rFonts w:ascii="Roboto" w:cs="Roboto" w:eastAsia="Roboto" w:hAnsi="Roboto"/>
          <w:color w:val="172b4d"/>
          <w:sz w:val="21"/>
          <w:szCs w:val="21"/>
          <w:highlight w:val="white"/>
          <w:u w:val="single"/>
        </w:rPr>
      </w:pPr>
      <w:r w:rsidDel="00000000" w:rsidR="00000000" w:rsidRPr="00000000">
        <w:rPr>
          <w:rtl w:val="0"/>
        </w:rPr>
      </w:r>
    </w:p>
    <w:p w:rsidR="00000000" w:rsidDel="00000000" w:rsidP="00000000" w:rsidRDefault="00000000" w:rsidRPr="00000000" w14:paraId="00000012">
      <w:pPr>
        <w:rPr>
          <w:color w:val="172b4d"/>
          <w:highlight w:val="white"/>
        </w:rPr>
      </w:pPr>
      <w:r w:rsidDel="00000000" w:rsidR="00000000" w:rsidRPr="00000000">
        <w:rPr>
          <w:color w:val="172b4d"/>
          <w:highlight w:val="white"/>
          <w:u w:val="single"/>
          <w:rtl w:val="0"/>
        </w:rPr>
        <w:t xml:space="preserve">Authoring Status Report</w:t>
      </w:r>
      <w:r w:rsidDel="00000000" w:rsidR="00000000" w:rsidRPr="00000000">
        <w:rPr>
          <w:color w:val="172b4d"/>
          <w:highlight w:val="white"/>
          <w:rtl w:val="0"/>
        </w:rPr>
        <w:t xml:space="preserve"> </w:t>
      </w:r>
    </w:p>
    <w:p w:rsidR="00000000" w:rsidDel="00000000" w:rsidP="00000000" w:rsidRDefault="00000000" w:rsidRPr="00000000" w14:paraId="00000013">
      <w:pPr>
        <w:rPr>
          <w:color w:val="172b4d"/>
          <w:highlight w:val="white"/>
        </w:rPr>
      </w:pPr>
      <w:r w:rsidDel="00000000" w:rsidR="00000000" w:rsidRPr="00000000">
        <w:rPr>
          <w:rtl w:val="0"/>
        </w:rPr>
      </w:r>
    </w:p>
    <w:p w:rsidR="00000000" w:rsidDel="00000000" w:rsidP="00000000" w:rsidRDefault="00000000" w:rsidRPr="00000000" w14:paraId="00000014">
      <w:pPr>
        <w:numPr>
          <w:ilvl w:val="0"/>
          <w:numId w:val="3"/>
        </w:numPr>
        <w:ind w:left="720" w:hanging="360"/>
        <w:rPr>
          <w:color w:val="172b4d"/>
          <w:highlight w:val="white"/>
        </w:rPr>
      </w:pPr>
      <w:r w:rsidDel="00000000" w:rsidR="00000000" w:rsidRPr="00000000">
        <w:rPr>
          <w:color w:val="172b4d"/>
          <w:highlight w:val="white"/>
          <w:rtl w:val="0"/>
        </w:rPr>
        <w:t xml:space="preserve">The following information is now included for each condition in the online version of the report, as well as in the PDF and Excel exports:</w:t>
      </w:r>
    </w:p>
    <w:p w:rsidR="00000000" w:rsidDel="00000000" w:rsidP="00000000" w:rsidRDefault="00000000" w:rsidRPr="00000000" w14:paraId="00000015">
      <w:pPr>
        <w:numPr>
          <w:ilvl w:val="1"/>
          <w:numId w:val="3"/>
        </w:numPr>
        <w:ind w:left="1440" w:hanging="360"/>
        <w:rPr>
          <w:color w:val="172b4d"/>
          <w:highlight w:val="white"/>
        </w:rPr>
      </w:pPr>
      <w:r w:rsidDel="00000000" w:rsidR="00000000" w:rsidRPr="00000000">
        <w:rPr>
          <w:color w:val="172b4d"/>
          <w:highlight w:val="white"/>
          <w:rtl w:val="0"/>
        </w:rPr>
        <w:t xml:space="preserve">Code</w:t>
      </w:r>
    </w:p>
    <w:p w:rsidR="00000000" w:rsidDel="00000000" w:rsidP="00000000" w:rsidRDefault="00000000" w:rsidRPr="00000000" w14:paraId="00000016">
      <w:pPr>
        <w:numPr>
          <w:ilvl w:val="1"/>
          <w:numId w:val="3"/>
        </w:numPr>
        <w:ind w:left="1440" w:hanging="360"/>
        <w:rPr>
          <w:color w:val="172b4d"/>
          <w:highlight w:val="white"/>
        </w:rPr>
      </w:pPr>
      <w:r w:rsidDel="00000000" w:rsidR="00000000" w:rsidRPr="00000000">
        <w:rPr>
          <w:color w:val="172b4d"/>
          <w:highlight w:val="white"/>
          <w:rtl w:val="0"/>
        </w:rPr>
        <w:t xml:space="preserve">Category</w:t>
      </w:r>
    </w:p>
    <w:p w:rsidR="00000000" w:rsidDel="00000000" w:rsidP="00000000" w:rsidRDefault="00000000" w:rsidRPr="00000000" w14:paraId="00000017">
      <w:pPr>
        <w:numPr>
          <w:ilvl w:val="1"/>
          <w:numId w:val="3"/>
        </w:numPr>
        <w:ind w:left="1440" w:hanging="360"/>
        <w:rPr>
          <w:color w:val="172b4d"/>
          <w:highlight w:val="white"/>
        </w:rPr>
      </w:pPr>
      <w:r w:rsidDel="00000000" w:rsidR="00000000" w:rsidRPr="00000000">
        <w:rPr>
          <w:color w:val="172b4d"/>
          <w:highlight w:val="white"/>
          <w:rtl w:val="0"/>
        </w:rPr>
        <w:t xml:space="preserve">Last Published date</w:t>
      </w:r>
    </w:p>
    <w:p w:rsidR="00000000" w:rsidDel="00000000" w:rsidP="00000000" w:rsidRDefault="00000000" w:rsidRPr="00000000" w14:paraId="00000018">
      <w:pPr>
        <w:numPr>
          <w:ilvl w:val="1"/>
          <w:numId w:val="3"/>
        </w:numPr>
        <w:ind w:left="1440" w:hanging="360"/>
        <w:rPr>
          <w:color w:val="172b4d"/>
          <w:highlight w:val="white"/>
        </w:rPr>
      </w:pPr>
      <w:r w:rsidDel="00000000" w:rsidR="00000000" w:rsidRPr="00000000">
        <w:rPr>
          <w:color w:val="172b4d"/>
          <w:highlight w:val="white"/>
          <w:rtl w:val="0"/>
        </w:rPr>
        <w:t xml:space="preserve">Nationally Notifiable (Y/N)</w:t>
      </w:r>
    </w:p>
    <w:p w:rsidR="00000000" w:rsidDel="00000000" w:rsidP="00000000" w:rsidRDefault="00000000" w:rsidRPr="00000000" w14:paraId="00000019">
      <w:pPr>
        <w:numPr>
          <w:ilvl w:val="1"/>
          <w:numId w:val="3"/>
        </w:numPr>
        <w:ind w:left="1440" w:hanging="360"/>
        <w:rPr>
          <w:color w:val="172b4d"/>
          <w:highlight w:val="white"/>
        </w:rPr>
      </w:pPr>
      <w:r w:rsidDel="00000000" w:rsidR="00000000" w:rsidRPr="00000000">
        <w:rPr>
          <w:color w:val="172b4d"/>
          <w:highlight w:val="white"/>
          <w:rtl w:val="0"/>
        </w:rPr>
        <w:t xml:space="preserve">NNC Code</w:t>
      </w:r>
    </w:p>
    <w:p w:rsidR="00000000" w:rsidDel="00000000" w:rsidP="00000000" w:rsidRDefault="00000000" w:rsidRPr="00000000" w14:paraId="0000001A">
      <w:pPr>
        <w:numPr>
          <w:ilvl w:val="1"/>
          <w:numId w:val="3"/>
        </w:numPr>
        <w:ind w:left="1440" w:hanging="360"/>
        <w:rPr>
          <w:color w:val="172b4d"/>
          <w:highlight w:val="white"/>
        </w:rPr>
      </w:pPr>
      <w:r w:rsidDel="00000000" w:rsidR="00000000" w:rsidRPr="00000000">
        <w:rPr>
          <w:color w:val="172b4d"/>
          <w:highlight w:val="white"/>
          <w:rtl w:val="0"/>
        </w:rPr>
        <w:t xml:space="preserve">Report if care is provided in this jurisdiction (Y/N)</w:t>
      </w:r>
    </w:p>
    <w:p w:rsidR="00000000" w:rsidDel="00000000" w:rsidP="00000000" w:rsidRDefault="00000000" w:rsidRPr="00000000" w14:paraId="0000001B">
      <w:pPr>
        <w:numPr>
          <w:ilvl w:val="1"/>
          <w:numId w:val="3"/>
        </w:numPr>
        <w:ind w:left="1440" w:hanging="360"/>
        <w:rPr>
          <w:color w:val="172b4d"/>
          <w:highlight w:val="white"/>
        </w:rPr>
      </w:pPr>
      <w:r w:rsidDel="00000000" w:rsidR="00000000" w:rsidRPr="00000000">
        <w:rPr>
          <w:color w:val="172b4d"/>
          <w:highlight w:val="white"/>
          <w:rtl w:val="0"/>
        </w:rPr>
        <w:t xml:space="preserve">Report if lab is located in this jurisdiction (Y/N)</w:t>
      </w:r>
    </w:p>
    <w:p w:rsidR="00000000" w:rsidDel="00000000" w:rsidP="00000000" w:rsidRDefault="00000000" w:rsidRPr="00000000" w14:paraId="0000001C">
      <w:pPr>
        <w:numPr>
          <w:ilvl w:val="1"/>
          <w:numId w:val="3"/>
        </w:numPr>
        <w:ind w:left="1440" w:hanging="360"/>
        <w:rPr>
          <w:color w:val="172b4d"/>
          <w:highlight w:val="white"/>
        </w:rPr>
      </w:pPr>
      <w:r w:rsidDel="00000000" w:rsidR="00000000" w:rsidRPr="00000000">
        <w:rPr>
          <w:color w:val="172b4d"/>
          <w:highlight w:val="white"/>
          <w:rtl w:val="0"/>
        </w:rPr>
        <w:t xml:space="preserve">Report if patient is a resident of this jurisdiction (Y/N)</w:t>
      </w:r>
    </w:p>
    <w:p w:rsidR="00000000" w:rsidDel="00000000" w:rsidP="00000000" w:rsidRDefault="00000000" w:rsidRPr="00000000" w14:paraId="0000001D">
      <w:pPr>
        <w:numPr>
          <w:ilvl w:val="0"/>
          <w:numId w:val="3"/>
        </w:numPr>
        <w:ind w:left="720" w:hanging="360"/>
        <w:rPr>
          <w:color w:val="172b4d"/>
          <w:highlight w:val="white"/>
        </w:rPr>
      </w:pPr>
      <w:r w:rsidDel="00000000" w:rsidR="00000000" w:rsidRPr="00000000">
        <w:rPr>
          <w:color w:val="172b4d"/>
          <w:highlight w:val="white"/>
          <w:rtl w:val="0"/>
        </w:rPr>
        <w:t xml:space="preserve">To accommodate the added data elements, in the user interface the information for each condition is now displayed in its own panel, rather than in columns. </w:t>
      </w:r>
    </w:p>
    <w:p w:rsidR="00000000" w:rsidDel="00000000" w:rsidP="00000000" w:rsidRDefault="00000000" w:rsidRPr="00000000" w14:paraId="0000001E">
      <w:pPr>
        <w:numPr>
          <w:ilvl w:val="0"/>
          <w:numId w:val="3"/>
        </w:numPr>
        <w:ind w:left="720" w:hanging="360"/>
        <w:rPr>
          <w:color w:val="172b4d"/>
          <w:highlight w:val="white"/>
        </w:rPr>
      </w:pPr>
      <w:r w:rsidDel="00000000" w:rsidR="00000000" w:rsidRPr="00000000">
        <w:rPr>
          <w:color w:val="172b4d"/>
          <w:highlight w:val="white"/>
          <w:rtl w:val="0"/>
        </w:rPr>
        <w:t xml:space="preserve">The list of conditions and the ‘External Links and References’ section of the report are now sorted alphabetically by condition name.</w:t>
      </w:r>
    </w:p>
    <w:p w:rsidR="00000000" w:rsidDel="00000000" w:rsidP="00000000" w:rsidRDefault="00000000" w:rsidRPr="00000000" w14:paraId="0000001F">
      <w:pPr>
        <w:ind w:left="720" w:firstLine="0"/>
        <w:rPr>
          <w:color w:val="172b4d"/>
          <w:highlight w:val="white"/>
        </w:rPr>
      </w:pPr>
      <w:r w:rsidDel="00000000" w:rsidR="00000000" w:rsidRPr="00000000">
        <w:rPr>
          <w:rtl w:val="0"/>
        </w:rPr>
      </w:r>
    </w:p>
    <w:p w:rsidR="00000000" w:rsidDel="00000000" w:rsidP="00000000" w:rsidRDefault="00000000" w:rsidRPr="00000000" w14:paraId="00000020">
      <w:pPr>
        <w:ind w:left="720" w:firstLine="0"/>
        <w:rPr>
          <w:color w:val="172b4d"/>
          <w:highlight w:val="white"/>
        </w:rPr>
      </w:pPr>
      <w:r w:rsidDel="00000000" w:rsidR="00000000" w:rsidRPr="00000000">
        <w:rPr>
          <w:color w:val="172b4d"/>
          <w:highlight w:val="white"/>
          <w:rtl w:val="0"/>
        </w:rPr>
        <w:t xml:space="preserve">An example of the new layout for each condition in the Authoring Status Report is below:</w:t>
      </w:r>
    </w:p>
    <w:p w:rsidR="00000000" w:rsidDel="00000000" w:rsidP="00000000" w:rsidRDefault="00000000" w:rsidRPr="00000000" w14:paraId="00000021">
      <w:pPr>
        <w:ind w:left="720" w:firstLine="0"/>
        <w:rPr>
          <w:rFonts w:ascii="Roboto" w:cs="Roboto" w:eastAsia="Roboto" w:hAnsi="Roboto"/>
          <w:color w:val="172b4d"/>
          <w:sz w:val="21"/>
          <w:szCs w:val="21"/>
          <w:highlight w:val="white"/>
        </w:rPr>
      </w:pPr>
      <w:r w:rsidDel="00000000" w:rsidR="00000000" w:rsidRPr="00000000">
        <w:rPr>
          <w:rtl w:val="0"/>
        </w:rPr>
      </w:r>
    </w:p>
    <w:p w:rsidR="00000000" w:rsidDel="00000000" w:rsidP="00000000" w:rsidRDefault="00000000" w:rsidRPr="00000000" w14:paraId="00000022">
      <w:pPr>
        <w:ind w:left="720" w:firstLine="0"/>
        <w:rPr>
          <w:rFonts w:ascii="Roboto" w:cs="Roboto" w:eastAsia="Roboto" w:hAnsi="Roboto"/>
          <w:color w:val="172b4d"/>
          <w:sz w:val="21"/>
          <w:szCs w:val="21"/>
          <w:highlight w:val="white"/>
        </w:rPr>
      </w:pPr>
      <w:r w:rsidDel="00000000" w:rsidR="00000000" w:rsidRPr="00000000">
        <w:rPr>
          <w:rFonts w:ascii="Roboto" w:cs="Roboto" w:eastAsia="Roboto" w:hAnsi="Roboto"/>
          <w:color w:val="172b4d"/>
          <w:sz w:val="21"/>
          <w:szCs w:val="21"/>
          <w:highlight w:val="white"/>
        </w:rPr>
        <w:drawing>
          <wp:inline distB="114300" distT="114300" distL="114300" distR="114300">
            <wp:extent cx="3721398" cy="2483943"/>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721398" cy="248394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color w:val="172b4d"/>
          <w:highlight w:val="white"/>
        </w:rPr>
      </w:pPr>
      <w:r w:rsidDel="00000000" w:rsidR="00000000" w:rsidRPr="00000000">
        <w:rPr>
          <w:rtl w:val="0"/>
        </w:rPr>
      </w:r>
    </w:p>
    <w:p w:rsidR="00000000" w:rsidDel="00000000" w:rsidP="00000000" w:rsidRDefault="00000000" w:rsidRPr="00000000" w14:paraId="00000024">
      <w:pPr>
        <w:rPr>
          <w:color w:val="172b4d"/>
          <w:highlight w:val="white"/>
        </w:rPr>
      </w:pPr>
      <w:r w:rsidDel="00000000" w:rsidR="00000000" w:rsidRPr="00000000">
        <w:rPr>
          <w:rtl w:val="0"/>
        </w:rPr>
      </w:r>
    </w:p>
    <w:sectPr>
      <w:pgSz w:h="15840" w:w="12240" w:orient="portrait"/>
      <w:pgMar w:bottom="1440" w:top="144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