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5A4" w:rsidRPr="00913186" w:rsidRDefault="000F15A4" w:rsidP="000F15A4">
      <w:pPr>
        <w:pStyle w:val="Heading1"/>
      </w:pPr>
      <w:bookmarkStart w:id="0" w:name="_Toc489027475"/>
      <w:r>
        <w:t>III: Developing a syndrome case definition</w:t>
      </w:r>
      <w:bookmarkEnd w:id="0"/>
      <w:r w:rsidRPr="00913186">
        <w:t xml:space="preserve"> </w:t>
      </w:r>
    </w:p>
    <w:p w:rsidR="000F15A4" w:rsidRPr="00D53020" w:rsidRDefault="000F15A4" w:rsidP="000F15A4">
      <w:pPr>
        <w:spacing w:line="360" w:lineRule="auto"/>
        <w:rPr>
          <w:rFonts w:ascii="Arial" w:hAnsi="Arial" w:cs="Arial"/>
          <w:sz w:val="20"/>
          <w:szCs w:val="20"/>
        </w:rPr>
      </w:pPr>
      <w:r w:rsidRPr="00D53020">
        <w:rPr>
          <w:rFonts w:ascii="Arial" w:hAnsi="Arial" w:cs="Arial"/>
          <w:sz w:val="20"/>
          <w:szCs w:val="20"/>
        </w:rPr>
        <w:t>Once a surveillance outcome has been determined, a syndrome will need to be created to identify patients with that outco</w:t>
      </w:r>
      <w:r>
        <w:rPr>
          <w:rFonts w:ascii="Arial" w:hAnsi="Arial" w:cs="Arial"/>
          <w:sz w:val="20"/>
          <w:szCs w:val="20"/>
        </w:rPr>
        <w:t xml:space="preserve">me or symptoms of that outcome. </w:t>
      </w:r>
      <w:r w:rsidRPr="00D53020">
        <w:rPr>
          <w:rFonts w:ascii="Arial" w:hAnsi="Arial" w:cs="Arial"/>
          <w:sz w:val="20"/>
          <w:szCs w:val="20"/>
        </w:rPr>
        <w:t xml:space="preserve">This section will discuss how to create a syndrome case definition and how to determine the effectiveness of the case definition in capturing patients with the </w:t>
      </w:r>
      <w:proofErr w:type="gramStart"/>
      <w:r w:rsidRPr="00D53020">
        <w:rPr>
          <w:rFonts w:ascii="Arial" w:hAnsi="Arial" w:cs="Arial"/>
          <w:sz w:val="20"/>
          <w:szCs w:val="20"/>
        </w:rPr>
        <w:t>particular surveillance</w:t>
      </w:r>
      <w:proofErr w:type="gramEnd"/>
      <w:r w:rsidRPr="00D53020">
        <w:rPr>
          <w:rFonts w:ascii="Arial" w:hAnsi="Arial" w:cs="Arial"/>
          <w:sz w:val="20"/>
          <w:szCs w:val="20"/>
        </w:rPr>
        <w:t xml:space="preserve"> outcome</w:t>
      </w:r>
      <w:r w:rsidRPr="009B4266">
        <w:rPr>
          <w:rFonts w:ascii="Arial" w:hAnsi="Arial" w:cs="Arial"/>
          <w:sz w:val="20"/>
          <w:szCs w:val="20"/>
        </w:rPr>
        <w:t>.</w:t>
      </w:r>
      <w:r w:rsidRPr="009B4266">
        <w:rPr>
          <w:rStyle w:val="FootnoteReference"/>
          <w:rFonts w:ascii="Arial" w:hAnsi="Arial" w:cs="Arial"/>
          <w:sz w:val="20"/>
          <w:szCs w:val="20"/>
        </w:rPr>
        <w:footnoteReference w:id="1"/>
      </w:r>
      <w:r w:rsidRPr="009B4266">
        <w:rPr>
          <w:rFonts w:ascii="Arial" w:hAnsi="Arial" w:cs="Arial"/>
          <w:sz w:val="20"/>
          <w:szCs w:val="20"/>
        </w:rPr>
        <w:t xml:space="preserve"> Before creating the case definition consider the data sources that are included in your syndromic surveillance system and if a patient with the selected outcome will be seen in that data source (e.g., seeking care at ED for a minor cold). The</w:t>
      </w:r>
      <w:r w:rsidRPr="00D53020">
        <w:rPr>
          <w:rFonts w:ascii="Arial" w:hAnsi="Arial" w:cs="Arial"/>
          <w:sz w:val="20"/>
          <w:szCs w:val="20"/>
        </w:rPr>
        <w:t xml:space="preserve"> process of developing a case definition is iterative and </w:t>
      </w:r>
      <w:r>
        <w:rPr>
          <w:rFonts w:ascii="Arial" w:hAnsi="Arial" w:cs="Arial"/>
          <w:sz w:val="20"/>
          <w:szCs w:val="20"/>
        </w:rPr>
        <w:t xml:space="preserve">the order of step completion is </w:t>
      </w:r>
      <w:r w:rsidRPr="00D53020">
        <w:rPr>
          <w:rFonts w:ascii="Arial" w:hAnsi="Arial" w:cs="Arial"/>
          <w:sz w:val="20"/>
          <w:szCs w:val="20"/>
        </w:rPr>
        <w:t>potentially non-linear. However, the process, in general, can be broken down as follows:</w:t>
      </w:r>
    </w:p>
    <w:p w:rsidR="000F15A4" w:rsidRDefault="000F15A4" w:rsidP="000F15A4">
      <w:pPr>
        <w:pStyle w:val="ListParagraph"/>
        <w:numPr>
          <w:ilvl w:val="0"/>
          <w:numId w:val="1"/>
        </w:numPr>
        <w:spacing w:line="360" w:lineRule="auto"/>
        <w:rPr>
          <w:rFonts w:ascii="Arial" w:hAnsi="Arial" w:cs="Arial"/>
          <w:sz w:val="20"/>
          <w:szCs w:val="20"/>
        </w:rPr>
      </w:pPr>
      <w:r>
        <w:rPr>
          <w:rFonts w:ascii="Arial" w:hAnsi="Arial" w:cs="Arial"/>
          <w:sz w:val="20"/>
          <w:szCs w:val="20"/>
        </w:rPr>
        <w:t>Decide the objective of the surveillance (e.g., broad definition or narrow definition)</w:t>
      </w:r>
    </w:p>
    <w:p w:rsidR="000F15A4" w:rsidRPr="00D53020" w:rsidRDefault="000F15A4" w:rsidP="000F15A4">
      <w:pPr>
        <w:pStyle w:val="ListParagraph"/>
        <w:numPr>
          <w:ilvl w:val="0"/>
          <w:numId w:val="1"/>
        </w:numPr>
        <w:spacing w:line="360" w:lineRule="auto"/>
        <w:rPr>
          <w:rFonts w:ascii="Arial" w:hAnsi="Arial" w:cs="Arial"/>
          <w:sz w:val="20"/>
          <w:szCs w:val="20"/>
        </w:rPr>
      </w:pPr>
      <w:r w:rsidRPr="00D53020">
        <w:rPr>
          <w:rFonts w:ascii="Arial" w:hAnsi="Arial" w:cs="Arial"/>
          <w:sz w:val="20"/>
          <w:szCs w:val="20"/>
        </w:rPr>
        <w:t xml:space="preserve">Decide if the definition will be based on keywords, diagnosis codes, or both </w:t>
      </w:r>
    </w:p>
    <w:p w:rsidR="000F15A4" w:rsidRPr="00D53020" w:rsidRDefault="000F15A4" w:rsidP="000F15A4">
      <w:pPr>
        <w:pStyle w:val="ListParagraph"/>
        <w:numPr>
          <w:ilvl w:val="0"/>
          <w:numId w:val="1"/>
        </w:numPr>
        <w:spacing w:line="360" w:lineRule="auto"/>
        <w:rPr>
          <w:rFonts w:ascii="Arial" w:hAnsi="Arial" w:cs="Arial"/>
          <w:sz w:val="20"/>
          <w:szCs w:val="20"/>
        </w:rPr>
      </w:pPr>
      <w:r w:rsidRPr="00D53020">
        <w:rPr>
          <w:rFonts w:ascii="Arial" w:hAnsi="Arial" w:cs="Arial"/>
          <w:sz w:val="20"/>
          <w:szCs w:val="20"/>
        </w:rPr>
        <w:t xml:space="preserve">Select the keywords and/or diagnosis codes </w:t>
      </w:r>
    </w:p>
    <w:p w:rsidR="000F15A4" w:rsidRPr="00D53020" w:rsidRDefault="000F15A4" w:rsidP="000F15A4">
      <w:pPr>
        <w:pStyle w:val="ListParagraph"/>
        <w:numPr>
          <w:ilvl w:val="0"/>
          <w:numId w:val="1"/>
        </w:numPr>
        <w:spacing w:line="360" w:lineRule="auto"/>
        <w:rPr>
          <w:rFonts w:ascii="Arial" w:hAnsi="Arial" w:cs="Arial"/>
          <w:sz w:val="20"/>
          <w:szCs w:val="20"/>
        </w:rPr>
      </w:pPr>
      <w:r w:rsidRPr="00D53020">
        <w:rPr>
          <w:rFonts w:ascii="Arial" w:hAnsi="Arial" w:cs="Arial"/>
          <w:sz w:val="20"/>
          <w:szCs w:val="20"/>
        </w:rPr>
        <w:t>Validate and refine the selected keywords or diagnosis codes</w:t>
      </w:r>
    </w:p>
    <w:p w:rsidR="000F15A4" w:rsidRPr="00D53020" w:rsidRDefault="000F15A4" w:rsidP="000F15A4">
      <w:pPr>
        <w:pStyle w:val="ListParagraph"/>
        <w:numPr>
          <w:ilvl w:val="0"/>
          <w:numId w:val="1"/>
        </w:numPr>
        <w:spacing w:line="360" w:lineRule="auto"/>
        <w:rPr>
          <w:rFonts w:ascii="Arial" w:hAnsi="Arial" w:cs="Arial"/>
          <w:sz w:val="20"/>
          <w:szCs w:val="20"/>
        </w:rPr>
      </w:pPr>
      <w:r w:rsidRPr="00D53020">
        <w:rPr>
          <w:rFonts w:ascii="Arial" w:hAnsi="Arial" w:cs="Arial"/>
          <w:sz w:val="20"/>
          <w:szCs w:val="20"/>
        </w:rPr>
        <w:t>Decide if the definition will be restricted by other factors (</w:t>
      </w:r>
      <w:r>
        <w:rPr>
          <w:rFonts w:ascii="Arial" w:hAnsi="Arial" w:cs="Arial"/>
          <w:sz w:val="20"/>
          <w:szCs w:val="20"/>
        </w:rPr>
        <w:t xml:space="preserve">e.g., </w:t>
      </w:r>
      <w:proofErr w:type="gramStart"/>
      <w:r w:rsidRPr="00D53020">
        <w:rPr>
          <w:rFonts w:ascii="Arial" w:hAnsi="Arial" w:cs="Arial"/>
          <w:sz w:val="20"/>
          <w:szCs w:val="20"/>
        </w:rPr>
        <w:t>time period</w:t>
      </w:r>
      <w:proofErr w:type="gramEnd"/>
      <w:r w:rsidRPr="00D53020">
        <w:rPr>
          <w:rFonts w:ascii="Arial" w:hAnsi="Arial" w:cs="Arial"/>
          <w:sz w:val="20"/>
          <w:szCs w:val="20"/>
        </w:rPr>
        <w:t xml:space="preserve"> = summer months or only unintentional cases) and what those factors will be </w:t>
      </w:r>
    </w:p>
    <w:p w:rsidR="000F15A4" w:rsidRPr="00A25B5E" w:rsidRDefault="000F15A4" w:rsidP="000F15A4">
      <w:pPr>
        <w:pStyle w:val="ListParagraph"/>
        <w:numPr>
          <w:ilvl w:val="0"/>
          <w:numId w:val="1"/>
        </w:numPr>
        <w:spacing w:line="360" w:lineRule="auto"/>
        <w:rPr>
          <w:rFonts w:ascii="Arial" w:hAnsi="Arial" w:cs="Arial"/>
          <w:sz w:val="20"/>
          <w:szCs w:val="20"/>
        </w:rPr>
      </w:pPr>
      <w:r w:rsidRPr="00D53020">
        <w:rPr>
          <w:rFonts w:ascii="Arial" w:hAnsi="Arial" w:cs="Arial"/>
          <w:sz w:val="20"/>
          <w:szCs w:val="20"/>
        </w:rPr>
        <w:t xml:space="preserve">Evaluate the effectiveness of the case definition </w:t>
      </w:r>
    </w:p>
    <w:p w:rsidR="000F15A4" w:rsidRDefault="000F15A4" w:rsidP="000F15A4">
      <w:pPr>
        <w:spacing w:line="360" w:lineRule="auto"/>
        <w:rPr>
          <w:rFonts w:ascii="Arial" w:hAnsi="Arial" w:cs="Arial"/>
          <w:sz w:val="20"/>
          <w:szCs w:val="20"/>
        </w:rPr>
      </w:pPr>
      <w:r>
        <w:rPr>
          <w:rFonts w:ascii="Arial" w:hAnsi="Arial" w:cs="Arial"/>
          <w:sz w:val="20"/>
          <w:szCs w:val="20"/>
        </w:rPr>
        <w:t xml:space="preserve">Because the terminology used by different syndromic surveillance systems may differ, for this </w:t>
      </w:r>
      <w:r w:rsidRPr="00A25B5E">
        <w:rPr>
          <w:rFonts w:ascii="Arial" w:hAnsi="Arial" w:cs="Arial"/>
          <w:sz w:val="20"/>
          <w:szCs w:val="20"/>
        </w:rPr>
        <w:t xml:space="preserve">document, the </w:t>
      </w:r>
      <w:r w:rsidRPr="00F4101F">
        <w:rPr>
          <w:rFonts w:ascii="Arial" w:hAnsi="Arial" w:cs="Arial"/>
          <w:i/>
          <w:sz w:val="20"/>
          <w:szCs w:val="20"/>
        </w:rPr>
        <w:t>case definition</w:t>
      </w:r>
      <w:r w:rsidRPr="00A25B5E">
        <w:rPr>
          <w:rFonts w:ascii="Arial" w:hAnsi="Arial" w:cs="Arial"/>
          <w:sz w:val="20"/>
          <w:szCs w:val="20"/>
        </w:rPr>
        <w:t xml:space="preserve"> refers to the </w:t>
      </w:r>
      <w:proofErr w:type="gramStart"/>
      <w:r w:rsidRPr="00A25B5E">
        <w:rPr>
          <w:rFonts w:ascii="Arial" w:hAnsi="Arial" w:cs="Arial"/>
          <w:sz w:val="20"/>
          <w:szCs w:val="20"/>
        </w:rPr>
        <w:t>pa</w:t>
      </w:r>
      <w:r>
        <w:rPr>
          <w:rFonts w:ascii="Arial" w:hAnsi="Arial" w:cs="Arial"/>
          <w:sz w:val="20"/>
          <w:szCs w:val="20"/>
        </w:rPr>
        <w:t>rticular keywords</w:t>
      </w:r>
      <w:proofErr w:type="gramEnd"/>
      <w:r>
        <w:rPr>
          <w:rFonts w:ascii="Arial" w:hAnsi="Arial" w:cs="Arial"/>
          <w:sz w:val="20"/>
          <w:szCs w:val="20"/>
        </w:rPr>
        <w:t xml:space="preserve"> and diagnosis</w:t>
      </w:r>
      <w:r w:rsidRPr="00A25B5E">
        <w:rPr>
          <w:rFonts w:ascii="Arial" w:hAnsi="Arial" w:cs="Arial"/>
          <w:sz w:val="20"/>
          <w:szCs w:val="20"/>
        </w:rPr>
        <w:t xml:space="preserve"> codes used to create the syndrome</w:t>
      </w:r>
      <w:r>
        <w:rPr>
          <w:rFonts w:ascii="Arial" w:hAnsi="Arial" w:cs="Arial"/>
          <w:sz w:val="20"/>
          <w:szCs w:val="20"/>
        </w:rPr>
        <w:t>.</w:t>
      </w:r>
      <w:r w:rsidRPr="00A25B5E">
        <w:rPr>
          <w:rFonts w:ascii="Arial" w:hAnsi="Arial" w:cs="Arial"/>
          <w:sz w:val="20"/>
          <w:szCs w:val="20"/>
        </w:rPr>
        <w:t xml:space="preserve"> </w:t>
      </w:r>
      <w:r>
        <w:rPr>
          <w:rFonts w:ascii="Arial" w:hAnsi="Arial" w:cs="Arial"/>
          <w:sz w:val="20"/>
          <w:szCs w:val="20"/>
        </w:rPr>
        <w:t>The term</w:t>
      </w:r>
      <w:r w:rsidRPr="00A25B5E">
        <w:rPr>
          <w:rFonts w:ascii="Arial" w:hAnsi="Arial" w:cs="Arial"/>
          <w:sz w:val="20"/>
          <w:szCs w:val="20"/>
        </w:rPr>
        <w:t xml:space="preserve"> </w:t>
      </w:r>
      <w:r w:rsidRPr="00F4101F">
        <w:rPr>
          <w:rFonts w:ascii="Arial" w:hAnsi="Arial" w:cs="Arial"/>
          <w:i/>
          <w:sz w:val="20"/>
          <w:szCs w:val="20"/>
        </w:rPr>
        <w:t>query</w:t>
      </w:r>
      <w:r w:rsidRPr="00A25B5E">
        <w:rPr>
          <w:rFonts w:ascii="Arial" w:hAnsi="Arial" w:cs="Arial"/>
          <w:sz w:val="20"/>
          <w:szCs w:val="20"/>
        </w:rPr>
        <w:t xml:space="preserve"> refers to how a syndrome case definition is implemented in </w:t>
      </w:r>
      <w:r>
        <w:rPr>
          <w:rFonts w:ascii="Arial" w:hAnsi="Arial" w:cs="Arial"/>
          <w:sz w:val="20"/>
          <w:szCs w:val="20"/>
        </w:rPr>
        <w:t xml:space="preserve">a jurisdiction’s </w:t>
      </w:r>
      <w:r w:rsidRPr="00A25B5E">
        <w:rPr>
          <w:rFonts w:ascii="Arial" w:hAnsi="Arial" w:cs="Arial"/>
          <w:sz w:val="20"/>
          <w:szCs w:val="20"/>
        </w:rPr>
        <w:t xml:space="preserve">syndromic surveillance system </w:t>
      </w:r>
      <w:r>
        <w:rPr>
          <w:rFonts w:ascii="Arial" w:hAnsi="Arial" w:cs="Arial"/>
          <w:sz w:val="20"/>
          <w:szCs w:val="20"/>
        </w:rPr>
        <w:t xml:space="preserve">syntax </w:t>
      </w:r>
      <w:r w:rsidRPr="00A25B5E">
        <w:rPr>
          <w:rFonts w:ascii="Arial" w:hAnsi="Arial" w:cs="Arial"/>
          <w:sz w:val="20"/>
          <w:szCs w:val="20"/>
        </w:rPr>
        <w:t>(</w:t>
      </w:r>
      <w:r>
        <w:rPr>
          <w:rFonts w:ascii="Arial" w:hAnsi="Arial" w:cs="Arial"/>
          <w:sz w:val="20"/>
          <w:szCs w:val="20"/>
        </w:rPr>
        <w:t xml:space="preserve">e.g., </w:t>
      </w:r>
      <w:r w:rsidRPr="00A25B5E">
        <w:rPr>
          <w:rFonts w:ascii="Arial" w:hAnsi="Arial" w:cs="Arial"/>
          <w:sz w:val="20"/>
          <w:szCs w:val="20"/>
        </w:rPr>
        <w:t>SQL or SAS).</w:t>
      </w:r>
      <w:r>
        <w:rPr>
          <w:rFonts w:ascii="Arial" w:hAnsi="Arial" w:cs="Arial"/>
          <w:sz w:val="20"/>
          <w:szCs w:val="20"/>
        </w:rPr>
        <w:t xml:space="preserve"> </w:t>
      </w:r>
    </w:p>
    <w:p w:rsidR="000F15A4" w:rsidRDefault="000F15A4" w:rsidP="000F15A4">
      <w:pPr>
        <w:spacing w:line="360" w:lineRule="auto"/>
        <w:rPr>
          <w:rFonts w:ascii="Arial" w:hAnsi="Arial" w:cs="Arial"/>
          <w:sz w:val="20"/>
          <w:szCs w:val="20"/>
        </w:rPr>
      </w:pPr>
      <w:r w:rsidRPr="0007407E">
        <w:rPr>
          <w:rFonts w:ascii="Arial" w:hAnsi="Arial" w:cs="Arial"/>
          <w:sz w:val="20"/>
          <w:szCs w:val="20"/>
        </w:rPr>
        <w:t xml:space="preserve">Case </w:t>
      </w:r>
      <w:r>
        <w:rPr>
          <w:rFonts w:ascii="Arial" w:hAnsi="Arial" w:cs="Arial"/>
          <w:sz w:val="20"/>
          <w:szCs w:val="20"/>
        </w:rPr>
        <w:t xml:space="preserve">definitions can either be broad or narrow. A narrow definition will have fewer false positives than a broader definition, but a broader definition will capture more cases. Depending on the use, it may not be necessary to capture most cases. A narrow definition that is representative of all cases resulting in the same conclusions that would have occurred if most cases were identified may be effective. A broader definition may be more useful for rare outcomes, small populations, or </w:t>
      </w:r>
      <w:r w:rsidRPr="0057722E">
        <w:rPr>
          <w:rFonts w:ascii="Arial" w:hAnsi="Arial" w:cs="Arial"/>
          <w:sz w:val="20"/>
          <w:szCs w:val="20"/>
        </w:rPr>
        <w:t>new and emerging diseases where the symptomology is not yet completely understood (e.g., Zika, novel flu</w:t>
      </w:r>
      <w:r>
        <w:rPr>
          <w:rFonts w:ascii="Arial" w:hAnsi="Arial" w:cs="Arial"/>
          <w:sz w:val="20"/>
          <w:szCs w:val="20"/>
        </w:rPr>
        <w:t>, vector-borne disease shifting regions</w:t>
      </w:r>
      <w:r w:rsidRPr="0057722E">
        <w:rPr>
          <w:rFonts w:ascii="Arial" w:hAnsi="Arial" w:cs="Arial"/>
          <w:sz w:val="20"/>
          <w:szCs w:val="20"/>
        </w:rPr>
        <w:t>).</w:t>
      </w:r>
      <w:r>
        <w:rPr>
          <w:rFonts w:ascii="Arial" w:hAnsi="Arial" w:cs="Arial"/>
          <w:sz w:val="20"/>
          <w:szCs w:val="20"/>
        </w:rPr>
        <w:t xml:space="preserve"> When developing a case definition, it can be helpful to start with a broad definition, capturing as many probable cases as possible and then </w:t>
      </w:r>
      <w:r w:rsidRPr="009B4266">
        <w:rPr>
          <w:rFonts w:ascii="Arial" w:hAnsi="Arial" w:cs="Arial"/>
          <w:sz w:val="20"/>
          <w:szCs w:val="20"/>
        </w:rPr>
        <w:t>refine the definition to increase the specificity (i.e., proportion of cases without the outcome are not captured by the definition).</w:t>
      </w:r>
      <w:r>
        <w:rPr>
          <w:rFonts w:ascii="Arial" w:hAnsi="Arial" w:cs="Arial"/>
          <w:sz w:val="20"/>
          <w:szCs w:val="20"/>
        </w:rPr>
        <w:t xml:space="preserve">  </w:t>
      </w:r>
    </w:p>
    <w:p w:rsidR="000F15A4" w:rsidRPr="0007407E" w:rsidRDefault="000F15A4" w:rsidP="000F15A4">
      <w:pPr>
        <w:spacing w:line="360" w:lineRule="auto"/>
        <w:rPr>
          <w:rFonts w:ascii="Arial" w:hAnsi="Arial" w:cs="Arial"/>
          <w:sz w:val="20"/>
          <w:szCs w:val="20"/>
        </w:rPr>
      </w:pPr>
      <w:r w:rsidRPr="006C0854">
        <w:rPr>
          <w:rFonts w:ascii="Arial" w:hAnsi="Arial" w:cs="Arial"/>
          <w:noProof/>
          <w:sz w:val="20"/>
          <w:szCs w:val="20"/>
        </w:rPr>
        <w:lastRenderedPageBreak/>
        <mc:AlternateContent>
          <mc:Choice Requires="wps">
            <w:drawing>
              <wp:anchor distT="0" distB="0" distL="114300" distR="114300" simplePos="0" relativeHeight="251659264" behindDoc="0" locked="0" layoutInCell="1" allowOverlap="1" wp14:anchorId="1EB79000" wp14:editId="031C10F8">
                <wp:simplePos x="0" y="0"/>
                <wp:positionH relativeFrom="column">
                  <wp:posOffset>2486025</wp:posOffset>
                </wp:positionH>
                <wp:positionV relativeFrom="paragraph">
                  <wp:posOffset>529590</wp:posOffset>
                </wp:positionV>
                <wp:extent cx="3556000" cy="6565900"/>
                <wp:effectExtent l="0" t="0" r="25400" b="254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6565900"/>
                        </a:xfrm>
                        <a:prstGeom prst="rect">
                          <a:avLst/>
                        </a:prstGeom>
                        <a:solidFill>
                          <a:srgbClr val="FFFFFF"/>
                        </a:solidFill>
                        <a:ln w="9525">
                          <a:solidFill>
                            <a:srgbClr val="000000"/>
                          </a:solidFill>
                          <a:miter lim="800000"/>
                          <a:headEnd/>
                          <a:tailEnd/>
                        </a:ln>
                      </wps:spPr>
                      <wps:txbx>
                        <w:txbxContent>
                          <w:p w:rsidR="000F15A4" w:rsidRPr="00562CBB" w:rsidRDefault="000F15A4" w:rsidP="000F15A4">
                            <w:pPr>
                              <w:spacing w:after="200" w:line="276" w:lineRule="auto"/>
                              <w:rPr>
                                <w:rFonts w:ascii="Arial" w:hAnsi="Arial" w:cs="Arial"/>
                                <w:sz w:val="20"/>
                                <w:szCs w:val="20"/>
                              </w:rPr>
                            </w:pPr>
                            <w:r>
                              <w:rPr>
                                <w:rFonts w:ascii="Arial" w:hAnsi="Arial" w:cs="Arial"/>
                                <w:sz w:val="20"/>
                                <w:szCs w:val="20"/>
                              </w:rPr>
                              <w:t xml:space="preserve">Insert 1: </w:t>
                            </w:r>
                            <w:r w:rsidRPr="00562CBB">
                              <w:rPr>
                                <w:rFonts w:ascii="Arial" w:hAnsi="Arial" w:cs="Arial"/>
                                <w:sz w:val="20"/>
                                <w:szCs w:val="20"/>
                              </w:rPr>
                              <w:t xml:space="preserve">Hypothetical </w:t>
                            </w:r>
                            <w:r>
                              <w:rPr>
                                <w:rFonts w:ascii="Arial" w:hAnsi="Arial" w:cs="Arial"/>
                                <w:sz w:val="20"/>
                                <w:szCs w:val="20"/>
                              </w:rPr>
                              <w:t>case definition development</w:t>
                            </w:r>
                          </w:p>
                          <w:p w:rsidR="000F15A4" w:rsidRPr="00562CBB" w:rsidRDefault="000F15A4" w:rsidP="000F15A4">
                            <w:pPr>
                              <w:spacing w:after="200" w:line="276" w:lineRule="auto"/>
                              <w:rPr>
                                <w:rFonts w:ascii="Arial" w:hAnsi="Arial" w:cs="Arial"/>
                                <w:sz w:val="20"/>
                                <w:szCs w:val="20"/>
                              </w:rPr>
                            </w:pPr>
                            <w:r w:rsidRPr="00562CBB">
                              <w:rPr>
                                <w:rFonts w:ascii="Arial" w:hAnsi="Arial" w:cs="Arial"/>
                                <w:sz w:val="20"/>
                                <w:szCs w:val="20"/>
                              </w:rPr>
                              <w:t xml:space="preserve">Scenario 1: Health Department X (HDX) is preparing for a hurricane. As part of the emergency planning and response, a carbon monoxide case definition is developed. The exposure of interest is carbon monoxide poisoning due to generator misuse. HDX plans to update their emergency operations center (EOC) daily. The case definition query will be run every day till the EOC stands down or all power is restored. Based on prior information from the death certificate and hospital discharge records, HDX believes there is a low prevalence of carbon monoxide cases in their state. They decide to develop a broad definition based on chief complaint keywords that will capture as many cases as possible. After a conversation with a neighboring state, HDX decides to use a similar case definition. </w:t>
                            </w:r>
                            <w:r>
                              <w:rPr>
                                <w:rFonts w:ascii="Arial" w:hAnsi="Arial" w:cs="Arial"/>
                                <w:sz w:val="20"/>
                                <w:szCs w:val="20"/>
                              </w:rPr>
                              <w:t>During the response, HDX plans</w:t>
                            </w:r>
                            <w:r w:rsidRPr="00562CBB">
                              <w:rPr>
                                <w:rFonts w:ascii="Arial" w:hAnsi="Arial" w:cs="Arial"/>
                                <w:sz w:val="20"/>
                                <w:szCs w:val="20"/>
                              </w:rPr>
                              <w:t xml:space="preserve"> to manually review the chief complaints </w:t>
                            </w:r>
                            <w:r>
                              <w:rPr>
                                <w:rFonts w:ascii="Arial" w:hAnsi="Arial" w:cs="Arial"/>
                                <w:sz w:val="20"/>
                                <w:szCs w:val="20"/>
                              </w:rPr>
                              <w:t>from identified case</w:t>
                            </w:r>
                            <w:r w:rsidRPr="00562CBB">
                              <w:rPr>
                                <w:rFonts w:ascii="Arial" w:hAnsi="Arial" w:cs="Arial"/>
                                <w:sz w:val="20"/>
                                <w:szCs w:val="20"/>
                              </w:rPr>
                              <w:t xml:space="preserve">. </w:t>
                            </w:r>
                          </w:p>
                          <w:p w:rsidR="000F15A4" w:rsidRPr="00562CBB" w:rsidRDefault="000F15A4" w:rsidP="000F15A4">
                            <w:pPr>
                              <w:spacing w:after="200" w:line="276" w:lineRule="auto"/>
                              <w:rPr>
                                <w:rFonts w:ascii="Arial" w:hAnsi="Arial" w:cs="Arial"/>
                                <w:sz w:val="20"/>
                                <w:szCs w:val="20"/>
                              </w:rPr>
                            </w:pPr>
                            <w:r w:rsidRPr="00562CBB">
                              <w:rPr>
                                <w:rFonts w:ascii="Arial" w:hAnsi="Arial" w:cs="Arial"/>
                                <w:sz w:val="20"/>
                                <w:szCs w:val="20"/>
                              </w:rPr>
                              <w:t>Scenario 2:</w:t>
                            </w:r>
                            <w:r>
                              <w:rPr>
                                <w:rFonts w:ascii="Arial" w:hAnsi="Arial" w:cs="Arial"/>
                                <w:sz w:val="20"/>
                                <w:szCs w:val="20"/>
                              </w:rPr>
                              <w:t xml:space="preserve"> </w:t>
                            </w:r>
                            <w:r w:rsidRPr="000C5E02">
                              <w:rPr>
                                <w:rFonts w:ascii="Arial" w:hAnsi="Arial" w:cs="Arial"/>
                                <w:sz w:val="20"/>
                                <w:szCs w:val="20"/>
                              </w:rPr>
                              <w:t xml:space="preserve">Health Department Z (HDZ) has decided to use their syndromic surveillance system for surveillance of heat-related illness due to outdoor ambient temperature. After reviewing the literature, HDZ understands that high outdoor ambient temperature may result in many different health outcomes such as cardiovascular or respiratory disease. HDZ decides to use the specific outcome of heat-related illness. They decide to use both keywords and diagnosis codes. HDZ starts out by using the CSTE </w:t>
                            </w:r>
                            <w:r>
                              <w:rPr>
                                <w:rFonts w:ascii="Arial" w:hAnsi="Arial" w:cs="Arial"/>
                                <w:sz w:val="20"/>
                                <w:szCs w:val="20"/>
                              </w:rPr>
                              <w:t>h</w:t>
                            </w:r>
                            <w:r w:rsidRPr="000C5E02">
                              <w:rPr>
                                <w:rFonts w:ascii="Arial" w:hAnsi="Arial" w:cs="Arial"/>
                                <w:sz w:val="20"/>
                                <w:szCs w:val="20"/>
                              </w:rPr>
                              <w:t xml:space="preserve">eat </w:t>
                            </w:r>
                            <w:proofErr w:type="gramStart"/>
                            <w:r w:rsidRPr="000C5E02">
                              <w:rPr>
                                <w:rFonts w:ascii="Arial" w:hAnsi="Arial" w:cs="Arial"/>
                                <w:sz w:val="20"/>
                                <w:szCs w:val="20"/>
                              </w:rPr>
                              <w:t>query in ESSENCE</w:t>
                            </w:r>
                            <w:proofErr w:type="gramEnd"/>
                            <w:r w:rsidRPr="000C5E02">
                              <w:rPr>
                                <w:rFonts w:ascii="Arial" w:hAnsi="Arial" w:cs="Arial"/>
                                <w:sz w:val="20"/>
                                <w:szCs w:val="20"/>
                              </w:rPr>
                              <w:t xml:space="preserve">. However, to make sure they haven’t missed any keywords, HDZ extracts all records for the prior year with a diagnosis code of heat-related illness. They then examine the chief complaints and triage notes for any additional inclusion/exclusion keywords. After a final keyword definition was created, HDZ used the discharge diagnosis to calculate the sensitivity and positive predictive value. They also compared daily counts identified by the heat-related illness diagnosis and keyword case definition with daily counts of heat-related hospitalizations to determine if temporal pattern was similar.  </w:t>
                            </w:r>
                          </w:p>
                          <w:p w:rsidR="000F15A4" w:rsidRDefault="000F15A4" w:rsidP="000F15A4">
                            <w:pPr>
                              <w:spacing w:after="200"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79000" id="_x0000_t202" coordsize="21600,21600" o:spt="202" path="m,l,21600r21600,l21600,xe">
                <v:stroke joinstyle="miter"/>
                <v:path gradientshapeok="t" o:connecttype="rect"/>
              </v:shapetype>
              <v:shape id="Text Box 2" o:spid="_x0000_s1026" type="#_x0000_t202" style="position:absolute;margin-left:195.75pt;margin-top:41.7pt;width:280pt;height:5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">
                <v:textbox>
                  <w:txbxContent>
                    <w:p w:rsidR="000F15A4" w:rsidRPr="00562CBB" w:rsidRDefault="000F15A4" w:rsidP="000F15A4">
                      <w:pPr>
                        <w:spacing w:after="200" w:line="276" w:lineRule="auto"/>
                        <w:rPr>
                          <w:rFonts w:ascii="Arial" w:hAnsi="Arial" w:cs="Arial"/>
                          <w:sz w:val="20"/>
                          <w:szCs w:val="20"/>
                        </w:rPr>
                      </w:pPr>
                      <w:r>
                        <w:rPr>
                          <w:rFonts w:ascii="Arial" w:hAnsi="Arial" w:cs="Arial"/>
                          <w:sz w:val="20"/>
                          <w:szCs w:val="20"/>
                        </w:rPr>
                        <w:t xml:space="preserve">Insert 1: </w:t>
                      </w:r>
                      <w:r w:rsidRPr="00562CBB">
                        <w:rPr>
                          <w:rFonts w:ascii="Arial" w:hAnsi="Arial" w:cs="Arial"/>
                          <w:sz w:val="20"/>
                          <w:szCs w:val="20"/>
                        </w:rPr>
                        <w:t xml:space="preserve">Hypothetical </w:t>
                      </w:r>
                      <w:r>
                        <w:rPr>
                          <w:rFonts w:ascii="Arial" w:hAnsi="Arial" w:cs="Arial"/>
                          <w:sz w:val="20"/>
                          <w:szCs w:val="20"/>
                        </w:rPr>
                        <w:t>case definition development</w:t>
                      </w:r>
                    </w:p>
                    <w:p w:rsidR="000F15A4" w:rsidRPr="00562CBB" w:rsidRDefault="000F15A4" w:rsidP="000F15A4">
                      <w:pPr>
                        <w:spacing w:after="200" w:line="276" w:lineRule="auto"/>
                        <w:rPr>
                          <w:rFonts w:ascii="Arial" w:hAnsi="Arial" w:cs="Arial"/>
                          <w:sz w:val="20"/>
                          <w:szCs w:val="20"/>
                        </w:rPr>
                      </w:pPr>
                      <w:r w:rsidRPr="00562CBB">
                        <w:rPr>
                          <w:rFonts w:ascii="Arial" w:hAnsi="Arial" w:cs="Arial"/>
                          <w:sz w:val="20"/>
                          <w:szCs w:val="20"/>
                        </w:rPr>
                        <w:t xml:space="preserve">Scenario 1: Health Department X (HDX) is preparing for a hurricane. As part of the emergency planning and response, a carbon monoxide case definition is developed. The exposure of interest is carbon monoxide poisoning due to generator misuse. HDX plans to update their emergency operations center (EOC) daily. The case definition query will be run every day till the EOC stands down or all power is restored. Based on prior information from the death certificate and hospital discharge records, HDX believes there is a low prevalence of carbon monoxide cases in their state. They decide to develop a broad definition based on chief complaint keywords that will capture as many cases as possible. After a conversation with a neighboring state, HDX decides to use a similar case definition. </w:t>
                      </w:r>
                      <w:r>
                        <w:rPr>
                          <w:rFonts w:ascii="Arial" w:hAnsi="Arial" w:cs="Arial"/>
                          <w:sz w:val="20"/>
                          <w:szCs w:val="20"/>
                        </w:rPr>
                        <w:t>During the response, HDX plans</w:t>
                      </w:r>
                      <w:r w:rsidRPr="00562CBB">
                        <w:rPr>
                          <w:rFonts w:ascii="Arial" w:hAnsi="Arial" w:cs="Arial"/>
                          <w:sz w:val="20"/>
                          <w:szCs w:val="20"/>
                        </w:rPr>
                        <w:t xml:space="preserve"> to manually review the chief complaints </w:t>
                      </w:r>
                      <w:r>
                        <w:rPr>
                          <w:rFonts w:ascii="Arial" w:hAnsi="Arial" w:cs="Arial"/>
                          <w:sz w:val="20"/>
                          <w:szCs w:val="20"/>
                        </w:rPr>
                        <w:t>from identified case</w:t>
                      </w:r>
                      <w:r w:rsidRPr="00562CBB">
                        <w:rPr>
                          <w:rFonts w:ascii="Arial" w:hAnsi="Arial" w:cs="Arial"/>
                          <w:sz w:val="20"/>
                          <w:szCs w:val="20"/>
                        </w:rPr>
                        <w:t xml:space="preserve">. </w:t>
                      </w:r>
                    </w:p>
                    <w:p w:rsidR="000F15A4" w:rsidRPr="00562CBB" w:rsidRDefault="000F15A4" w:rsidP="000F15A4">
                      <w:pPr>
                        <w:spacing w:after="200" w:line="276" w:lineRule="auto"/>
                        <w:rPr>
                          <w:rFonts w:ascii="Arial" w:hAnsi="Arial" w:cs="Arial"/>
                          <w:sz w:val="20"/>
                          <w:szCs w:val="20"/>
                        </w:rPr>
                      </w:pPr>
                      <w:r w:rsidRPr="00562CBB">
                        <w:rPr>
                          <w:rFonts w:ascii="Arial" w:hAnsi="Arial" w:cs="Arial"/>
                          <w:sz w:val="20"/>
                          <w:szCs w:val="20"/>
                        </w:rPr>
                        <w:t>Scenario 2:</w:t>
                      </w:r>
                      <w:r>
                        <w:rPr>
                          <w:rFonts w:ascii="Arial" w:hAnsi="Arial" w:cs="Arial"/>
                          <w:sz w:val="20"/>
                          <w:szCs w:val="20"/>
                        </w:rPr>
                        <w:t xml:space="preserve"> </w:t>
                      </w:r>
                      <w:r w:rsidRPr="000C5E02">
                        <w:rPr>
                          <w:rFonts w:ascii="Arial" w:hAnsi="Arial" w:cs="Arial"/>
                          <w:sz w:val="20"/>
                          <w:szCs w:val="20"/>
                        </w:rPr>
                        <w:t xml:space="preserve">Health Department Z (HDZ) has decided to use their syndromic surveillance system for surveillance of heat-related illness due to outdoor ambient temperature. After reviewing the literature, HDZ understands that high outdoor ambient temperature may result in many different health outcomes such as cardiovascular or respiratory disease. HDZ decides to use the specific outcome of heat-related illness. They decide to use both keywords and diagnosis codes. HDZ starts out by using the CSTE </w:t>
                      </w:r>
                      <w:r>
                        <w:rPr>
                          <w:rFonts w:ascii="Arial" w:hAnsi="Arial" w:cs="Arial"/>
                          <w:sz w:val="20"/>
                          <w:szCs w:val="20"/>
                        </w:rPr>
                        <w:t>h</w:t>
                      </w:r>
                      <w:r w:rsidRPr="000C5E02">
                        <w:rPr>
                          <w:rFonts w:ascii="Arial" w:hAnsi="Arial" w:cs="Arial"/>
                          <w:sz w:val="20"/>
                          <w:szCs w:val="20"/>
                        </w:rPr>
                        <w:t xml:space="preserve">eat </w:t>
                      </w:r>
                      <w:proofErr w:type="gramStart"/>
                      <w:r w:rsidRPr="000C5E02">
                        <w:rPr>
                          <w:rFonts w:ascii="Arial" w:hAnsi="Arial" w:cs="Arial"/>
                          <w:sz w:val="20"/>
                          <w:szCs w:val="20"/>
                        </w:rPr>
                        <w:t>query in ESSENCE</w:t>
                      </w:r>
                      <w:proofErr w:type="gramEnd"/>
                      <w:r w:rsidRPr="000C5E02">
                        <w:rPr>
                          <w:rFonts w:ascii="Arial" w:hAnsi="Arial" w:cs="Arial"/>
                          <w:sz w:val="20"/>
                          <w:szCs w:val="20"/>
                        </w:rPr>
                        <w:t xml:space="preserve">. However, to make sure they haven’t missed any keywords, HDZ extracts all records for the prior year with a diagnosis code of heat-related illness. They then examine the chief complaints and triage notes for any additional inclusion/exclusion keywords. After a final keyword definition was created, HDZ used the discharge diagnosis to calculate the sensitivity and positive predictive value. They also compared daily counts identified by the heat-related illness diagnosis and keyword case definition with daily counts of heat-related hospitalizations to determine if temporal pattern was similar.  </w:t>
                      </w:r>
                    </w:p>
                    <w:p w:rsidR="000F15A4" w:rsidRDefault="000F15A4" w:rsidP="000F15A4">
                      <w:pPr>
                        <w:spacing w:after="200" w:line="276" w:lineRule="auto"/>
                      </w:pPr>
                    </w:p>
                  </w:txbxContent>
                </v:textbox>
                <w10:wrap type="square"/>
              </v:shape>
            </w:pict>
          </mc:Fallback>
        </mc:AlternateContent>
      </w:r>
      <w:r>
        <w:rPr>
          <w:rFonts w:ascii="Arial" w:hAnsi="Arial" w:cs="Arial"/>
          <w:sz w:val="20"/>
          <w:szCs w:val="20"/>
        </w:rPr>
        <w:t>After the syndrome case definition has been finalized, alert thresholds will need to be determined. These thresholds may be based on the statistical algorithms used by your jurisdiction’s syndromic surveillance system</w:t>
      </w:r>
      <w:r>
        <w:rPr>
          <w:rStyle w:val="FootnoteReference"/>
          <w:rFonts w:ascii="Arial" w:hAnsi="Arial" w:cs="Arial"/>
          <w:sz w:val="20"/>
          <w:szCs w:val="20"/>
        </w:rPr>
        <w:footnoteReference w:id="2"/>
      </w:r>
      <w:r>
        <w:rPr>
          <w:rFonts w:ascii="Arial" w:hAnsi="Arial" w:cs="Arial"/>
          <w:sz w:val="20"/>
          <w:szCs w:val="20"/>
        </w:rPr>
        <w:t xml:space="preserve"> to identify higher than expected number of syndrome cases (i.e., surveillance signals). Alternatively, it may be decided that all identified syndrome cases should be reviewed. The frequency of review will depend on the purpose of the surveillance.</w:t>
      </w:r>
    </w:p>
    <w:p w:rsidR="000F15A4" w:rsidRPr="00913186" w:rsidRDefault="000F15A4" w:rsidP="000F15A4">
      <w:pPr>
        <w:pStyle w:val="Heading2"/>
      </w:pPr>
      <w:bookmarkStart w:id="1" w:name="_Toc489027476"/>
      <w:r w:rsidRPr="00913186">
        <w:t>Keywords</w:t>
      </w:r>
      <w:bookmarkEnd w:id="1"/>
      <w:r w:rsidRPr="00913186">
        <w:tab/>
      </w:r>
    </w:p>
    <w:p w:rsidR="000F15A4" w:rsidRPr="00D53020" w:rsidRDefault="000F15A4" w:rsidP="000F15A4">
      <w:pPr>
        <w:spacing w:line="360" w:lineRule="auto"/>
        <w:rPr>
          <w:rFonts w:ascii="Arial" w:hAnsi="Arial" w:cs="Arial"/>
          <w:sz w:val="20"/>
          <w:szCs w:val="20"/>
        </w:rPr>
      </w:pPr>
      <w:r w:rsidRPr="00D53020">
        <w:rPr>
          <w:rFonts w:ascii="Arial" w:hAnsi="Arial" w:cs="Arial"/>
          <w:sz w:val="20"/>
          <w:szCs w:val="20"/>
        </w:rPr>
        <w:t xml:space="preserve">Keywords are identified from </w:t>
      </w:r>
      <w:r>
        <w:rPr>
          <w:rFonts w:ascii="Arial" w:hAnsi="Arial" w:cs="Arial"/>
          <w:sz w:val="20"/>
          <w:szCs w:val="20"/>
        </w:rPr>
        <w:t xml:space="preserve">preclinical </w:t>
      </w:r>
      <w:r w:rsidRPr="00D53020">
        <w:rPr>
          <w:rFonts w:ascii="Arial" w:hAnsi="Arial" w:cs="Arial"/>
          <w:sz w:val="20"/>
          <w:szCs w:val="20"/>
        </w:rPr>
        <w:t>administrative notes (</w:t>
      </w:r>
      <w:r>
        <w:rPr>
          <w:rFonts w:ascii="Arial" w:hAnsi="Arial" w:cs="Arial"/>
          <w:sz w:val="20"/>
          <w:szCs w:val="20"/>
        </w:rPr>
        <w:t xml:space="preserve">e.g., </w:t>
      </w:r>
      <w:r w:rsidRPr="00D53020">
        <w:rPr>
          <w:rFonts w:ascii="Arial" w:hAnsi="Arial" w:cs="Arial"/>
          <w:sz w:val="20"/>
          <w:szCs w:val="20"/>
        </w:rPr>
        <w:t>chief complaints or triage notes) whi</w:t>
      </w:r>
      <w:r>
        <w:rPr>
          <w:rFonts w:ascii="Arial" w:hAnsi="Arial" w:cs="Arial"/>
          <w:sz w:val="20"/>
          <w:szCs w:val="20"/>
        </w:rPr>
        <w:t xml:space="preserve">ch are usually free text fields. However, some facilities use pre-defined chief complaint pick-lists (e.g., drop down menus). </w:t>
      </w:r>
      <w:r w:rsidRPr="00D53020">
        <w:rPr>
          <w:rFonts w:ascii="Arial" w:hAnsi="Arial" w:cs="Arial"/>
          <w:sz w:val="20"/>
          <w:szCs w:val="20"/>
        </w:rPr>
        <w:t>These administrative notes are typically recorded at time of the intake/admission and are based on the patient’s complaint or the nurse’s</w:t>
      </w:r>
      <w:r>
        <w:rPr>
          <w:rFonts w:ascii="Arial" w:hAnsi="Arial" w:cs="Arial"/>
          <w:sz w:val="20"/>
          <w:szCs w:val="20"/>
        </w:rPr>
        <w:t xml:space="preserve"> initial assessment of that patient at triage</w:t>
      </w:r>
      <w:r w:rsidRPr="00D53020">
        <w:rPr>
          <w:rFonts w:ascii="Arial" w:hAnsi="Arial" w:cs="Arial"/>
          <w:sz w:val="20"/>
          <w:szCs w:val="20"/>
        </w:rPr>
        <w:t>. These notes are available in near real-time – dependent on when the system is updated (</w:t>
      </w:r>
      <w:r>
        <w:rPr>
          <w:rFonts w:ascii="Arial" w:hAnsi="Arial" w:cs="Arial"/>
          <w:sz w:val="20"/>
          <w:szCs w:val="20"/>
        </w:rPr>
        <w:t xml:space="preserve">e.g., hourly, </w:t>
      </w:r>
      <w:r w:rsidRPr="00D53020">
        <w:rPr>
          <w:rFonts w:ascii="Arial" w:hAnsi="Arial" w:cs="Arial"/>
          <w:sz w:val="20"/>
          <w:szCs w:val="20"/>
        </w:rPr>
        <w:t xml:space="preserve">every 12 hours, every 24 hours). For each record in the syndromic surveillance system, specific inclusion and exclusion keywords located in the administrative notes are used to identify cases with symptoms of a </w:t>
      </w:r>
      <w:proofErr w:type="gramStart"/>
      <w:r w:rsidRPr="00D53020">
        <w:rPr>
          <w:rFonts w:ascii="Arial" w:hAnsi="Arial" w:cs="Arial"/>
          <w:sz w:val="20"/>
          <w:szCs w:val="20"/>
        </w:rPr>
        <w:t>particular outcome</w:t>
      </w:r>
      <w:proofErr w:type="gramEnd"/>
      <w:r w:rsidRPr="00D53020">
        <w:rPr>
          <w:rFonts w:ascii="Arial" w:hAnsi="Arial" w:cs="Arial"/>
          <w:sz w:val="20"/>
          <w:szCs w:val="20"/>
        </w:rPr>
        <w:t xml:space="preserve"> or exposure. The inclusion keywords are used to identify potential cases. The exclusion keywords are used to remove cases that have an inclusion keyword but do not have the outcome symptoms. For instance, if the goal is to identify cases of carbon monoxide poisoning due to generators, then an exclusion keyword may be “fire</w:t>
      </w:r>
      <w:r>
        <w:rPr>
          <w:rFonts w:ascii="Arial" w:hAnsi="Arial" w:cs="Arial"/>
          <w:sz w:val="20"/>
          <w:szCs w:val="20"/>
        </w:rPr>
        <w:t>.</w:t>
      </w:r>
      <w:r w:rsidRPr="00D53020">
        <w:rPr>
          <w:rFonts w:ascii="Arial" w:hAnsi="Arial" w:cs="Arial"/>
          <w:sz w:val="20"/>
          <w:szCs w:val="20"/>
        </w:rPr>
        <w:t>” Cases with carbon monoxide poisoning due to smoke inhalation wo</w:t>
      </w:r>
      <w:r>
        <w:rPr>
          <w:rFonts w:ascii="Arial" w:hAnsi="Arial" w:cs="Arial"/>
          <w:sz w:val="20"/>
          <w:szCs w:val="20"/>
        </w:rPr>
        <w:t xml:space="preserve">uld then be removed. </w:t>
      </w:r>
      <w:r>
        <w:rPr>
          <w:rFonts w:ascii="Arial" w:hAnsi="Arial" w:cs="Arial"/>
          <w:sz w:val="20"/>
          <w:szCs w:val="20"/>
        </w:rPr>
        <w:lastRenderedPageBreak/>
        <w:t>D</w:t>
      </w:r>
      <w:r w:rsidRPr="00D53020">
        <w:rPr>
          <w:rFonts w:ascii="Arial" w:hAnsi="Arial" w:cs="Arial"/>
          <w:sz w:val="20"/>
          <w:szCs w:val="20"/>
        </w:rPr>
        <w:t>ependent on the jurisdiction</w:t>
      </w:r>
      <w:r>
        <w:rPr>
          <w:rFonts w:ascii="Arial" w:hAnsi="Arial" w:cs="Arial"/>
          <w:sz w:val="20"/>
          <w:szCs w:val="20"/>
        </w:rPr>
        <w:t>,</w:t>
      </w:r>
      <w:r w:rsidRPr="00D53020">
        <w:rPr>
          <w:rFonts w:ascii="Arial" w:hAnsi="Arial" w:cs="Arial"/>
          <w:sz w:val="20"/>
          <w:szCs w:val="20"/>
        </w:rPr>
        <w:t xml:space="preserve"> keywords may be in languages other than English (</w:t>
      </w:r>
      <w:r>
        <w:rPr>
          <w:rFonts w:ascii="Arial" w:hAnsi="Arial" w:cs="Arial"/>
          <w:sz w:val="20"/>
          <w:szCs w:val="20"/>
        </w:rPr>
        <w:t xml:space="preserve">e.g., </w:t>
      </w:r>
      <w:proofErr w:type="spellStart"/>
      <w:r w:rsidRPr="00D53020">
        <w:rPr>
          <w:rFonts w:ascii="Arial" w:hAnsi="Arial" w:cs="Arial"/>
          <w:sz w:val="20"/>
          <w:szCs w:val="20"/>
        </w:rPr>
        <w:t>Demasiado</w:t>
      </w:r>
      <w:proofErr w:type="spellEnd"/>
      <w:r w:rsidRPr="00D53020">
        <w:rPr>
          <w:rFonts w:ascii="Arial" w:hAnsi="Arial" w:cs="Arial"/>
          <w:sz w:val="20"/>
          <w:szCs w:val="20"/>
        </w:rPr>
        <w:t xml:space="preserve"> </w:t>
      </w:r>
      <w:proofErr w:type="spellStart"/>
      <w:r w:rsidRPr="00D53020">
        <w:rPr>
          <w:rFonts w:ascii="Arial" w:hAnsi="Arial" w:cs="Arial"/>
          <w:sz w:val="20"/>
          <w:szCs w:val="20"/>
        </w:rPr>
        <w:t>caliente</w:t>
      </w:r>
      <w:proofErr w:type="spellEnd"/>
      <w:r w:rsidRPr="00D53020">
        <w:rPr>
          <w:rFonts w:ascii="Arial" w:hAnsi="Arial" w:cs="Arial"/>
          <w:sz w:val="20"/>
          <w:szCs w:val="20"/>
        </w:rPr>
        <w:t xml:space="preserve"> [English translation: too hot]) or may be abbreviations (</w:t>
      </w:r>
      <w:r>
        <w:rPr>
          <w:rFonts w:ascii="Arial" w:hAnsi="Arial" w:cs="Arial"/>
          <w:sz w:val="20"/>
          <w:szCs w:val="20"/>
        </w:rPr>
        <w:t xml:space="preserve">e.g., </w:t>
      </w:r>
      <w:r w:rsidRPr="00D53020">
        <w:rPr>
          <w:rFonts w:ascii="Arial" w:hAnsi="Arial" w:cs="Arial"/>
          <w:sz w:val="20"/>
          <w:szCs w:val="20"/>
        </w:rPr>
        <w:t>OTJ = on the job). The process of identifying syndrome keywords is iterative and may include a combination of the methods discussed below. These methods were identified by the workgroup as common ways of identifying syndrome keywords. The use of the method(s) will depend on the resources available to the public health practitioner. Note that none of the methods are exact and there is a component of personal decision making.</w:t>
      </w:r>
    </w:p>
    <w:p w:rsidR="000F15A4" w:rsidRDefault="000F15A4" w:rsidP="000F15A4">
      <w:pPr>
        <w:spacing w:line="360" w:lineRule="auto"/>
        <w:rPr>
          <w:rFonts w:ascii="Arial" w:hAnsi="Arial" w:cs="Arial"/>
          <w:sz w:val="20"/>
          <w:szCs w:val="20"/>
        </w:rPr>
      </w:pPr>
      <w:r w:rsidRPr="00D53020">
        <w:rPr>
          <w:rFonts w:ascii="Arial" w:hAnsi="Arial" w:cs="Arial"/>
          <w:sz w:val="20"/>
          <w:szCs w:val="20"/>
          <w:u w:val="single"/>
        </w:rPr>
        <w:t>Identify keywords based on keywords used in another jurisdiction’s syndromic surveillance system</w:t>
      </w:r>
      <w:r w:rsidRPr="0024514D">
        <w:rPr>
          <w:rFonts w:ascii="Arial" w:hAnsi="Arial" w:cs="Arial"/>
          <w:sz w:val="20"/>
          <w:szCs w:val="20"/>
        </w:rPr>
        <w:t>:</w:t>
      </w:r>
      <w:r w:rsidRPr="00F321AB">
        <w:rPr>
          <w:rFonts w:ascii="Arial" w:hAnsi="Arial" w:cs="Arial"/>
          <w:sz w:val="20"/>
          <w:szCs w:val="20"/>
        </w:rPr>
        <w:t xml:space="preserve"> </w:t>
      </w:r>
      <w:r w:rsidRPr="00D53020">
        <w:rPr>
          <w:rFonts w:ascii="Arial" w:hAnsi="Arial" w:cs="Arial"/>
          <w:sz w:val="20"/>
          <w:szCs w:val="20"/>
        </w:rPr>
        <w:t xml:space="preserve">This can be as simple as contacting a colleague from another jurisdiction and requesting their case definition. Depending on the syndrome, there may be guidance documents available with a summary of keywords. For instance, </w:t>
      </w:r>
      <w:r w:rsidRPr="00050F2D">
        <w:rPr>
          <w:rFonts w:ascii="Arial" w:hAnsi="Arial" w:cs="Arial"/>
          <w:b/>
          <w:sz w:val="20"/>
          <w:szCs w:val="20"/>
        </w:rPr>
        <w:t>Table 2</w:t>
      </w:r>
      <w:r w:rsidRPr="00D53020">
        <w:rPr>
          <w:rFonts w:ascii="Arial" w:hAnsi="Arial" w:cs="Arial"/>
          <w:sz w:val="20"/>
          <w:szCs w:val="20"/>
        </w:rPr>
        <w:t xml:space="preserve"> contains the carbon monoxide keyword definitions from multiple states. Heat-related illness syndrome keywords were published in a </w:t>
      </w:r>
      <w:r>
        <w:rPr>
          <w:rFonts w:ascii="Arial" w:hAnsi="Arial" w:cs="Arial"/>
          <w:sz w:val="20"/>
          <w:szCs w:val="20"/>
        </w:rPr>
        <w:t>Council of State and Territorial Epidemiologist (</w:t>
      </w:r>
      <w:r w:rsidRPr="00D53020">
        <w:rPr>
          <w:rFonts w:ascii="Arial" w:hAnsi="Arial" w:cs="Arial"/>
          <w:sz w:val="20"/>
          <w:szCs w:val="20"/>
        </w:rPr>
        <w:t>CSTE</w:t>
      </w:r>
      <w:r>
        <w:rPr>
          <w:rFonts w:ascii="Arial" w:hAnsi="Arial" w:cs="Arial"/>
          <w:sz w:val="20"/>
          <w:szCs w:val="20"/>
        </w:rPr>
        <w:t>)</w:t>
      </w:r>
      <w:r w:rsidRPr="00D53020">
        <w:rPr>
          <w:rFonts w:ascii="Arial" w:hAnsi="Arial" w:cs="Arial"/>
          <w:sz w:val="20"/>
          <w:szCs w:val="20"/>
        </w:rPr>
        <w:t xml:space="preserve"> guidance document for heat-related syndromic surveillance [CSTE 2016]. A literature search may also provide articles with keywords used in prior studies.</w:t>
      </w:r>
    </w:p>
    <w:p w:rsidR="000F15A4" w:rsidRPr="00D53020" w:rsidRDefault="000F15A4" w:rsidP="000F15A4">
      <w:pPr>
        <w:spacing w:line="360" w:lineRule="auto"/>
        <w:rPr>
          <w:rFonts w:ascii="Arial" w:hAnsi="Arial" w:cs="Arial"/>
          <w:sz w:val="20"/>
          <w:szCs w:val="20"/>
        </w:rPr>
      </w:pPr>
      <w:r w:rsidRPr="00D53020">
        <w:rPr>
          <w:rFonts w:ascii="Arial" w:hAnsi="Arial" w:cs="Arial"/>
          <w:sz w:val="20"/>
          <w:szCs w:val="20"/>
          <w:u w:val="single"/>
        </w:rPr>
        <w:t>Identify keywords based on diagnosis codes</w:t>
      </w:r>
      <w:r w:rsidRPr="0024514D">
        <w:rPr>
          <w:rFonts w:ascii="Arial" w:hAnsi="Arial" w:cs="Arial"/>
          <w:sz w:val="20"/>
          <w:szCs w:val="20"/>
        </w:rPr>
        <w:t>:</w:t>
      </w:r>
      <w:r w:rsidRPr="00D53020">
        <w:rPr>
          <w:rFonts w:ascii="Arial" w:hAnsi="Arial" w:cs="Arial"/>
          <w:sz w:val="20"/>
          <w:szCs w:val="20"/>
        </w:rPr>
        <w:t xml:space="preserve"> This method requires your syndromic surveillance system to receive diagnosis codes. The system may contain one diagnosis text field with multiple diagnosis codes or multiple numeric diagnosis fields with a single diagnosis code per field. This method works well for outcomes with a clear diag</w:t>
      </w:r>
      <w:r>
        <w:rPr>
          <w:rFonts w:ascii="Arial" w:hAnsi="Arial" w:cs="Arial"/>
          <w:sz w:val="20"/>
          <w:szCs w:val="20"/>
        </w:rPr>
        <w:t>nosis</w:t>
      </w:r>
      <w:r w:rsidRPr="00D53020">
        <w:rPr>
          <w:rFonts w:ascii="Arial" w:hAnsi="Arial" w:cs="Arial"/>
          <w:sz w:val="20"/>
          <w:szCs w:val="20"/>
        </w:rPr>
        <w:t xml:space="preserve"> code. For instance, the diagnosis code for the toxic effects of carbon monoxide is ICD-10-CM T58 or ICD-9-CM 986. All records with the desired diagnosis codes (</w:t>
      </w:r>
      <w:r>
        <w:rPr>
          <w:rFonts w:ascii="Arial" w:hAnsi="Arial" w:cs="Arial"/>
          <w:sz w:val="20"/>
          <w:szCs w:val="20"/>
        </w:rPr>
        <w:t xml:space="preserve">e.g., </w:t>
      </w:r>
      <w:r w:rsidRPr="00D53020">
        <w:rPr>
          <w:rFonts w:ascii="Arial" w:hAnsi="Arial" w:cs="Arial"/>
          <w:sz w:val="20"/>
          <w:szCs w:val="20"/>
        </w:rPr>
        <w:t>ICD-10-CM T58) are extracted</w:t>
      </w:r>
      <w:r>
        <w:rPr>
          <w:rFonts w:ascii="Arial" w:hAnsi="Arial" w:cs="Arial"/>
          <w:sz w:val="20"/>
          <w:szCs w:val="20"/>
        </w:rPr>
        <w:t xml:space="preserve"> into a dataset</w:t>
      </w:r>
      <w:r w:rsidRPr="00D53020">
        <w:rPr>
          <w:rFonts w:ascii="Arial" w:hAnsi="Arial" w:cs="Arial"/>
          <w:sz w:val="20"/>
          <w:szCs w:val="20"/>
        </w:rPr>
        <w:t xml:space="preserve">. The corresponding chief complaints and, if available, triage notes are read to identify keywords. This process can be done manually by reading each record and visually identifying the most common outcome-specific words. Or the data can be placed into a text mining program to identify common outcome-specific words. The threshold for a “common” word will be determined by the public health practitioner and the frequency of words (or phrases) within the data.    </w:t>
      </w:r>
    </w:p>
    <w:p w:rsidR="000F15A4" w:rsidRDefault="000F15A4" w:rsidP="000F15A4">
      <w:pPr>
        <w:spacing w:line="360" w:lineRule="auto"/>
        <w:rPr>
          <w:rFonts w:ascii="Arial" w:hAnsi="Arial" w:cs="Arial"/>
          <w:sz w:val="20"/>
          <w:szCs w:val="20"/>
        </w:rPr>
      </w:pPr>
      <w:r w:rsidRPr="00D53020">
        <w:rPr>
          <w:rFonts w:ascii="Arial" w:hAnsi="Arial" w:cs="Arial"/>
          <w:sz w:val="20"/>
          <w:szCs w:val="20"/>
          <w:u w:val="single"/>
        </w:rPr>
        <w:t>Identify keywords based on an event</w:t>
      </w:r>
      <w:r w:rsidRPr="0024514D">
        <w:rPr>
          <w:rFonts w:ascii="Arial" w:hAnsi="Arial" w:cs="Arial"/>
          <w:sz w:val="20"/>
          <w:szCs w:val="20"/>
        </w:rPr>
        <w:t xml:space="preserve">: </w:t>
      </w:r>
      <w:r w:rsidRPr="00D53020">
        <w:rPr>
          <w:rFonts w:ascii="Arial" w:hAnsi="Arial" w:cs="Arial"/>
          <w:sz w:val="20"/>
          <w:szCs w:val="20"/>
        </w:rPr>
        <w:t xml:space="preserve">This approach is retrospective. After a </w:t>
      </w:r>
      <w:proofErr w:type="gramStart"/>
      <w:r w:rsidRPr="00D53020">
        <w:rPr>
          <w:rFonts w:ascii="Arial" w:hAnsi="Arial" w:cs="Arial"/>
          <w:sz w:val="20"/>
          <w:szCs w:val="20"/>
        </w:rPr>
        <w:t>particular event</w:t>
      </w:r>
      <w:proofErr w:type="gramEnd"/>
      <w:r w:rsidRPr="00D53020">
        <w:rPr>
          <w:rFonts w:ascii="Arial" w:hAnsi="Arial" w:cs="Arial"/>
          <w:sz w:val="20"/>
          <w:szCs w:val="20"/>
        </w:rPr>
        <w:t xml:space="preserve"> has occurred, like a flood or a hurricane, all records during the event time period and the affec</w:t>
      </w:r>
      <w:r>
        <w:rPr>
          <w:rFonts w:ascii="Arial" w:hAnsi="Arial" w:cs="Arial"/>
          <w:sz w:val="20"/>
          <w:szCs w:val="20"/>
        </w:rPr>
        <w:t>ted geographic area can be extracted into a dataset</w:t>
      </w:r>
      <w:r w:rsidRPr="00D53020">
        <w:rPr>
          <w:rFonts w:ascii="Arial" w:hAnsi="Arial" w:cs="Arial"/>
          <w:sz w:val="20"/>
          <w:szCs w:val="20"/>
        </w:rPr>
        <w:t xml:space="preserve">. </w:t>
      </w:r>
      <w:proofErr w:type="gramStart"/>
      <w:r w:rsidRPr="00D53020">
        <w:rPr>
          <w:rFonts w:ascii="Arial" w:hAnsi="Arial" w:cs="Arial"/>
          <w:sz w:val="20"/>
          <w:szCs w:val="20"/>
        </w:rPr>
        <w:t>Similar to</w:t>
      </w:r>
      <w:proofErr w:type="gramEnd"/>
      <w:r w:rsidRPr="00D53020">
        <w:rPr>
          <w:rFonts w:ascii="Arial" w:hAnsi="Arial" w:cs="Arial"/>
          <w:sz w:val="20"/>
          <w:szCs w:val="20"/>
        </w:rPr>
        <w:t xml:space="preserve"> the prior method, the chief comp</w:t>
      </w:r>
      <w:r>
        <w:rPr>
          <w:rFonts w:ascii="Arial" w:hAnsi="Arial" w:cs="Arial"/>
          <w:sz w:val="20"/>
          <w:szCs w:val="20"/>
        </w:rPr>
        <w:t>laints and triage notes are reviewed</w:t>
      </w:r>
      <w:r w:rsidRPr="00D53020">
        <w:rPr>
          <w:rFonts w:ascii="Arial" w:hAnsi="Arial" w:cs="Arial"/>
          <w:sz w:val="20"/>
          <w:szCs w:val="20"/>
        </w:rPr>
        <w:t xml:space="preserve"> to identify the most common keywords.</w:t>
      </w:r>
    </w:p>
    <w:p w:rsidR="000F15A4" w:rsidRDefault="000F15A4" w:rsidP="000F15A4">
      <w:pPr>
        <w:pStyle w:val="NoSpacing"/>
        <w:spacing w:after="160" w:line="360" w:lineRule="auto"/>
        <w:rPr>
          <w:rFonts w:ascii="Arial" w:hAnsi="Arial" w:cs="Arial"/>
          <w:sz w:val="20"/>
        </w:rPr>
      </w:pPr>
      <w:r w:rsidRPr="00D53020">
        <w:rPr>
          <w:rFonts w:ascii="Arial" w:hAnsi="Arial" w:cs="Arial"/>
          <w:sz w:val="20"/>
          <w:szCs w:val="20"/>
          <w:u w:val="single"/>
        </w:rPr>
        <w:t>Identify keywords by speaking with partners</w:t>
      </w:r>
      <w:r w:rsidRPr="0024514D">
        <w:rPr>
          <w:rFonts w:ascii="Arial" w:hAnsi="Arial" w:cs="Arial"/>
          <w:sz w:val="20"/>
          <w:szCs w:val="20"/>
        </w:rPr>
        <w:t>:</w:t>
      </w:r>
      <w:r>
        <w:rPr>
          <w:rFonts w:ascii="Arial" w:hAnsi="Arial" w:cs="Arial"/>
          <w:sz w:val="20"/>
          <w:szCs w:val="20"/>
        </w:rPr>
        <w:t xml:space="preserve"> Keywords may be identified by discussing syndrome case definition creation with knowledgeable partners, especially e</w:t>
      </w:r>
      <w:r>
        <w:rPr>
          <w:rFonts w:ascii="Arial" w:hAnsi="Arial" w:cs="Arial"/>
          <w:sz w:val="20"/>
        </w:rPr>
        <w:t xml:space="preserve">xperts on the health outcome and community members and medical professionals who are familiar with the populations who most often develop these outcomes. Community members and stakeholders may be able to provide more detailed and granular information for defining keywords as well as timeliness of when to use the keywords </w:t>
      </w:r>
      <w:r w:rsidRPr="007B1E33">
        <w:rPr>
          <w:rFonts w:ascii="Arial" w:hAnsi="Arial" w:cs="Arial"/>
          <w:sz w:val="20"/>
        </w:rPr>
        <w:t>(see Other Factors, page 15), whereas</w:t>
      </w:r>
      <w:r>
        <w:rPr>
          <w:rFonts w:ascii="Arial" w:hAnsi="Arial" w:cs="Arial"/>
          <w:sz w:val="20"/>
        </w:rPr>
        <w:t xml:space="preserve"> experts on the outcome may help more with common diagnosis codes and where to look for </w:t>
      </w:r>
      <w:proofErr w:type="gramStart"/>
      <w:r>
        <w:rPr>
          <w:rFonts w:ascii="Arial" w:hAnsi="Arial" w:cs="Arial"/>
          <w:sz w:val="20"/>
        </w:rPr>
        <w:t>important information</w:t>
      </w:r>
      <w:proofErr w:type="gramEnd"/>
      <w:r>
        <w:rPr>
          <w:rFonts w:ascii="Arial" w:hAnsi="Arial" w:cs="Arial"/>
          <w:sz w:val="20"/>
        </w:rPr>
        <w:t xml:space="preserve"> within available data elements.</w:t>
      </w:r>
    </w:p>
    <w:p w:rsidR="000F15A4" w:rsidRDefault="000F15A4" w:rsidP="000F15A4">
      <w:pPr>
        <w:pStyle w:val="NoSpacing"/>
        <w:spacing w:after="160" w:line="360" w:lineRule="auto"/>
        <w:rPr>
          <w:rFonts w:ascii="Arial" w:hAnsi="Arial" w:cs="Arial"/>
          <w:sz w:val="20"/>
        </w:rPr>
      </w:pPr>
      <w:r w:rsidRPr="005563F9">
        <w:rPr>
          <w:rFonts w:ascii="Arial" w:hAnsi="Arial" w:cs="Arial"/>
          <w:sz w:val="20"/>
          <w:u w:val="single"/>
        </w:rPr>
        <w:lastRenderedPageBreak/>
        <w:t>Identify keywords based on an activity</w:t>
      </w:r>
      <w:r w:rsidRPr="005563F9">
        <w:rPr>
          <w:rFonts w:ascii="Arial" w:hAnsi="Arial" w:cs="Arial"/>
          <w:sz w:val="20"/>
        </w:rPr>
        <w:t>: This approach attempts to capture visits where the injury or illness may be due to a climate-related or impacted activity. For instance, the New Jersey Department of Health created a case definition to identify injuries to tree workers (</w:t>
      </w:r>
      <w:r w:rsidRPr="003E2CE5">
        <w:rPr>
          <w:rFonts w:ascii="Arial" w:hAnsi="Arial" w:cs="Arial"/>
          <w:sz w:val="20"/>
        </w:rPr>
        <w:t>e.g., when</w:t>
      </w:r>
      <w:r>
        <w:rPr>
          <w:rFonts w:ascii="Arial" w:hAnsi="Arial" w:cs="Arial"/>
          <w:sz w:val="20"/>
        </w:rPr>
        <w:t xml:space="preserve"> clearing roadways or downed wires)</w:t>
      </w:r>
      <w:r w:rsidRPr="005563F9">
        <w:rPr>
          <w:rFonts w:ascii="Arial" w:hAnsi="Arial" w:cs="Arial"/>
          <w:sz w:val="20"/>
        </w:rPr>
        <w:t xml:space="preserve"> in the aftermath of hurricanes </w:t>
      </w:r>
      <w:r>
        <w:rPr>
          <w:rFonts w:ascii="Arial" w:hAnsi="Arial" w:cs="Arial"/>
          <w:sz w:val="20"/>
        </w:rPr>
        <w:t>[</w:t>
      </w:r>
      <w:r w:rsidRPr="003E2CE5">
        <w:rPr>
          <w:rFonts w:ascii="Arial" w:hAnsi="Arial" w:cs="Arial"/>
          <w:sz w:val="20"/>
        </w:rPr>
        <w:t>Borjan</w:t>
      </w:r>
      <w:r>
        <w:rPr>
          <w:rFonts w:ascii="Arial" w:hAnsi="Arial" w:cs="Arial"/>
          <w:sz w:val="20"/>
        </w:rPr>
        <w:t xml:space="preserve"> 2017b</w:t>
      </w:r>
      <w:r w:rsidRPr="005563F9">
        <w:rPr>
          <w:rFonts w:ascii="Arial" w:hAnsi="Arial" w:cs="Arial"/>
          <w:sz w:val="20"/>
        </w:rPr>
        <w:t>]. This method may require input from partners. Again, the chief complaints and triage notes are reviewed to identify the most common keywords. For this approach, it may be best to start with a very broad case definition.</w:t>
      </w:r>
      <w:r>
        <w:rPr>
          <w:rFonts w:ascii="Arial" w:hAnsi="Arial" w:cs="Arial"/>
          <w:sz w:val="20"/>
        </w:rPr>
        <w:t xml:space="preserve"> After reviewing visits captured by the broad case definition, the case definition can subsequently be narrowed by refining keywords or by the addition of exclusion terms. Addition of common misspellings of keywords to the case definition should be considered due to the nature of free text entry of chief complaints in many ED (e.g., including “CO2” in a carbon monoxide poisoning syndrome case definition).</w:t>
      </w:r>
    </w:p>
    <w:p w:rsidR="000F15A4" w:rsidRDefault="000F15A4" w:rsidP="000F15A4">
      <w:pPr>
        <w:spacing w:line="360" w:lineRule="auto"/>
        <w:rPr>
          <w:rFonts w:ascii="Arial" w:hAnsi="Arial" w:cs="Arial"/>
          <w:sz w:val="20"/>
          <w:szCs w:val="20"/>
        </w:rPr>
      </w:pPr>
      <w:r>
        <w:rPr>
          <w:rFonts w:ascii="Arial" w:hAnsi="Arial" w:cs="Arial"/>
          <w:sz w:val="20"/>
          <w:szCs w:val="20"/>
          <w:u w:val="single"/>
        </w:rPr>
        <w:t>Identify keywords by machine learning</w:t>
      </w:r>
      <w:r w:rsidRPr="00A96AE9">
        <w:rPr>
          <w:rFonts w:ascii="Arial" w:hAnsi="Arial" w:cs="Arial"/>
          <w:sz w:val="20"/>
          <w:szCs w:val="20"/>
        </w:rPr>
        <w:t>:</w:t>
      </w:r>
      <w:r w:rsidRPr="00F4101F">
        <w:rPr>
          <w:rFonts w:ascii="Arial" w:hAnsi="Arial" w:cs="Arial"/>
          <w:sz w:val="20"/>
          <w:szCs w:val="20"/>
        </w:rPr>
        <w:t xml:space="preserve"> The iterative process of refining the case definition can be automated. While this may be a more complicated method and is dependent on available expertise, it may provide a more accurate case definition and reduce the time allocation required for refining and updating the definition. A simple machine learning process is detailed in a later section of this document </w:t>
      </w:r>
      <w:r w:rsidRPr="007B1E33">
        <w:rPr>
          <w:rFonts w:ascii="Arial" w:hAnsi="Arial" w:cs="Arial"/>
          <w:sz w:val="20"/>
          <w:szCs w:val="20"/>
        </w:rPr>
        <w:t>(Page 19</w:t>
      </w:r>
      <w:r w:rsidRPr="00F4101F">
        <w:rPr>
          <w:rFonts w:ascii="Arial" w:hAnsi="Arial" w:cs="Arial"/>
          <w:sz w:val="20"/>
          <w:szCs w:val="20"/>
        </w:rPr>
        <w:t xml:space="preserve">). </w:t>
      </w:r>
      <w:r w:rsidRPr="00D72AC2">
        <w:rPr>
          <w:rFonts w:ascii="Arial" w:hAnsi="Arial" w:cs="Arial"/>
          <w:sz w:val="20"/>
          <w:szCs w:val="20"/>
        </w:rPr>
        <w:t xml:space="preserve">As </w:t>
      </w:r>
      <w:proofErr w:type="gramStart"/>
      <w:r w:rsidRPr="00D72AC2">
        <w:rPr>
          <w:rFonts w:ascii="Arial" w:hAnsi="Arial" w:cs="Arial"/>
          <w:sz w:val="20"/>
          <w:szCs w:val="20"/>
        </w:rPr>
        <w:t>a brief summary</w:t>
      </w:r>
      <w:proofErr w:type="gramEnd"/>
      <w:r w:rsidRPr="00D72AC2">
        <w:rPr>
          <w:rFonts w:ascii="Arial" w:hAnsi="Arial" w:cs="Arial"/>
          <w:sz w:val="20"/>
          <w:szCs w:val="20"/>
        </w:rPr>
        <w:t>, the process starts by creating a data set of true positive and true negative cases (i.e., ED visits with and without the syndrome of interest) containing a column that identifies/labels them as such, followed by transforming the data set for analysis and development of a statistical model.</w:t>
      </w:r>
      <w:r w:rsidRPr="00F4101F">
        <w:rPr>
          <w:rFonts w:ascii="Arial" w:hAnsi="Arial" w:cs="Arial"/>
          <w:sz w:val="20"/>
          <w:szCs w:val="20"/>
        </w:rPr>
        <w:t xml:space="preserve"> The frequency of each word is identified and the public health practitioner can decide manually or via a statistical algorithm to include or exclude additional words.</w:t>
      </w:r>
    </w:p>
    <w:p w:rsidR="000F15A4" w:rsidRPr="00913186" w:rsidRDefault="000F15A4" w:rsidP="000F15A4">
      <w:pPr>
        <w:pStyle w:val="Heading2"/>
      </w:pPr>
      <w:bookmarkStart w:id="2" w:name="_Toc489027477"/>
      <w:r w:rsidRPr="00913186">
        <w:t>Diagnosis codes</w:t>
      </w:r>
      <w:bookmarkEnd w:id="2"/>
    </w:p>
    <w:p w:rsidR="00402E9C" w:rsidRDefault="000F15A4" w:rsidP="000F15A4">
      <w:pPr>
        <w:spacing w:line="360" w:lineRule="auto"/>
        <w:jc w:val="both"/>
        <w:rPr>
          <w:rFonts w:ascii="Arial" w:hAnsi="Arial" w:cs="Arial"/>
          <w:sz w:val="20"/>
          <w:szCs w:val="20"/>
        </w:rPr>
      </w:pPr>
      <w:r w:rsidRPr="00D53020">
        <w:rPr>
          <w:rFonts w:ascii="Arial" w:hAnsi="Arial" w:cs="Arial"/>
          <w:sz w:val="20"/>
          <w:szCs w:val="20"/>
        </w:rPr>
        <w:t>When determining whether to use diagnosis codes</w:t>
      </w:r>
      <w:r>
        <w:rPr>
          <w:rFonts w:ascii="Arial" w:hAnsi="Arial" w:cs="Arial"/>
          <w:sz w:val="20"/>
          <w:szCs w:val="20"/>
        </w:rPr>
        <w:t>,</w:t>
      </w:r>
      <w:r w:rsidRPr="00D53020">
        <w:rPr>
          <w:rFonts w:ascii="Arial" w:hAnsi="Arial" w:cs="Arial"/>
          <w:sz w:val="20"/>
          <w:szCs w:val="20"/>
        </w:rPr>
        <w:t xml:space="preserve"> there are a few things to keep in mind. Discharge (or final) diagnosis codes are assigned from physician notes and are recorded mainly for billing purposes. As the diagnosis codes are assigned at the end of the visit when all the information (e.g.</w:t>
      </w:r>
      <w:r>
        <w:rPr>
          <w:rFonts w:ascii="Arial" w:hAnsi="Arial" w:cs="Arial"/>
          <w:sz w:val="20"/>
          <w:szCs w:val="20"/>
        </w:rPr>
        <w:t>,</w:t>
      </w:r>
      <w:r w:rsidRPr="00D53020">
        <w:rPr>
          <w:rFonts w:ascii="Arial" w:hAnsi="Arial" w:cs="Arial"/>
          <w:sz w:val="20"/>
          <w:szCs w:val="20"/>
        </w:rPr>
        <w:t xml:space="preserve"> laboratory test) is available</w:t>
      </w:r>
      <w:r>
        <w:rPr>
          <w:rFonts w:ascii="Arial" w:hAnsi="Arial" w:cs="Arial"/>
          <w:sz w:val="20"/>
          <w:szCs w:val="20"/>
        </w:rPr>
        <w:t>,</w:t>
      </w:r>
      <w:r w:rsidRPr="00D53020">
        <w:rPr>
          <w:rFonts w:ascii="Arial" w:hAnsi="Arial" w:cs="Arial"/>
          <w:sz w:val="20"/>
          <w:szCs w:val="20"/>
        </w:rPr>
        <w:t xml:space="preserve"> the codes may represent the actual condition as opposed to the symptoms of the condition. Therefore, the codes may have a higher sensitivity (identify true cases) than the keywords. However, for many systems, the discharge diagnosis is available only after an extended </w:t>
      </w:r>
      <w:proofErr w:type="gramStart"/>
      <w:r w:rsidRPr="00D53020">
        <w:rPr>
          <w:rFonts w:ascii="Arial" w:hAnsi="Arial" w:cs="Arial"/>
          <w:sz w:val="20"/>
          <w:szCs w:val="20"/>
        </w:rPr>
        <w:t>period of time</w:t>
      </w:r>
      <w:proofErr w:type="gramEnd"/>
      <w:r w:rsidRPr="00D53020">
        <w:rPr>
          <w:rFonts w:ascii="Arial" w:hAnsi="Arial" w:cs="Arial"/>
          <w:sz w:val="20"/>
          <w:szCs w:val="20"/>
        </w:rPr>
        <w:t xml:space="preserve">. For instance, in North Carolina </w:t>
      </w:r>
      <w:proofErr w:type="gramStart"/>
      <w:r w:rsidRPr="00D53020">
        <w:rPr>
          <w:rFonts w:ascii="Arial" w:hAnsi="Arial" w:cs="Arial"/>
          <w:sz w:val="20"/>
          <w:szCs w:val="20"/>
        </w:rPr>
        <w:t>the majority of</w:t>
      </w:r>
      <w:proofErr w:type="gramEnd"/>
      <w:r w:rsidRPr="00D53020">
        <w:rPr>
          <w:rFonts w:ascii="Arial" w:hAnsi="Arial" w:cs="Arial"/>
          <w:sz w:val="20"/>
          <w:szCs w:val="20"/>
        </w:rPr>
        <w:t xml:space="preserve"> diagnosis codes for an ED visit are received between 48 hours and 2 weeks after the visit [</w:t>
      </w:r>
      <w:r>
        <w:rPr>
          <w:rFonts w:ascii="Arial" w:hAnsi="Arial" w:cs="Arial"/>
          <w:sz w:val="20"/>
          <w:szCs w:val="20"/>
        </w:rPr>
        <w:t>Travers 2006</w:t>
      </w:r>
      <w:r w:rsidRPr="00D53020">
        <w:rPr>
          <w:rFonts w:ascii="Arial" w:hAnsi="Arial" w:cs="Arial"/>
          <w:sz w:val="20"/>
          <w:szCs w:val="20"/>
        </w:rPr>
        <w:t>]. Additionally, the accuracy of the codes may vary from system to system dependent on the quality of data received from the reporting facili</w:t>
      </w:r>
      <w:r>
        <w:rPr>
          <w:rFonts w:ascii="Arial" w:hAnsi="Arial" w:cs="Arial"/>
          <w:sz w:val="20"/>
          <w:szCs w:val="20"/>
        </w:rPr>
        <w:t>ties and how (if at all) data are</w:t>
      </w:r>
      <w:r w:rsidRPr="00D53020">
        <w:rPr>
          <w:rFonts w:ascii="Arial" w:hAnsi="Arial" w:cs="Arial"/>
          <w:sz w:val="20"/>
          <w:szCs w:val="20"/>
        </w:rPr>
        <w:t xml:space="preserve"> updated.</w:t>
      </w:r>
      <w:r>
        <w:rPr>
          <w:rFonts w:ascii="Arial" w:hAnsi="Arial" w:cs="Arial"/>
          <w:sz w:val="20"/>
          <w:szCs w:val="20"/>
        </w:rPr>
        <w:t xml:space="preserve"> Receipt of diagnosis codes may also fluctuate over the year, potentially impacting any type of trend analysis or identification of unusual peaks (i.e., higher than expected cases).</w:t>
      </w:r>
      <w:r w:rsidRPr="00D53020">
        <w:rPr>
          <w:rFonts w:ascii="Arial" w:hAnsi="Arial" w:cs="Arial"/>
          <w:sz w:val="20"/>
          <w:szCs w:val="20"/>
        </w:rPr>
        <w:t xml:space="preserve"> Before using the diagnosis codes as part of a case definition</w:t>
      </w:r>
      <w:r>
        <w:rPr>
          <w:rFonts w:ascii="Arial" w:hAnsi="Arial" w:cs="Arial"/>
          <w:sz w:val="20"/>
          <w:szCs w:val="20"/>
        </w:rPr>
        <w:t>,</w:t>
      </w:r>
      <w:r w:rsidRPr="00D53020">
        <w:rPr>
          <w:rFonts w:ascii="Arial" w:hAnsi="Arial" w:cs="Arial"/>
          <w:sz w:val="20"/>
          <w:szCs w:val="20"/>
        </w:rPr>
        <w:t xml:space="preserve"> the public health practitioner </w:t>
      </w:r>
      <w:r>
        <w:rPr>
          <w:rFonts w:ascii="Arial" w:hAnsi="Arial" w:cs="Arial"/>
          <w:sz w:val="20"/>
          <w:szCs w:val="20"/>
        </w:rPr>
        <w:t>should discuss</w:t>
      </w:r>
      <w:r w:rsidRPr="00D53020">
        <w:rPr>
          <w:rFonts w:ascii="Arial" w:hAnsi="Arial" w:cs="Arial"/>
          <w:sz w:val="20"/>
          <w:szCs w:val="20"/>
        </w:rPr>
        <w:t xml:space="preserve"> the quality of the diagnosis codes with their syndromic surveillance coordinators.    </w:t>
      </w:r>
    </w:p>
    <w:p w:rsidR="000F15A4" w:rsidRDefault="000F15A4" w:rsidP="000F15A4">
      <w:pPr>
        <w:spacing w:line="360" w:lineRule="auto"/>
        <w:rPr>
          <w:rFonts w:ascii="Arial" w:hAnsi="Arial" w:cs="Arial"/>
          <w:sz w:val="20"/>
          <w:szCs w:val="20"/>
        </w:rPr>
      </w:pPr>
      <w:r w:rsidRPr="00D53020">
        <w:rPr>
          <w:rFonts w:ascii="Arial" w:hAnsi="Arial" w:cs="Arial"/>
          <w:sz w:val="20"/>
          <w:szCs w:val="20"/>
        </w:rPr>
        <w:t>Diagnosis codes may also be found in the administrative notes. Codes found in the administrative notes are assigned at time of intake/admission.</w:t>
      </w:r>
      <w:r>
        <w:rPr>
          <w:rFonts w:ascii="Arial" w:hAnsi="Arial" w:cs="Arial"/>
          <w:sz w:val="20"/>
          <w:szCs w:val="20"/>
        </w:rPr>
        <w:t xml:space="preserve"> </w:t>
      </w:r>
      <w:r w:rsidRPr="00D53020">
        <w:rPr>
          <w:rFonts w:ascii="Arial" w:hAnsi="Arial" w:cs="Arial"/>
          <w:sz w:val="20"/>
          <w:szCs w:val="20"/>
        </w:rPr>
        <w:t>As a result</w:t>
      </w:r>
      <w:r>
        <w:rPr>
          <w:rFonts w:ascii="Arial" w:hAnsi="Arial" w:cs="Arial"/>
          <w:sz w:val="20"/>
          <w:szCs w:val="20"/>
        </w:rPr>
        <w:t>,</w:t>
      </w:r>
      <w:r w:rsidRPr="00D53020">
        <w:rPr>
          <w:rFonts w:ascii="Arial" w:hAnsi="Arial" w:cs="Arial"/>
          <w:sz w:val="20"/>
          <w:szCs w:val="20"/>
        </w:rPr>
        <w:t xml:space="preserve"> diagnosis codes may also be treated as keywords. </w:t>
      </w:r>
      <w:r w:rsidRPr="00D53020">
        <w:rPr>
          <w:rFonts w:ascii="Arial" w:hAnsi="Arial" w:cs="Arial"/>
          <w:sz w:val="20"/>
          <w:szCs w:val="20"/>
        </w:rPr>
        <w:lastRenderedPageBreak/>
        <w:t xml:space="preserve">For instance, as part of Kansas’ carbon monoxide case definition, ICD-9-CM code ‘986’ (toxic effect of carbon monoxide) is searched for as an inclusion keyword in the admission notes while the ICD-9-CM codes ‘9986’ (Persistent postoperative fistula) and ‘1986’ (Secondary malignant neoplasm of other specified sites: Ovary) are treated as exclusion keywords. </w:t>
      </w:r>
    </w:p>
    <w:p w:rsidR="000F15A4" w:rsidRPr="00D53020" w:rsidRDefault="000F15A4" w:rsidP="000F15A4">
      <w:pPr>
        <w:spacing w:line="360" w:lineRule="auto"/>
        <w:rPr>
          <w:rFonts w:ascii="Arial" w:hAnsi="Arial" w:cs="Arial"/>
          <w:sz w:val="20"/>
          <w:szCs w:val="20"/>
        </w:rPr>
      </w:pPr>
      <w:r w:rsidRPr="00D53020">
        <w:rPr>
          <w:rFonts w:ascii="Arial" w:hAnsi="Arial" w:cs="Arial"/>
          <w:sz w:val="20"/>
          <w:szCs w:val="20"/>
          <w:u w:val="single"/>
        </w:rPr>
        <w:t>Identify diagnosis codes based on previously published documents or another jurisdiction’s case definition</w:t>
      </w:r>
      <w:r w:rsidRPr="00A96AE9">
        <w:rPr>
          <w:rFonts w:ascii="Arial" w:hAnsi="Arial" w:cs="Arial"/>
          <w:sz w:val="20"/>
          <w:szCs w:val="20"/>
        </w:rPr>
        <w:t xml:space="preserve">: </w:t>
      </w:r>
      <w:r w:rsidRPr="00D53020">
        <w:rPr>
          <w:rFonts w:ascii="Arial" w:hAnsi="Arial" w:cs="Arial"/>
          <w:sz w:val="20"/>
          <w:szCs w:val="20"/>
        </w:rPr>
        <w:t>Diagnosis codes are used for medical billing purposes and therefore are available in administrative datasets (</w:t>
      </w:r>
      <w:r>
        <w:rPr>
          <w:rFonts w:ascii="Arial" w:hAnsi="Arial" w:cs="Arial"/>
          <w:sz w:val="20"/>
          <w:szCs w:val="20"/>
        </w:rPr>
        <w:t xml:space="preserve">e.g., </w:t>
      </w:r>
      <w:r w:rsidRPr="00D53020">
        <w:rPr>
          <w:rFonts w:ascii="Arial" w:hAnsi="Arial" w:cs="Arial"/>
          <w:sz w:val="20"/>
          <w:szCs w:val="20"/>
        </w:rPr>
        <w:t>hospital discharge data, ED visit data, Medicare/Medicaid data). As a result, diagnosis codes are used in many retrospective analyses and are the basis of numerous surveillance health indicators. Climate-related health surveillance indicators have been created by the Environmental Public Health Tracking Program (</w:t>
      </w:r>
      <w:r w:rsidRPr="008778B6">
        <w:rPr>
          <w:rFonts w:ascii="Arial" w:hAnsi="Arial" w:cs="Arial"/>
          <w:sz w:val="20"/>
          <w:szCs w:val="20"/>
        </w:rPr>
        <w:t>https://ephtracking.cdc.gov/searchMetadata</w:t>
      </w:r>
      <w:r>
        <w:rPr>
          <w:rFonts w:ascii="Arial" w:hAnsi="Arial" w:cs="Arial"/>
          <w:sz w:val="20"/>
          <w:szCs w:val="20"/>
        </w:rPr>
        <w:t xml:space="preserve">) and </w:t>
      </w:r>
      <w:r w:rsidRPr="00D53020">
        <w:rPr>
          <w:rFonts w:ascii="Arial" w:hAnsi="Arial" w:cs="Arial"/>
          <w:sz w:val="20"/>
          <w:szCs w:val="20"/>
        </w:rPr>
        <w:t xml:space="preserve">CSTE (http://www.cste.org/group/indicators) </w:t>
      </w:r>
      <w:r>
        <w:rPr>
          <w:rFonts w:ascii="Arial" w:hAnsi="Arial" w:cs="Arial"/>
          <w:sz w:val="20"/>
          <w:szCs w:val="20"/>
        </w:rPr>
        <w:t>to name a couple of</w:t>
      </w:r>
      <w:r w:rsidRPr="00D53020">
        <w:rPr>
          <w:rFonts w:ascii="Arial" w:hAnsi="Arial" w:cs="Arial"/>
          <w:sz w:val="20"/>
          <w:szCs w:val="20"/>
        </w:rPr>
        <w:t xml:space="preserve"> examples. A simple literature search may identify peer-reviewed publications which could provide diagnosis codes for the chosen surveillance outcome</w:t>
      </w:r>
      <w:r>
        <w:rPr>
          <w:rFonts w:ascii="Arial" w:hAnsi="Arial" w:cs="Arial"/>
          <w:sz w:val="20"/>
          <w:szCs w:val="20"/>
        </w:rPr>
        <w:t xml:space="preserve"> (example reference = [Tsai 2016])</w:t>
      </w:r>
      <w:r w:rsidRPr="00D53020">
        <w:rPr>
          <w:rFonts w:ascii="Arial" w:hAnsi="Arial" w:cs="Arial"/>
          <w:sz w:val="20"/>
          <w:szCs w:val="20"/>
        </w:rPr>
        <w:t xml:space="preserve">. Additionally, as with keywords, requesting the case definition from another jurisdiction is also an option. </w:t>
      </w:r>
    </w:p>
    <w:p w:rsidR="000F15A4" w:rsidRPr="00D53020" w:rsidRDefault="000F15A4" w:rsidP="000F15A4">
      <w:pPr>
        <w:spacing w:line="360" w:lineRule="auto"/>
        <w:rPr>
          <w:rFonts w:ascii="Arial" w:hAnsi="Arial" w:cs="Arial"/>
          <w:sz w:val="20"/>
          <w:szCs w:val="20"/>
        </w:rPr>
      </w:pPr>
      <w:r w:rsidRPr="00D53020">
        <w:rPr>
          <w:rFonts w:ascii="Arial" w:hAnsi="Arial" w:cs="Arial"/>
          <w:sz w:val="20"/>
          <w:szCs w:val="20"/>
          <w:u w:val="single"/>
        </w:rPr>
        <w:t>Identify diagnosis codes by searching the code manual</w:t>
      </w:r>
      <w:r w:rsidRPr="00A96AE9">
        <w:rPr>
          <w:rFonts w:ascii="Arial" w:hAnsi="Arial" w:cs="Arial"/>
          <w:sz w:val="20"/>
          <w:szCs w:val="20"/>
        </w:rPr>
        <w:t>:</w:t>
      </w:r>
      <w:r w:rsidRPr="00D53020">
        <w:rPr>
          <w:rFonts w:ascii="Arial" w:hAnsi="Arial" w:cs="Arial"/>
          <w:sz w:val="20"/>
          <w:szCs w:val="20"/>
        </w:rPr>
        <w:t xml:space="preserve"> The ICD-10-CM (or ICD-9-CM) description for each code may be searched for the chosen outcome (e.g.</w:t>
      </w:r>
      <w:r>
        <w:rPr>
          <w:rFonts w:ascii="Arial" w:hAnsi="Arial" w:cs="Arial"/>
          <w:sz w:val="20"/>
          <w:szCs w:val="20"/>
        </w:rPr>
        <w:t>, carbon monoxide or L</w:t>
      </w:r>
      <w:r w:rsidRPr="00D53020">
        <w:rPr>
          <w:rFonts w:ascii="Arial" w:hAnsi="Arial" w:cs="Arial"/>
          <w:sz w:val="20"/>
          <w:szCs w:val="20"/>
        </w:rPr>
        <w:t xml:space="preserve">yme disease). The code list and descriptions are provided by the </w:t>
      </w:r>
      <w:r>
        <w:rPr>
          <w:rFonts w:ascii="Arial" w:hAnsi="Arial" w:cs="Arial"/>
          <w:sz w:val="20"/>
          <w:szCs w:val="20"/>
        </w:rPr>
        <w:t>Center for Disease Control (CDC)</w:t>
      </w:r>
      <w:r w:rsidRPr="00D53020">
        <w:rPr>
          <w:rFonts w:ascii="Arial" w:hAnsi="Arial" w:cs="Arial"/>
          <w:sz w:val="20"/>
          <w:szCs w:val="20"/>
        </w:rPr>
        <w:t xml:space="preserve"> National Center for Health Statistics (</w:t>
      </w:r>
      <w:r w:rsidRPr="003E2CE5">
        <w:rPr>
          <w:rFonts w:ascii="Arial" w:hAnsi="Arial" w:cs="Arial"/>
          <w:sz w:val="20"/>
          <w:szCs w:val="20"/>
        </w:rPr>
        <w:t>ICD-10-CM: https://www.cdc.gov/nchs/icd/icd10cm.htm; ICD-9-CM: https://www.cdc.gov/nchs/icd/icd9cm.htm</w:t>
      </w:r>
      <w:r w:rsidRPr="00D53020">
        <w:rPr>
          <w:rFonts w:ascii="Arial" w:hAnsi="Arial" w:cs="Arial"/>
          <w:sz w:val="20"/>
          <w:szCs w:val="20"/>
        </w:rPr>
        <w:t>). Published code manuals may also contain an index with a list of diseases/outcomes and their corresponding codes [</w:t>
      </w:r>
      <w:r>
        <w:rPr>
          <w:rFonts w:ascii="Arial" w:hAnsi="Arial" w:cs="Arial"/>
          <w:sz w:val="20"/>
          <w:szCs w:val="20"/>
        </w:rPr>
        <w:t>“ICD-10-CM” 2013</w:t>
      </w:r>
      <w:r w:rsidRPr="00D53020">
        <w:rPr>
          <w:rFonts w:ascii="Arial" w:hAnsi="Arial" w:cs="Arial"/>
          <w:sz w:val="20"/>
          <w:szCs w:val="20"/>
        </w:rPr>
        <w:t>].</w:t>
      </w:r>
      <w:r>
        <w:rPr>
          <w:rFonts w:ascii="Arial" w:hAnsi="Arial" w:cs="Arial"/>
          <w:sz w:val="20"/>
          <w:szCs w:val="20"/>
        </w:rPr>
        <w:t xml:space="preserve"> </w:t>
      </w:r>
      <w:r w:rsidRPr="00D53020">
        <w:rPr>
          <w:rFonts w:ascii="Arial" w:hAnsi="Arial" w:cs="Arial"/>
          <w:sz w:val="20"/>
          <w:szCs w:val="20"/>
        </w:rPr>
        <w:t xml:space="preserve">However, when using this method, it is important to read the entire code description and make sure the code will identify cases with the </w:t>
      </w:r>
      <w:proofErr w:type="gramStart"/>
      <w:r w:rsidRPr="00D53020">
        <w:rPr>
          <w:rFonts w:ascii="Arial" w:hAnsi="Arial" w:cs="Arial"/>
          <w:sz w:val="20"/>
          <w:szCs w:val="20"/>
        </w:rPr>
        <w:t>particular outcome</w:t>
      </w:r>
      <w:proofErr w:type="gramEnd"/>
      <w:r w:rsidRPr="00D53020">
        <w:rPr>
          <w:rFonts w:ascii="Arial" w:hAnsi="Arial" w:cs="Arial"/>
          <w:sz w:val="20"/>
          <w:szCs w:val="20"/>
        </w:rPr>
        <w:t xml:space="preserve"> of interested (e.g.</w:t>
      </w:r>
      <w:r>
        <w:rPr>
          <w:rFonts w:ascii="Arial" w:hAnsi="Arial" w:cs="Arial"/>
          <w:sz w:val="20"/>
          <w:szCs w:val="20"/>
        </w:rPr>
        <w:t>,</w:t>
      </w:r>
      <w:r w:rsidRPr="00D53020">
        <w:rPr>
          <w:rFonts w:ascii="Arial" w:hAnsi="Arial" w:cs="Arial"/>
          <w:sz w:val="20"/>
          <w:szCs w:val="20"/>
        </w:rPr>
        <w:t xml:space="preserve"> hyperthermia due to outdoor ambient temperatures [</w:t>
      </w:r>
      <w:r w:rsidRPr="00050F2D">
        <w:rPr>
          <w:rFonts w:ascii="Arial" w:hAnsi="Arial" w:cs="Arial"/>
          <w:sz w:val="20"/>
          <w:szCs w:val="20"/>
        </w:rPr>
        <w:t xml:space="preserve">see </w:t>
      </w:r>
      <w:r w:rsidRPr="00050F2D">
        <w:rPr>
          <w:rFonts w:ascii="Arial" w:hAnsi="Arial" w:cs="Arial"/>
          <w:b/>
          <w:sz w:val="20"/>
          <w:szCs w:val="20"/>
        </w:rPr>
        <w:t>Insert 2</w:t>
      </w:r>
      <w:r w:rsidRPr="00D53020">
        <w:rPr>
          <w:rFonts w:ascii="Arial" w:hAnsi="Arial" w:cs="Arial"/>
          <w:sz w:val="20"/>
          <w:szCs w:val="20"/>
        </w:rPr>
        <w:t xml:space="preserve">]) </w:t>
      </w:r>
    </w:p>
    <w:p w:rsidR="000F15A4" w:rsidRPr="00913186" w:rsidRDefault="000F15A4" w:rsidP="000F15A4">
      <w:pPr>
        <w:pStyle w:val="Heading2"/>
      </w:pPr>
      <w:bookmarkStart w:id="3" w:name="_Toc489027478"/>
      <w:r w:rsidRPr="00913186">
        <w:t>Other Factors</w:t>
      </w:r>
      <w:bookmarkEnd w:id="3"/>
    </w:p>
    <w:p w:rsidR="000F15A4" w:rsidRPr="00D53020" w:rsidRDefault="000F15A4" w:rsidP="000F15A4">
      <w:pPr>
        <w:spacing w:line="360" w:lineRule="auto"/>
        <w:rPr>
          <w:rFonts w:ascii="Arial" w:hAnsi="Arial" w:cs="Arial"/>
          <w:sz w:val="20"/>
          <w:szCs w:val="20"/>
        </w:rPr>
      </w:pPr>
      <w:r w:rsidRPr="00D53020">
        <w:rPr>
          <w:rFonts w:ascii="Arial" w:hAnsi="Arial" w:cs="Arial"/>
          <w:sz w:val="20"/>
          <w:szCs w:val="20"/>
        </w:rPr>
        <w:t xml:space="preserve">The selected outcome may encompass multiple etiologies and may require additional restrictions to the case definition. For instance, during the winter, cold-related surveillance may include unintentional, </w:t>
      </w:r>
      <w:r w:rsidRPr="003A5E73">
        <w:rPr>
          <w:rFonts w:ascii="Arial" w:hAnsi="Arial" w:cs="Arial"/>
          <w:sz w:val="20"/>
          <w:szCs w:val="20"/>
        </w:rPr>
        <w:t>non-fire related carbon monoxide poisoning</w:t>
      </w:r>
      <w:r>
        <w:rPr>
          <w:rFonts w:ascii="Arial" w:hAnsi="Arial" w:cs="Arial"/>
          <w:sz w:val="20"/>
          <w:szCs w:val="20"/>
        </w:rPr>
        <w:t>,</w:t>
      </w:r>
      <w:r w:rsidRPr="003A5E73">
        <w:rPr>
          <w:rFonts w:ascii="Arial" w:hAnsi="Arial" w:cs="Arial"/>
          <w:sz w:val="20"/>
          <w:szCs w:val="20"/>
        </w:rPr>
        <w:t xml:space="preserve"> while in the summer unintentional fire-related carbon mo</w:t>
      </w:r>
      <w:r w:rsidRPr="00D53020">
        <w:rPr>
          <w:rFonts w:ascii="Arial" w:hAnsi="Arial" w:cs="Arial"/>
          <w:sz w:val="20"/>
          <w:szCs w:val="20"/>
        </w:rPr>
        <w:t xml:space="preserve">noxide poisoning may be part of </w:t>
      </w:r>
      <w:r>
        <w:rPr>
          <w:rFonts w:ascii="Arial" w:hAnsi="Arial" w:cs="Arial"/>
          <w:sz w:val="20"/>
          <w:szCs w:val="20"/>
        </w:rPr>
        <w:t>wildfire surveillance. Depending</w:t>
      </w:r>
      <w:r w:rsidRPr="00D53020">
        <w:rPr>
          <w:rFonts w:ascii="Arial" w:hAnsi="Arial" w:cs="Arial"/>
          <w:sz w:val="20"/>
          <w:szCs w:val="20"/>
        </w:rPr>
        <w:t xml:space="preserve"> on the restriction, inclusion or exclusion criteria may be created using either diagnosis codes, keywords, or both (</w:t>
      </w:r>
      <w:r w:rsidRPr="00050F2D">
        <w:rPr>
          <w:rFonts w:ascii="Arial" w:hAnsi="Arial" w:cs="Arial"/>
          <w:b/>
          <w:sz w:val="20"/>
          <w:szCs w:val="20"/>
        </w:rPr>
        <w:t>Table 2</w:t>
      </w:r>
      <w:r w:rsidRPr="00D53020">
        <w:rPr>
          <w:rFonts w:ascii="Arial" w:hAnsi="Arial" w:cs="Arial"/>
          <w:sz w:val="20"/>
          <w:szCs w:val="20"/>
        </w:rPr>
        <w:t xml:space="preserve">). For instance, the public health practitioner may want to </w:t>
      </w:r>
      <w:r w:rsidRPr="00A46082">
        <w:rPr>
          <w:rFonts w:ascii="Arial" w:hAnsi="Arial" w:cs="Arial"/>
          <w:sz w:val="20"/>
          <w:szCs w:val="20"/>
        </w:rPr>
        <w:t>exclude all cases of carbon monoxide poisoning with a suicide or homicide diagnosis. Or the public health practitioner may want to include all</w:t>
      </w:r>
      <w:r w:rsidRPr="00D53020">
        <w:rPr>
          <w:rFonts w:ascii="Arial" w:hAnsi="Arial" w:cs="Arial"/>
          <w:sz w:val="20"/>
          <w:szCs w:val="20"/>
        </w:rPr>
        <w:t xml:space="preserve"> cases of carbon monoxide poisoning with an unintentional or undetermined intent diagnosis. In the latter situation, cases without an intent diagnosis code would not be captured. </w:t>
      </w:r>
    </w:p>
    <w:p w:rsidR="000F15A4" w:rsidRDefault="000F15A4" w:rsidP="000F15A4">
      <w:pPr>
        <w:spacing w:line="360" w:lineRule="auto"/>
        <w:rPr>
          <w:rFonts w:ascii="Arial" w:hAnsi="Arial" w:cs="Arial"/>
          <w:sz w:val="20"/>
          <w:szCs w:val="20"/>
        </w:rPr>
      </w:pPr>
      <w:r w:rsidRPr="009B49FE">
        <w:rPr>
          <w:rFonts w:ascii="Arial" w:hAnsi="Arial" w:cs="Arial"/>
          <w:noProof/>
          <w:sz w:val="20"/>
          <w:szCs w:val="20"/>
          <w:u w:val="single"/>
        </w:rPr>
        <w:lastRenderedPageBreak/>
        <mc:AlternateContent>
          <mc:Choice Requires="wps">
            <w:drawing>
              <wp:anchor distT="0" distB="0" distL="114300" distR="114300" simplePos="0" relativeHeight="251661312" behindDoc="0" locked="0" layoutInCell="1" allowOverlap="1" wp14:anchorId="5ED2B0C2" wp14:editId="53D3E4EF">
                <wp:simplePos x="0" y="0"/>
                <wp:positionH relativeFrom="column">
                  <wp:posOffset>15240</wp:posOffset>
                </wp:positionH>
                <wp:positionV relativeFrom="paragraph">
                  <wp:posOffset>6350</wp:posOffset>
                </wp:positionV>
                <wp:extent cx="3566160" cy="5638800"/>
                <wp:effectExtent l="0" t="0" r="15240" b="1905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5638800"/>
                        </a:xfrm>
                        <a:prstGeom prst="rect">
                          <a:avLst/>
                        </a:prstGeom>
                        <a:solidFill>
                          <a:srgbClr val="FFFFFF"/>
                        </a:solidFill>
                        <a:ln w="9525">
                          <a:solidFill>
                            <a:srgbClr val="000000"/>
                          </a:solidFill>
                          <a:miter lim="800000"/>
                          <a:headEnd/>
                          <a:tailEnd/>
                        </a:ln>
                      </wps:spPr>
                      <wps:txbx>
                        <w:txbxContent>
                          <w:p w:rsidR="000F15A4" w:rsidRDefault="000F15A4" w:rsidP="000F15A4">
                            <w:pPr>
                              <w:spacing w:before="100" w:beforeAutospacing="1" w:after="200" w:line="276" w:lineRule="auto"/>
                              <w:rPr>
                                <w:rFonts w:ascii="Arial" w:eastAsia="Times New Roman" w:hAnsi="Arial" w:cs="Arial"/>
                                <w:sz w:val="20"/>
                                <w:szCs w:val="20"/>
                              </w:rPr>
                            </w:pPr>
                            <w:r>
                              <w:rPr>
                                <w:rFonts w:ascii="Arial" w:eastAsia="Times New Roman" w:hAnsi="Arial" w:cs="Arial"/>
                                <w:sz w:val="20"/>
                                <w:szCs w:val="20"/>
                              </w:rPr>
                              <w:t>Insert 2: Relatedness Example - Hypothermia</w:t>
                            </w:r>
                          </w:p>
                          <w:p w:rsidR="000F15A4" w:rsidRPr="00C32C32" w:rsidRDefault="000F15A4" w:rsidP="000F15A4">
                            <w:pPr>
                              <w:spacing w:before="100" w:beforeAutospacing="1" w:after="200" w:line="276" w:lineRule="auto"/>
                              <w:rPr>
                                <w:rFonts w:ascii="Times New Roman" w:eastAsia="Times New Roman" w:hAnsi="Times New Roman" w:cs="Times New Roman"/>
                                <w:sz w:val="20"/>
                                <w:szCs w:val="20"/>
                              </w:rPr>
                            </w:pPr>
                            <w:r w:rsidRPr="00C32C32">
                              <w:rPr>
                                <w:rFonts w:ascii="Arial" w:eastAsia="Times New Roman" w:hAnsi="Arial" w:cs="Arial"/>
                                <w:sz w:val="20"/>
                                <w:szCs w:val="20"/>
                              </w:rPr>
                              <w:t xml:space="preserve">It is always critical to be cognizant of the codes and keywords that you are using in a </w:t>
                            </w:r>
                            <w:r>
                              <w:rPr>
                                <w:rFonts w:ascii="Arial" w:eastAsia="Times New Roman" w:hAnsi="Arial" w:cs="Arial"/>
                                <w:sz w:val="20"/>
                                <w:szCs w:val="20"/>
                              </w:rPr>
                              <w:t>case definition</w:t>
                            </w:r>
                            <w:r w:rsidRPr="00C32C32">
                              <w:rPr>
                                <w:rFonts w:ascii="Arial" w:eastAsia="Times New Roman" w:hAnsi="Arial" w:cs="Arial"/>
                                <w:sz w:val="20"/>
                                <w:szCs w:val="20"/>
                              </w:rPr>
                              <w:t xml:space="preserve">, irrespective of your syndromic surveillance system. It is valuable to define your specific problem and to consult with subject matter experts. </w:t>
                            </w:r>
                          </w:p>
                          <w:p w:rsidR="000F15A4" w:rsidRPr="00C32C32" w:rsidRDefault="000F15A4" w:rsidP="000F15A4">
                            <w:pPr>
                              <w:spacing w:before="100" w:beforeAutospacing="1" w:after="200" w:line="276" w:lineRule="auto"/>
                              <w:rPr>
                                <w:rFonts w:ascii="Times New Roman" w:eastAsia="Times New Roman" w:hAnsi="Times New Roman" w:cs="Times New Roman"/>
                                <w:sz w:val="20"/>
                                <w:szCs w:val="20"/>
                              </w:rPr>
                            </w:pPr>
                            <w:r>
                              <w:rPr>
                                <w:rFonts w:ascii="Arial" w:eastAsia="Times New Roman" w:hAnsi="Arial" w:cs="Arial"/>
                                <w:sz w:val="20"/>
                                <w:szCs w:val="20"/>
                              </w:rPr>
                              <w:t>During January 2017 Portland, Oregon experienced a prolonged and extreme winter storm.</w:t>
                            </w:r>
                            <w:r w:rsidRPr="00C32C32">
                              <w:rPr>
                                <w:rFonts w:ascii="Arial" w:eastAsia="Times New Roman" w:hAnsi="Arial" w:cs="Arial"/>
                                <w:sz w:val="20"/>
                                <w:szCs w:val="20"/>
                              </w:rPr>
                              <w:t xml:space="preserve"> Multnomah County Health Department partners approached the Oregon ESSENCE team to inquire about monitoring hypothermia-related ED and urgent care visits. While there was an overarching concern about any</w:t>
                            </w:r>
                            <w:r>
                              <w:rPr>
                                <w:rFonts w:ascii="Arial" w:eastAsia="Times New Roman" w:hAnsi="Arial" w:cs="Arial"/>
                                <w:sz w:val="20"/>
                                <w:szCs w:val="20"/>
                              </w:rPr>
                              <w:t>one</w:t>
                            </w:r>
                            <w:r w:rsidRPr="00C32C32">
                              <w:rPr>
                                <w:rFonts w:ascii="Arial" w:eastAsia="Times New Roman" w:hAnsi="Arial" w:cs="Arial"/>
                                <w:sz w:val="20"/>
                                <w:szCs w:val="20"/>
                              </w:rPr>
                              <w:t xml:space="preserve"> exposed to the winter weather, a subpopulation of concern was </w:t>
                            </w:r>
                            <w:r>
                              <w:rPr>
                                <w:rFonts w:ascii="Arial" w:eastAsia="Times New Roman" w:hAnsi="Arial" w:cs="Arial"/>
                                <w:sz w:val="20"/>
                                <w:szCs w:val="20"/>
                              </w:rPr>
                              <w:t>individuals</w:t>
                            </w:r>
                            <w:r w:rsidRPr="00C32C32">
                              <w:rPr>
                                <w:rFonts w:ascii="Arial" w:eastAsia="Times New Roman" w:hAnsi="Arial" w:cs="Arial"/>
                                <w:sz w:val="20"/>
                                <w:szCs w:val="20"/>
                              </w:rPr>
                              <w:t xml:space="preserve"> experiencing homelessness. ESSENCE did not have a pre-defined syndrome that was appropriate, so a new chief complaint and discharge diagnosis (CC/DD) query was drafted for cold exposure. </w:t>
                            </w:r>
                          </w:p>
                          <w:p w:rsidR="000F15A4" w:rsidRDefault="000F15A4" w:rsidP="000F15A4">
                            <w:pPr>
                              <w:spacing w:before="100" w:beforeAutospacing="1" w:after="100" w:afterAutospacing="1" w:line="276" w:lineRule="auto"/>
                              <w:rPr>
                                <w:rFonts w:ascii="Arial" w:eastAsia="Times New Roman" w:hAnsi="Arial" w:cs="Arial"/>
                                <w:sz w:val="20"/>
                                <w:szCs w:val="20"/>
                              </w:rPr>
                            </w:pPr>
                            <w:r w:rsidRPr="00C32C32">
                              <w:rPr>
                                <w:rFonts w:ascii="Arial" w:eastAsia="Times New Roman" w:hAnsi="Arial" w:cs="Arial"/>
                                <w:sz w:val="20"/>
                                <w:szCs w:val="20"/>
                              </w:rPr>
                              <w:t xml:space="preserve">In the initial draft of the </w:t>
                            </w:r>
                            <w:r>
                              <w:rPr>
                                <w:rFonts w:ascii="Arial" w:eastAsia="Times New Roman" w:hAnsi="Arial" w:cs="Arial"/>
                                <w:sz w:val="20"/>
                                <w:szCs w:val="20"/>
                              </w:rPr>
                              <w:t>case definition</w:t>
                            </w:r>
                            <w:r w:rsidRPr="00C32C32">
                              <w:rPr>
                                <w:rFonts w:ascii="Arial" w:eastAsia="Times New Roman" w:hAnsi="Arial" w:cs="Arial"/>
                                <w:sz w:val="20"/>
                                <w:szCs w:val="20"/>
                              </w:rPr>
                              <w:t>, two ICD-10</w:t>
                            </w:r>
                            <w:r>
                              <w:rPr>
                                <w:rFonts w:ascii="Arial" w:eastAsia="Times New Roman" w:hAnsi="Arial" w:cs="Arial"/>
                                <w:sz w:val="20"/>
                                <w:szCs w:val="20"/>
                              </w:rPr>
                              <w:t>-CM</w:t>
                            </w:r>
                            <w:r w:rsidRPr="00C32C32">
                              <w:rPr>
                                <w:rFonts w:ascii="Arial" w:eastAsia="Times New Roman" w:hAnsi="Arial" w:cs="Arial"/>
                                <w:sz w:val="20"/>
                                <w:szCs w:val="20"/>
                              </w:rPr>
                              <w:t xml:space="preserve"> codes were included that were later removed: T88.51 (hypothermia following anesthesia) and W93 (exposure to excessive cold of man-made origin). While both relate to “cold” or “hypothermia,” neither were </w:t>
                            </w:r>
                            <w:proofErr w:type="gramStart"/>
                            <w:r w:rsidRPr="00C32C32">
                              <w:rPr>
                                <w:rFonts w:ascii="Arial" w:eastAsia="Times New Roman" w:hAnsi="Arial" w:cs="Arial"/>
                                <w:sz w:val="20"/>
                                <w:szCs w:val="20"/>
                              </w:rPr>
                              <w:t>actually related</w:t>
                            </w:r>
                            <w:proofErr w:type="gramEnd"/>
                            <w:r w:rsidRPr="00C32C32">
                              <w:rPr>
                                <w:rFonts w:ascii="Arial" w:eastAsia="Times New Roman" w:hAnsi="Arial" w:cs="Arial"/>
                                <w:sz w:val="20"/>
                                <w:szCs w:val="20"/>
                              </w:rPr>
                              <w:t xml:space="preserve"> to the problem of monitoring increases in outside, weather-related hypothermia visits. The final </w:t>
                            </w:r>
                            <w:r>
                              <w:rPr>
                                <w:rFonts w:ascii="Arial" w:eastAsia="Times New Roman" w:hAnsi="Arial" w:cs="Arial"/>
                                <w:sz w:val="20"/>
                                <w:szCs w:val="20"/>
                              </w:rPr>
                              <w:t>case definition</w:t>
                            </w:r>
                            <w:r w:rsidRPr="00C32C32">
                              <w:rPr>
                                <w:rFonts w:ascii="Arial" w:eastAsia="Times New Roman" w:hAnsi="Arial" w:cs="Arial"/>
                                <w:sz w:val="20"/>
                                <w:szCs w:val="20"/>
                              </w:rPr>
                              <w:t xml:space="preserve"> used included the following codes and terms: T68 (hypothermia), X31 (exposure to excessive natural cold), T33 (superficial frostbite), T34 (frostbite with tissue necrosis), “cold exposure,” “hypothermia,” or “frost bit.”</w:t>
                            </w:r>
                            <w:r>
                              <w:rPr>
                                <w:rFonts w:ascii="Arial" w:eastAsia="Times New Roman" w:hAnsi="Arial" w:cs="Arial"/>
                                <w:sz w:val="20"/>
                                <w:szCs w:val="20"/>
                              </w:rPr>
                              <w:t xml:space="preserve"> [Personal communication: Amy </w:t>
                            </w:r>
                            <w:proofErr w:type="spellStart"/>
                            <w:r>
                              <w:rPr>
                                <w:rFonts w:ascii="Arial" w:eastAsia="Times New Roman" w:hAnsi="Arial" w:cs="Arial"/>
                                <w:sz w:val="20"/>
                                <w:szCs w:val="20"/>
                              </w:rPr>
                              <w:t>Zlot</w:t>
                            </w:r>
                            <w:proofErr w:type="spellEnd"/>
                            <w:r>
                              <w:rPr>
                                <w:rFonts w:ascii="Arial" w:eastAsia="Times New Roman" w:hAnsi="Arial" w:cs="Arial"/>
                                <w:sz w:val="20"/>
                                <w:szCs w:val="20"/>
                              </w:rPr>
                              <w:t xml:space="preserve">, </w:t>
                            </w:r>
                            <w:r w:rsidRPr="00C32C32">
                              <w:rPr>
                                <w:rFonts w:ascii="Arial" w:eastAsia="Times New Roman" w:hAnsi="Arial" w:cs="Arial"/>
                                <w:sz w:val="20"/>
                                <w:szCs w:val="20"/>
                              </w:rPr>
                              <w:t>Multnomah County Health Department</w:t>
                            </w:r>
                            <w:r>
                              <w:rPr>
                                <w:rFonts w:ascii="Arial" w:eastAsia="Times New Roman" w:hAnsi="Arial" w:cs="Arial"/>
                                <w:sz w:val="20"/>
                                <w:szCs w:val="20"/>
                              </w:rPr>
                              <w:t>, Oregon, April 2017]</w:t>
                            </w:r>
                          </w:p>
                          <w:p w:rsidR="000F15A4" w:rsidRPr="0028373D" w:rsidRDefault="000F15A4" w:rsidP="000F15A4">
                            <w:pPr>
                              <w:spacing w:before="100" w:beforeAutospacing="1" w:after="100" w:afterAutospacing="1" w:line="276" w:lineRule="auto"/>
                              <w:rPr>
                                <w:rFonts w:ascii="Arial" w:eastAsia="Times New Roman"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2B0C2" id="_x0000_s1027" type="#_x0000_t202" style="position:absolute;margin-left:1.2pt;margin-top:.5pt;width:280.8pt;height:4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">
                <v:textbox>
                  <w:txbxContent>
                    <w:p w:rsidR="000F15A4" w:rsidRDefault="000F15A4" w:rsidP="000F15A4">
                      <w:pPr>
                        <w:spacing w:before="100" w:beforeAutospacing="1" w:after="200" w:line="276" w:lineRule="auto"/>
                        <w:rPr>
                          <w:rFonts w:ascii="Arial" w:eastAsia="Times New Roman" w:hAnsi="Arial" w:cs="Arial"/>
                          <w:sz w:val="20"/>
                          <w:szCs w:val="20"/>
                        </w:rPr>
                      </w:pPr>
                      <w:r>
                        <w:rPr>
                          <w:rFonts w:ascii="Arial" w:eastAsia="Times New Roman" w:hAnsi="Arial" w:cs="Arial"/>
                          <w:sz w:val="20"/>
                          <w:szCs w:val="20"/>
                        </w:rPr>
                        <w:t>Insert 2: Relatedness Example - Hypothermia</w:t>
                      </w:r>
                    </w:p>
                    <w:p w:rsidR="000F15A4" w:rsidRPr="00C32C32" w:rsidRDefault="000F15A4" w:rsidP="000F15A4">
                      <w:pPr>
                        <w:spacing w:before="100" w:beforeAutospacing="1" w:after="200" w:line="276" w:lineRule="auto"/>
                        <w:rPr>
                          <w:rFonts w:ascii="Times New Roman" w:eastAsia="Times New Roman" w:hAnsi="Times New Roman" w:cs="Times New Roman"/>
                          <w:sz w:val="20"/>
                          <w:szCs w:val="20"/>
                        </w:rPr>
                      </w:pPr>
                      <w:r w:rsidRPr="00C32C32">
                        <w:rPr>
                          <w:rFonts w:ascii="Arial" w:eastAsia="Times New Roman" w:hAnsi="Arial" w:cs="Arial"/>
                          <w:sz w:val="20"/>
                          <w:szCs w:val="20"/>
                        </w:rPr>
                        <w:t xml:space="preserve">It is always critical to be cognizant of the codes and keywords that you are using in a </w:t>
                      </w:r>
                      <w:r>
                        <w:rPr>
                          <w:rFonts w:ascii="Arial" w:eastAsia="Times New Roman" w:hAnsi="Arial" w:cs="Arial"/>
                          <w:sz w:val="20"/>
                          <w:szCs w:val="20"/>
                        </w:rPr>
                        <w:t>case definition</w:t>
                      </w:r>
                      <w:r w:rsidRPr="00C32C32">
                        <w:rPr>
                          <w:rFonts w:ascii="Arial" w:eastAsia="Times New Roman" w:hAnsi="Arial" w:cs="Arial"/>
                          <w:sz w:val="20"/>
                          <w:szCs w:val="20"/>
                        </w:rPr>
                        <w:t xml:space="preserve">, irrespective of your syndromic surveillance system. It is valuable to define your specific problem and to consult with subject matter experts. </w:t>
                      </w:r>
                    </w:p>
                    <w:p w:rsidR="000F15A4" w:rsidRPr="00C32C32" w:rsidRDefault="000F15A4" w:rsidP="000F15A4">
                      <w:pPr>
                        <w:spacing w:before="100" w:beforeAutospacing="1" w:after="200" w:line="276" w:lineRule="auto"/>
                        <w:rPr>
                          <w:rFonts w:ascii="Times New Roman" w:eastAsia="Times New Roman" w:hAnsi="Times New Roman" w:cs="Times New Roman"/>
                          <w:sz w:val="20"/>
                          <w:szCs w:val="20"/>
                        </w:rPr>
                      </w:pPr>
                      <w:r>
                        <w:rPr>
                          <w:rFonts w:ascii="Arial" w:eastAsia="Times New Roman" w:hAnsi="Arial" w:cs="Arial"/>
                          <w:sz w:val="20"/>
                          <w:szCs w:val="20"/>
                        </w:rPr>
                        <w:t>During January 2017 Portland, Oregon experienced a prolonged and extreme winter storm.</w:t>
                      </w:r>
                      <w:r w:rsidRPr="00C32C32">
                        <w:rPr>
                          <w:rFonts w:ascii="Arial" w:eastAsia="Times New Roman" w:hAnsi="Arial" w:cs="Arial"/>
                          <w:sz w:val="20"/>
                          <w:szCs w:val="20"/>
                        </w:rPr>
                        <w:t xml:space="preserve"> Multnomah County Health Department partners approached the Oregon ESSENCE team to inquire about monitoring hypothermia-related ED and urgent care visits. While there was an overarching concern about any</w:t>
                      </w:r>
                      <w:r>
                        <w:rPr>
                          <w:rFonts w:ascii="Arial" w:eastAsia="Times New Roman" w:hAnsi="Arial" w:cs="Arial"/>
                          <w:sz w:val="20"/>
                          <w:szCs w:val="20"/>
                        </w:rPr>
                        <w:t>one</w:t>
                      </w:r>
                      <w:r w:rsidRPr="00C32C32">
                        <w:rPr>
                          <w:rFonts w:ascii="Arial" w:eastAsia="Times New Roman" w:hAnsi="Arial" w:cs="Arial"/>
                          <w:sz w:val="20"/>
                          <w:szCs w:val="20"/>
                        </w:rPr>
                        <w:t xml:space="preserve"> exposed to the winter weather, a subpopulation of concern was </w:t>
                      </w:r>
                      <w:r>
                        <w:rPr>
                          <w:rFonts w:ascii="Arial" w:eastAsia="Times New Roman" w:hAnsi="Arial" w:cs="Arial"/>
                          <w:sz w:val="20"/>
                          <w:szCs w:val="20"/>
                        </w:rPr>
                        <w:t>individuals</w:t>
                      </w:r>
                      <w:r w:rsidRPr="00C32C32">
                        <w:rPr>
                          <w:rFonts w:ascii="Arial" w:eastAsia="Times New Roman" w:hAnsi="Arial" w:cs="Arial"/>
                          <w:sz w:val="20"/>
                          <w:szCs w:val="20"/>
                        </w:rPr>
                        <w:t xml:space="preserve"> experiencing homelessness. ESSENCE did not have a pre-defined syndrome that was appropriate, so a new chief complaint and discharge diagnosis (CC/DD) query was drafted for cold exposure. </w:t>
                      </w:r>
                    </w:p>
                    <w:p w:rsidR="000F15A4" w:rsidRDefault="000F15A4" w:rsidP="000F15A4">
                      <w:pPr>
                        <w:spacing w:before="100" w:beforeAutospacing="1" w:after="100" w:afterAutospacing="1" w:line="276" w:lineRule="auto"/>
                        <w:rPr>
                          <w:rFonts w:ascii="Arial" w:eastAsia="Times New Roman" w:hAnsi="Arial" w:cs="Arial"/>
                          <w:sz w:val="20"/>
                          <w:szCs w:val="20"/>
                        </w:rPr>
                      </w:pPr>
                      <w:r w:rsidRPr="00C32C32">
                        <w:rPr>
                          <w:rFonts w:ascii="Arial" w:eastAsia="Times New Roman" w:hAnsi="Arial" w:cs="Arial"/>
                          <w:sz w:val="20"/>
                          <w:szCs w:val="20"/>
                        </w:rPr>
                        <w:t xml:space="preserve">In the initial draft of the </w:t>
                      </w:r>
                      <w:r>
                        <w:rPr>
                          <w:rFonts w:ascii="Arial" w:eastAsia="Times New Roman" w:hAnsi="Arial" w:cs="Arial"/>
                          <w:sz w:val="20"/>
                          <w:szCs w:val="20"/>
                        </w:rPr>
                        <w:t>case definition</w:t>
                      </w:r>
                      <w:r w:rsidRPr="00C32C32">
                        <w:rPr>
                          <w:rFonts w:ascii="Arial" w:eastAsia="Times New Roman" w:hAnsi="Arial" w:cs="Arial"/>
                          <w:sz w:val="20"/>
                          <w:szCs w:val="20"/>
                        </w:rPr>
                        <w:t>, two ICD-10</w:t>
                      </w:r>
                      <w:r>
                        <w:rPr>
                          <w:rFonts w:ascii="Arial" w:eastAsia="Times New Roman" w:hAnsi="Arial" w:cs="Arial"/>
                          <w:sz w:val="20"/>
                          <w:szCs w:val="20"/>
                        </w:rPr>
                        <w:t>-CM</w:t>
                      </w:r>
                      <w:r w:rsidRPr="00C32C32">
                        <w:rPr>
                          <w:rFonts w:ascii="Arial" w:eastAsia="Times New Roman" w:hAnsi="Arial" w:cs="Arial"/>
                          <w:sz w:val="20"/>
                          <w:szCs w:val="20"/>
                        </w:rPr>
                        <w:t xml:space="preserve"> codes were included that were later removed: T88.51 (hypothermia following anesthesia) and W93 (exposure to excessive cold of man-made origin). While both relate to “cold” or “hypothermia,” neither were </w:t>
                      </w:r>
                      <w:proofErr w:type="gramStart"/>
                      <w:r w:rsidRPr="00C32C32">
                        <w:rPr>
                          <w:rFonts w:ascii="Arial" w:eastAsia="Times New Roman" w:hAnsi="Arial" w:cs="Arial"/>
                          <w:sz w:val="20"/>
                          <w:szCs w:val="20"/>
                        </w:rPr>
                        <w:t>actually related</w:t>
                      </w:r>
                      <w:proofErr w:type="gramEnd"/>
                      <w:r w:rsidRPr="00C32C32">
                        <w:rPr>
                          <w:rFonts w:ascii="Arial" w:eastAsia="Times New Roman" w:hAnsi="Arial" w:cs="Arial"/>
                          <w:sz w:val="20"/>
                          <w:szCs w:val="20"/>
                        </w:rPr>
                        <w:t xml:space="preserve"> to the problem of monitoring increases in outside, weather-related hypothermia visits. The final </w:t>
                      </w:r>
                      <w:r>
                        <w:rPr>
                          <w:rFonts w:ascii="Arial" w:eastAsia="Times New Roman" w:hAnsi="Arial" w:cs="Arial"/>
                          <w:sz w:val="20"/>
                          <w:szCs w:val="20"/>
                        </w:rPr>
                        <w:t>case definition</w:t>
                      </w:r>
                      <w:r w:rsidRPr="00C32C32">
                        <w:rPr>
                          <w:rFonts w:ascii="Arial" w:eastAsia="Times New Roman" w:hAnsi="Arial" w:cs="Arial"/>
                          <w:sz w:val="20"/>
                          <w:szCs w:val="20"/>
                        </w:rPr>
                        <w:t xml:space="preserve"> used included the following codes and terms: T68 (hypothermia), X31 (exposure to excessive natural cold), T33 (superficial frostbite), T34 (frostbite with tissue necrosis), “cold exposure,” “hypothermia,” or “frost bit.”</w:t>
                      </w:r>
                      <w:r>
                        <w:rPr>
                          <w:rFonts w:ascii="Arial" w:eastAsia="Times New Roman" w:hAnsi="Arial" w:cs="Arial"/>
                          <w:sz w:val="20"/>
                          <w:szCs w:val="20"/>
                        </w:rPr>
                        <w:t xml:space="preserve"> [Personal communication: Amy </w:t>
                      </w:r>
                      <w:proofErr w:type="spellStart"/>
                      <w:r>
                        <w:rPr>
                          <w:rFonts w:ascii="Arial" w:eastAsia="Times New Roman" w:hAnsi="Arial" w:cs="Arial"/>
                          <w:sz w:val="20"/>
                          <w:szCs w:val="20"/>
                        </w:rPr>
                        <w:t>Zlot</w:t>
                      </w:r>
                      <w:proofErr w:type="spellEnd"/>
                      <w:r>
                        <w:rPr>
                          <w:rFonts w:ascii="Arial" w:eastAsia="Times New Roman" w:hAnsi="Arial" w:cs="Arial"/>
                          <w:sz w:val="20"/>
                          <w:szCs w:val="20"/>
                        </w:rPr>
                        <w:t xml:space="preserve">, </w:t>
                      </w:r>
                      <w:r w:rsidRPr="00C32C32">
                        <w:rPr>
                          <w:rFonts w:ascii="Arial" w:eastAsia="Times New Roman" w:hAnsi="Arial" w:cs="Arial"/>
                          <w:sz w:val="20"/>
                          <w:szCs w:val="20"/>
                        </w:rPr>
                        <w:t>Multnomah County Health Department</w:t>
                      </w:r>
                      <w:r>
                        <w:rPr>
                          <w:rFonts w:ascii="Arial" w:eastAsia="Times New Roman" w:hAnsi="Arial" w:cs="Arial"/>
                          <w:sz w:val="20"/>
                          <w:szCs w:val="20"/>
                        </w:rPr>
                        <w:t>, Oregon, April 2017]</w:t>
                      </w:r>
                    </w:p>
                    <w:p w:rsidR="000F15A4" w:rsidRPr="0028373D" w:rsidRDefault="000F15A4" w:rsidP="000F15A4">
                      <w:pPr>
                        <w:spacing w:before="100" w:beforeAutospacing="1" w:after="100" w:afterAutospacing="1" w:line="276" w:lineRule="auto"/>
                        <w:rPr>
                          <w:rFonts w:ascii="Arial" w:eastAsia="Times New Roman" w:hAnsi="Arial" w:cs="Arial"/>
                          <w:sz w:val="20"/>
                          <w:szCs w:val="20"/>
                        </w:rPr>
                      </w:pPr>
                    </w:p>
                  </w:txbxContent>
                </v:textbox>
                <w10:wrap type="square"/>
              </v:shape>
            </w:pict>
          </mc:Fallback>
        </mc:AlternateContent>
      </w:r>
      <w:r w:rsidRPr="00C91A02">
        <w:rPr>
          <w:rFonts w:ascii="Arial" w:hAnsi="Arial" w:cs="Arial"/>
          <w:sz w:val="20"/>
          <w:szCs w:val="20"/>
        </w:rPr>
        <w:t xml:space="preserve">The developed case definition may be used </w:t>
      </w:r>
      <w:proofErr w:type="gramStart"/>
      <w:r w:rsidRPr="00C91A02">
        <w:rPr>
          <w:rFonts w:ascii="Arial" w:hAnsi="Arial" w:cs="Arial"/>
          <w:sz w:val="20"/>
          <w:szCs w:val="20"/>
        </w:rPr>
        <w:t>all of</w:t>
      </w:r>
      <w:proofErr w:type="gramEnd"/>
      <w:r w:rsidRPr="00C91A02">
        <w:rPr>
          <w:rFonts w:ascii="Arial" w:hAnsi="Arial" w:cs="Arial"/>
          <w:sz w:val="20"/>
          <w:szCs w:val="20"/>
        </w:rPr>
        <w:t xml:space="preserve"> the time, during an event, or may vary by season. As in the example above, you may choose to include non-fire related carbon monoxide keywords in the </w:t>
      </w:r>
      <w:r>
        <w:rPr>
          <w:rFonts w:ascii="Arial" w:hAnsi="Arial" w:cs="Arial"/>
          <w:sz w:val="20"/>
          <w:szCs w:val="20"/>
        </w:rPr>
        <w:t>winter</w:t>
      </w:r>
      <w:r w:rsidRPr="00C91A02">
        <w:rPr>
          <w:rFonts w:ascii="Arial" w:hAnsi="Arial" w:cs="Arial"/>
          <w:sz w:val="20"/>
          <w:szCs w:val="20"/>
        </w:rPr>
        <w:t xml:space="preserve"> and fire-related keywords in the summer. Altering the case definition by season provides better data integrity and may help with lowering the counts of false positives in your dataset. Some groups may choose to utiliz</w:t>
      </w:r>
      <w:r>
        <w:rPr>
          <w:rFonts w:ascii="Arial" w:hAnsi="Arial" w:cs="Arial"/>
          <w:sz w:val="20"/>
          <w:szCs w:val="20"/>
        </w:rPr>
        <w:t>e the same case definition year-</w:t>
      </w:r>
      <w:r w:rsidRPr="00C91A02">
        <w:rPr>
          <w:rFonts w:ascii="Arial" w:hAnsi="Arial" w:cs="Arial"/>
          <w:sz w:val="20"/>
          <w:szCs w:val="20"/>
        </w:rPr>
        <w:t xml:space="preserve">round as part of syndromic surveillance, or only use the case definition during certain annual events </w:t>
      </w:r>
      <w:r>
        <w:rPr>
          <w:rFonts w:ascii="Arial" w:hAnsi="Arial" w:cs="Arial"/>
          <w:sz w:val="20"/>
          <w:szCs w:val="20"/>
        </w:rPr>
        <w:t xml:space="preserve">or time periods </w:t>
      </w:r>
      <w:r w:rsidRPr="00C91A02">
        <w:rPr>
          <w:rFonts w:ascii="Arial" w:hAnsi="Arial" w:cs="Arial"/>
          <w:sz w:val="20"/>
          <w:szCs w:val="20"/>
        </w:rPr>
        <w:t>as part of enhanced syndromic surveillance (e.g.</w:t>
      </w:r>
      <w:r>
        <w:rPr>
          <w:rFonts w:ascii="Arial" w:hAnsi="Arial" w:cs="Arial"/>
          <w:sz w:val="20"/>
          <w:szCs w:val="20"/>
        </w:rPr>
        <w:t>,</w:t>
      </w:r>
      <w:r w:rsidRPr="00C91A02">
        <w:rPr>
          <w:rFonts w:ascii="Arial" w:hAnsi="Arial" w:cs="Arial"/>
          <w:sz w:val="20"/>
          <w:szCs w:val="20"/>
        </w:rPr>
        <w:t xml:space="preserve"> using the case definition for enhanced surveillance of </w:t>
      </w:r>
      <w:r>
        <w:rPr>
          <w:rFonts w:ascii="Arial" w:hAnsi="Arial" w:cs="Arial"/>
          <w:sz w:val="20"/>
          <w:szCs w:val="20"/>
        </w:rPr>
        <w:t>carbon monoxide poisoning after a hurricane</w:t>
      </w:r>
      <w:r w:rsidRPr="00C91A02">
        <w:rPr>
          <w:rFonts w:ascii="Arial" w:hAnsi="Arial" w:cs="Arial"/>
          <w:sz w:val="20"/>
          <w:szCs w:val="20"/>
        </w:rPr>
        <w:t xml:space="preserve"> </w:t>
      </w:r>
      <w:r>
        <w:rPr>
          <w:rFonts w:ascii="Arial" w:hAnsi="Arial" w:cs="Arial"/>
          <w:sz w:val="20"/>
          <w:szCs w:val="20"/>
        </w:rPr>
        <w:t>or enhancing mosquito-borne surveillance via case identification [</w:t>
      </w:r>
      <w:r w:rsidRPr="007B1E33">
        <w:rPr>
          <w:rFonts w:ascii="Arial" w:hAnsi="Arial" w:cs="Arial"/>
          <w:sz w:val="20"/>
          <w:szCs w:val="20"/>
        </w:rPr>
        <w:t xml:space="preserve">see </w:t>
      </w:r>
      <w:r w:rsidRPr="007B1E33">
        <w:rPr>
          <w:rFonts w:ascii="Arial" w:hAnsi="Arial" w:cs="Arial"/>
          <w:b/>
          <w:sz w:val="20"/>
          <w:szCs w:val="20"/>
        </w:rPr>
        <w:t>Insert 3</w:t>
      </w:r>
      <w:r>
        <w:rPr>
          <w:rFonts w:ascii="Arial" w:hAnsi="Arial" w:cs="Arial"/>
          <w:sz w:val="20"/>
          <w:szCs w:val="20"/>
        </w:rPr>
        <w:t xml:space="preserve">]). </w:t>
      </w:r>
    </w:p>
    <w:p w:rsidR="000F15A4" w:rsidRDefault="000F15A4" w:rsidP="000F15A4">
      <w:pPr>
        <w:tabs>
          <w:tab w:val="left" w:pos="7764"/>
        </w:tabs>
        <w:spacing w:line="360" w:lineRule="auto"/>
        <w:rPr>
          <w:rFonts w:ascii="Arial" w:hAnsi="Arial" w:cs="Arial"/>
          <w:sz w:val="20"/>
          <w:szCs w:val="20"/>
        </w:rPr>
      </w:pPr>
      <w:r w:rsidRPr="005D4D80">
        <w:rPr>
          <w:rFonts w:ascii="Arial" w:hAnsi="Arial" w:cs="Arial"/>
          <w:sz w:val="20"/>
          <w:szCs w:val="20"/>
        </w:rPr>
        <w:t xml:space="preserve">Finally, in areas with a small population, a spike (or greater than expected cases) may not be observed for a </w:t>
      </w:r>
      <w:proofErr w:type="gramStart"/>
      <w:r w:rsidRPr="005D4D80">
        <w:rPr>
          <w:rFonts w:ascii="Arial" w:hAnsi="Arial" w:cs="Arial"/>
          <w:sz w:val="20"/>
          <w:szCs w:val="20"/>
        </w:rPr>
        <w:t>particular outcome</w:t>
      </w:r>
      <w:proofErr w:type="gramEnd"/>
      <w:r w:rsidRPr="005D4D80">
        <w:rPr>
          <w:rFonts w:ascii="Arial" w:hAnsi="Arial" w:cs="Arial"/>
          <w:sz w:val="20"/>
          <w:szCs w:val="20"/>
        </w:rPr>
        <w:t xml:space="preserve"> due to natural statistical variability. Review of all cases with the identified outcome of concern may be appropriate</w:t>
      </w:r>
      <w:r>
        <w:rPr>
          <w:rFonts w:ascii="Arial" w:hAnsi="Arial" w:cs="Arial"/>
          <w:sz w:val="20"/>
          <w:szCs w:val="20"/>
        </w:rPr>
        <w:t xml:space="preserve">. Or a case definition based </w:t>
      </w:r>
      <w:r w:rsidRPr="005D4D80">
        <w:rPr>
          <w:rFonts w:ascii="Arial" w:hAnsi="Arial" w:cs="Arial"/>
          <w:sz w:val="20"/>
          <w:szCs w:val="20"/>
        </w:rPr>
        <w:t>only on the total number of cases (e.g., all ED visits) for a specific vulnerable demographic group may be used. For instance, during a wildfire event</w:t>
      </w:r>
      <w:r>
        <w:rPr>
          <w:rFonts w:ascii="Arial" w:hAnsi="Arial" w:cs="Arial"/>
          <w:sz w:val="20"/>
          <w:szCs w:val="20"/>
        </w:rPr>
        <w:t xml:space="preserve"> in a rural area, statistically significant increases in county-</w:t>
      </w:r>
      <w:r w:rsidRPr="005D4D80">
        <w:rPr>
          <w:rFonts w:ascii="Arial" w:hAnsi="Arial" w:cs="Arial"/>
          <w:sz w:val="20"/>
          <w:szCs w:val="20"/>
        </w:rPr>
        <w:t>specific visits for asthma may not be observed but increased cases of total ED visits for elementary school aged children may be observed. Additionally, when an increase is observed for case definitions comprised of all visits within a specif</w:t>
      </w:r>
      <w:r>
        <w:rPr>
          <w:rFonts w:ascii="Arial" w:hAnsi="Arial" w:cs="Arial"/>
          <w:sz w:val="20"/>
          <w:szCs w:val="20"/>
        </w:rPr>
        <w:t>ic vulnerable population group,</w:t>
      </w:r>
      <w:r w:rsidRPr="005D4D80">
        <w:rPr>
          <w:rFonts w:ascii="Arial" w:hAnsi="Arial" w:cs="Arial"/>
          <w:sz w:val="20"/>
          <w:szCs w:val="20"/>
        </w:rPr>
        <w:t xml:space="preserve"> the public health professional may be able to backtrack to a </w:t>
      </w:r>
      <w:proofErr w:type="gramStart"/>
      <w:r w:rsidRPr="005D4D80">
        <w:rPr>
          <w:rFonts w:ascii="Arial" w:hAnsi="Arial" w:cs="Arial"/>
          <w:sz w:val="20"/>
          <w:szCs w:val="20"/>
        </w:rPr>
        <w:t>particular event</w:t>
      </w:r>
      <w:proofErr w:type="gramEnd"/>
      <w:r w:rsidRPr="005D4D80">
        <w:rPr>
          <w:rFonts w:ascii="Arial" w:hAnsi="Arial" w:cs="Arial"/>
          <w:sz w:val="20"/>
          <w:szCs w:val="20"/>
        </w:rPr>
        <w:t>, such a</w:t>
      </w:r>
      <w:r>
        <w:rPr>
          <w:rFonts w:ascii="Arial" w:hAnsi="Arial" w:cs="Arial"/>
          <w:sz w:val="20"/>
          <w:szCs w:val="20"/>
        </w:rPr>
        <w:t xml:space="preserve">s a wildfire, and then </w:t>
      </w:r>
      <w:r w:rsidRPr="005D4D80">
        <w:rPr>
          <w:rFonts w:ascii="Arial" w:hAnsi="Arial" w:cs="Arial"/>
          <w:sz w:val="20"/>
          <w:szCs w:val="20"/>
        </w:rPr>
        <w:t>examine outcome specific cases.</w:t>
      </w:r>
      <w:r>
        <w:rPr>
          <w:rFonts w:ascii="Arial" w:hAnsi="Arial" w:cs="Arial"/>
          <w:sz w:val="20"/>
          <w:szCs w:val="20"/>
        </w:rPr>
        <w:t xml:space="preserve">  </w:t>
      </w:r>
    </w:p>
    <w:p w:rsidR="000F15A4" w:rsidRDefault="000F15A4" w:rsidP="000F15A4">
      <w:bookmarkStart w:id="4" w:name="_GoBack"/>
      <w:bookmarkEnd w:id="4"/>
    </w:p>
    <w:sectPr w:rsidR="000F15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15A4" w:rsidRDefault="000F15A4" w:rsidP="000F15A4">
      <w:pPr>
        <w:spacing w:after="0" w:line="240" w:lineRule="auto"/>
      </w:pPr>
      <w:r>
        <w:separator/>
      </w:r>
    </w:p>
  </w:endnote>
  <w:endnote w:type="continuationSeparator" w:id="0">
    <w:p w:rsidR="000F15A4" w:rsidRDefault="000F15A4" w:rsidP="000F1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15A4" w:rsidRDefault="000F15A4" w:rsidP="000F15A4">
      <w:pPr>
        <w:spacing w:after="0" w:line="240" w:lineRule="auto"/>
      </w:pPr>
      <w:r>
        <w:separator/>
      </w:r>
    </w:p>
  </w:footnote>
  <w:footnote w:type="continuationSeparator" w:id="0">
    <w:p w:rsidR="000F15A4" w:rsidRDefault="000F15A4" w:rsidP="000F15A4">
      <w:pPr>
        <w:spacing w:after="0" w:line="240" w:lineRule="auto"/>
      </w:pPr>
      <w:r>
        <w:continuationSeparator/>
      </w:r>
    </w:p>
  </w:footnote>
  <w:footnote w:id="1">
    <w:p w:rsidR="000F15A4" w:rsidRDefault="000F15A4" w:rsidP="000F15A4">
      <w:pPr>
        <w:pStyle w:val="FootnoteText"/>
      </w:pPr>
      <w:r>
        <w:rPr>
          <w:rStyle w:val="FootnoteReference"/>
        </w:rPr>
        <w:footnoteRef/>
      </w:r>
      <w:r>
        <w:t xml:space="preserve"> </w:t>
      </w:r>
      <w:r w:rsidRPr="00A32D4E">
        <w:rPr>
          <w:rFonts w:cstheme="minorHAnsi"/>
        </w:rPr>
        <w:t>Note that guidelines for developing a heat-related illness case definition and query, including potential uses and methods of evaluation, has been published by the Council of State and Territorial Epidemiologist (CSTE) [CSTE 2016].</w:t>
      </w:r>
    </w:p>
  </w:footnote>
  <w:footnote w:id="2">
    <w:p w:rsidR="000F15A4" w:rsidRDefault="000F15A4" w:rsidP="000F15A4">
      <w:pPr>
        <w:pStyle w:val="FootnoteText"/>
      </w:pPr>
      <w:r>
        <w:rPr>
          <w:rStyle w:val="FootnoteReference"/>
        </w:rPr>
        <w:footnoteRef/>
      </w:r>
      <w:r>
        <w:t xml:space="preserve"> Contact your syndromic surveillance coordinator to discuss the algorithms currently being used in the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417249"/>
    <w:multiLevelType w:val="hybridMultilevel"/>
    <w:tmpl w:val="40B27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5A4"/>
    <w:rsid w:val="000F15A4"/>
    <w:rsid w:val="00292649"/>
    <w:rsid w:val="00402E9C"/>
    <w:rsid w:val="00B23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B0A9E"/>
  <w15:chartTrackingRefBased/>
  <w15:docId w15:val="{AFA32541-3903-4CCB-8768-1BECBE992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15A4"/>
    <w:pPr>
      <w:spacing w:line="256" w:lineRule="auto"/>
    </w:pPr>
  </w:style>
  <w:style w:type="paragraph" w:styleId="Heading1">
    <w:name w:val="heading 1"/>
    <w:basedOn w:val="Normal"/>
    <w:next w:val="Normal"/>
    <w:link w:val="Heading1Char"/>
    <w:uiPriority w:val="9"/>
    <w:qFormat/>
    <w:rsid w:val="000F15A4"/>
    <w:pPr>
      <w:spacing w:line="360" w:lineRule="auto"/>
      <w:outlineLvl w:val="0"/>
    </w:pPr>
    <w:rPr>
      <w:rFonts w:ascii="Arial" w:hAnsi="Arial" w:cs="Arial"/>
      <w:caps/>
      <w:sz w:val="24"/>
      <w:szCs w:val="24"/>
    </w:rPr>
  </w:style>
  <w:style w:type="paragraph" w:styleId="Heading2">
    <w:name w:val="heading 2"/>
    <w:basedOn w:val="Normal"/>
    <w:next w:val="Normal"/>
    <w:link w:val="Heading2Char"/>
    <w:uiPriority w:val="9"/>
    <w:unhideWhenUsed/>
    <w:qFormat/>
    <w:rsid w:val="000F15A4"/>
    <w:pPr>
      <w:spacing w:line="360" w:lineRule="auto"/>
      <w:outlineLvl w:val="1"/>
    </w:pPr>
    <w:rPr>
      <w:rFonts w:ascii="Arial" w:hAnsi="Arial" w:cs="Arial"/>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5A4"/>
    <w:rPr>
      <w:rFonts w:ascii="Arial" w:hAnsi="Arial" w:cs="Arial"/>
      <w:caps/>
      <w:sz w:val="24"/>
      <w:szCs w:val="24"/>
    </w:rPr>
  </w:style>
  <w:style w:type="character" w:customStyle="1" w:styleId="Heading2Char">
    <w:name w:val="Heading 2 Char"/>
    <w:basedOn w:val="DefaultParagraphFont"/>
    <w:link w:val="Heading2"/>
    <w:uiPriority w:val="9"/>
    <w:rsid w:val="000F15A4"/>
    <w:rPr>
      <w:rFonts w:ascii="Arial" w:hAnsi="Arial" w:cs="Arial"/>
      <w:caps/>
    </w:rPr>
  </w:style>
  <w:style w:type="paragraph" w:styleId="ListParagraph">
    <w:name w:val="List Paragraph"/>
    <w:basedOn w:val="Normal"/>
    <w:uiPriority w:val="34"/>
    <w:qFormat/>
    <w:rsid w:val="000F15A4"/>
    <w:pPr>
      <w:spacing w:after="200" w:line="276" w:lineRule="auto"/>
      <w:ind w:left="720"/>
      <w:contextualSpacing/>
    </w:pPr>
  </w:style>
  <w:style w:type="paragraph" w:styleId="FootnoteText">
    <w:name w:val="footnote text"/>
    <w:basedOn w:val="Normal"/>
    <w:link w:val="FootnoteTextChar"/>
    <w:uiPriority w:val="99"/>
    <w:semiHidden/>
    <w:unhideWhenUsed/>
    <w:rsid w:val="000F15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15A4"/>
    <w:rPr>
      <w:sz w:val="20"/>
      <w:szCs w:val="20"/>
    </w:rPr>
  </w:style>
  <w:style w:type="character" w:styleId="FootnoteReference">
    <w:name w:val="footnote reference"/>
    <w:basedOn w:val="DefaultParagraphFont"/>
    <w:uiPriority w:val="99"/>
    <w:semiHidden/>
    <w:unhideWhenUsed/>
    <w:rsid w:val="000F15A4"/>
    <w:rPr>
      <w:vertAlign w:val="superscript"/>
    </w:rPr>
  </w:style>
  <w:style w:type="paragraph" w:styleId="NoSpacing">
    <w:name w:val="No Spacing"/>
    <w:uiPriority w:val="1"/>
    <w:qFormat/>
    <w:rsid w:val="000F15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2334</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2018-07-16T15:19:00Z</dcterms:created>
  <dcterms:modified xsi:type="dcterms:W3CDTF">2018-07-16T15:22:00Z</dcterms:modified>
</cp:coreProperties>
</file>