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8A4B8A" w14:textId="61102051" w:rsidR="00214F02" w:rsidRDefault="00735D0C">
      <w:r>
        <w:t xml:space="preserve">The Council of State and Territorial Epidemiologists Health Disparities workgroup </w:t>
      </w:r>
      <w:r w:rsidR="00214F02">
        <w:t>applaud</w:t>
      </w:r>
      <w:r>
        <w:t>s</w:t>
      </w:r>
      <w:r w:rsidR="00214F02">
        <w:t xml:space="preserve"> but wish</w:t>
      </w:r>
      <w:r>
        <w:t>es</w:t>
      </w:r>
      <w:r w:rsidR="00214F02">
        <w:t xml:space="preserve"> to call attention to </w:t>
      </w:r>
      <w:r w:rsidR="001D462D">
        <w:t xml:space="preserve">this </w:t>
      </w:r>
      <w:r w:rsidR="00214F02">
        <w:t>Foundational Principle</w:t>
      </w:r>
      <w:r w:rsidR="001D462D">
        <w:t xml:space="preserve"> (</w:t>
      </w:r>
      <w:r w:rsidR="00214F02">
        <w:t>“Achieving health and well-being requires eliminating heath disparities, achieving health equity, and attaining health literacy”</w:t>
      </w:r>
      <w:r w:rsidR="001D462D">
        <w:t>)</w:t>
      </w:r>
      <w:r w:rsidR="00214F02" w:rsidRPr="00214F02">
        <w:t xml:space="preserve"> </w:t>
      </w:r>
      <w:r w:rsidR="00214F02">
        <w:t>for which we have specific recommendations. This foundational principle is also reflected in the Plan of Action (</w:t>
      </w:r>
      <w:r w:rsidR="000E6FD4">
        <w:t>“I</w:t>
      </w:r>
      <w:r w:rsidR="00214F02">
        <w:t>dentify regions and groups with poor health or at high r</w:t>
      </w:r>
      <w:r w:rsidR="000E6FD4">
        <w:t>isk for poor health in the future; Provide tools … to evaluate progress toward improving health) and Overarching Goals (“Attain health literacy, achieve health equity, eliminate disparities, and improve the health and well-being of all populations”).</w:t>
      </w:r>
    </w:p>
    <w:p w14:paraId="2380A242" w14:textId="18ADB2CF" w:rsidR="000E6FD4" w:rsidRDefault="000E6FD4" w:rsidP="000E6FD4">
      <w:r>
        <w:t xml:space="preserve">To know whether there are important health disparities and inequities and to assure that we know we are making progress, it is important </w:t>
      </w:r>
      <w:r w:rsidR="000619F0">
        <w:t xml:space="preserve">that we </w:t>
      </w:r>
      <w:r>
        <w:t>measur</w:t>
      </w:r>
      <w:r w:rsidR="000619F0">
        <w:t>e</w:t>
      </w:r>
      <w:r>
        <w:t xml:space="preserve"> health disparities and inequities for each population-based objective in fundamental ways, including by socioeconomic status (SES).</w:t>
      </w:r>
      <w:r w:rsidR="000619F0">
        <w:t xml:space="preserve"> HP 2020 recognized this and had as an infrastructure objective (</w:t>
      </w:r>
      <w:r w:rsidR="000619F0" w:rsidRPr="000619F0">
        <w:t>Public Health Infrastructure Objective 7.3</w:t>
      </w:r>
      <w:r w:rsidR="000619F0">
        <w:t xml:space="preserve">) to </w:t>
      </w:r>
      <w:r w:rsidR="000619F0" w:rsidRPr="000619F0">
        <w:t>increase the proportion of population-based objectives for which national data are available by SES</w:t>
      </w:r>
      <w:r w:rsidR="001D462D">
        <w:t xml:space="preserve"> (b</w:t>
      </w:r>
      <w:r w:rsidR="000619F0">
        <w:t>aseline 64%</w:t>
      </w:r>
      <w:r w:rsidR="001D462D">
        <w:t>)</w:t>
      </w:r>
      <w:r w:rsidR="000619F0">
        <w:t xml:space="preserve">. </w:t>
      </w:r>
      <w:r w:rsidR="00C97BB0">
        <w:t xml:space="preserve">Two </w:t>
      </w:r>
      <w:r w:rsidR="000619F0">
        <w:t xml:space="preserve">SES measures </w:t>
      </w:r>
      <w:r w:rsidR="00C97BB0">
        <w:t xml:space="preserve">were used for this benchmark, both measured at the individual level (educational level, household income). Unfortunately, national data for most mortality, cancer and infectious disease objectives lack individual SES data, being collected through mandated reporting at the state level, often without personal follow-up to get </w:t>
      </w:r>
      <w:r w:rsidR="0090060E">
        <w:t>SES</w:t>
      </w:r>
      <w:r w:rsidR="00C97BB0">
        <w:t xml:space="preserve"> information. Thus, it is doubtful that much progress can be made on increasing the 64% and understanding the magnitude of any disparities by SES without considering </w:t>
      </w:r>
      <w:r w:rsidR="001D462D">
        <w:t xml:space="preserve">area-based </w:t>
      </w:r>
      <w:r w:rsidR="00C97BB0">
        <w:t xml:space="preserve">SES measures.  </w:t>
      </w:r>
      <w:r w:rsidR="001D462D">
        <w:t>M</w:t>
      </w:r>
      <w:r w:rsidR="0090060E">
        <w:t>ost such data include</w:t>
      </w:r>
      <w:r w:rsidR="00C97BB0">
        <w:t xml:space="preserve"> the street address of residence of the affected person, making it possible to geocode that address, identify the census tract of residence and to link it to census tract-level measures of SES. </w:t>
      </w:r>
    </w:p>
    <w:p w14:paraId="18DD8F80" w14:textId="0FE50F52" w:rsidR="00EC4282" w:rsidRDefault="00EC4282" w:rsidP="000E6FD4">
      <w:r>
        <w:t xml:space="preserve">We feel it is time to expand the number of acceptable measures of SES to include </w:t>
      </w:r>
      <w:r w:rsidR="007510A0">
        <w:t xml:space="preserve">at least one </w:t>
      </w:r>
      <w:r>
        <w:t>neighborhood or area-based SES measure to help achieve th</w:t>
      </w:r>
      <w:r w:rsidR="001D462D">
        <w:t>is f</w:t>
      </w:r>
      <w:r>
        <w:t xml:space="preserve">oundational </w:t>
      </w:r>
      <w:r w:rsidR="001D462D">
        <w:t>p</w:t>
      </w:r>
      <w:r>
        <w:t xml:space="preserve">rinciple and related </w:t>
      </w:r>
      <w:r w:rsidR="001D462D">
        <w:t>o</w:t>
      </w:r>
      <w:r>
        <w:t>verar</w:t>
      </w:r>
      <w:r w:rsidR="007510A0">
        <w:t xml:space="preserve">ching </w:t>
      </w:r>
      <w:r w:rsidR="001D462D">
        <w:t>g</w:t>
      </w:r>
      <w:r w:rsidR="007510A0">
        <w:t>oal to eliminate disparities and achieve health equity</w:t>
      </w:r>
      <w:r w:rsidR="00182180">
        <w:t xml:space="preserve"> (e.g., census tract-level percentage of people with household incomes below the federal poverty level)</w:t>
      </w:r>
      <w:r>
        <w:t xml:space="preserve">. There is </w:t>
      </w:r>
      <w:r w:rsidR="007510A0">
        <w:t xml:space="preserve">much </w:t>
      </w:r>
      <w:r>
        <w:t xml:space="preserve">precedent for </w:t>
      </w:r>
      <w:r w:rsidR="007510A0">
        <w:t xml:space="preserve">use of area-based SES measures for analysis of public health surveillance data, beginning with the recommendations </w:t>
      </w:r>
      <w:r>
        <w:t>Public Health Disparities Geocoding Project</w:t>
      </w:r>
      <w:r w:rsidR="007510A0">
        <w:t xml:space="preserve"> (</w:t>
      </w:r>
      <w:r>
        <w:t>1</w:t>
      </w:r>
      <w:r w:rsidR="007510A0">
        <w:t xml:space="preserve">) and continuing through </w:t>
      </w:r>
      <w:r w:rsidR="0090060E">
        <w:t xml:space="preserve">national-level </w:t>
      </w:r>
      <w:r w:rsidR="007510A0">
        <w:t>work supported by the CDC’s HIV and Emerging Infections Program surveillance activities (</w:t>
      </w:r>
      <w:r w:rsidR="00E05468">
        <w:t>2</w:t>
      </w:r>
      <w:r w:rsidR="00874A56">
        <w:t>,3</w:t>
      </w:r>
      <w:r w:rsidR="007510A0">
        <w:t>) and the North American Association of Central Cancer Registries (</w:t>
      </w:r>
      <w:r w:rsidR="00874A56">
        <w:t>4</w:t>
      </w:r>
      <w:r w:rsidR="007510A0">
        <w:t xml:space="preserve">). Not only is there precedent, a CSTE assessment of state readiness to geocode and share data centrally demonstrated the ability and willingness of </w:t>
      </w:r>
      <w:proofErr w:type="gramStart"/>
      <w:r w:rsidR="007510A0">
        <w:t>a large number of</w:t>
      </w:r>
      <w:proofErr w:type="gramEnd"/>
      <w:r w:rsidR="007510A0">
        <w:t xml:space="preserve"> states to do both</w:t>
      </w:r>
      <w:r w:rsidR="0090060E">
        <w:t xml:space="preserve"> </w:t>
      </w:r>
      <w:r w:rsidR="007510A0">
        <w:t>(</w:t>
      </w:r>
      <w:r w:rsidR="00874A56">
        <w:t>5</w:t>
      </w:r>
      <w:r w:rsidR="007510A0">
        <w:t xml:space="preserve">). </w:t>
      </w:r>
    </w:p>
    <w:p w14:paraId="06D6ECF5" w14:textId="22F18386" w:rsidR="00066613" w:rsidRDefault="00066613" w:rsidP="00066613">
      <w:r>
        <w:t>In June 2016, CSTE passed a position statement directed at CDC and NCHS entitled “</w:t>
      </w:r>
      <w:r w:rsidR="00CC6BD8" w:rsidRPr="00CC6BD8">
        <w:t xml:space="preserve">Use of Area-based SES to Generate National Data on Health Outcomes with Proposed HP 2030 Objectives for Which Individual SES Data are Not Routinely </w:t>
      </w:r>
      <w:r w:rsidR="00182180" w:rsidRPr="00CC6BD8">
        <w:t>Collected”</w:t>
      </w:r>
      <w:r w:rsidR="00182180">
        <w:t xml:space="preserve"> (</w:t>
      </w:r>
      <w:r w:rsidR="00874A56">
        <w:t>6</w:t>
      </w:r>
      <w:r w:rsidR="00CC6BD8">
        <w:t>)</w:t>
      </w:r>
      <w:r>
        <w:t xml:space="preserve">. </w:t>
      </w:r>
      <w:r w:rsidR="00CC6BD8">
        <w:t>The p</w:t>
      </w:r>
      <w:r>
        <w:t>osition statement</w:t>
      </w:r>
      <w:r w:rsidR="0090060E">
        <w:t xml:space="preserve">, </w:t>
      </w:r>
      <w:r>
        <w:t xml:space="preserve">its rationale and supporting information </w:t>
      </w:r>
      <w:r w:rsidR="00CC6BD8">
        <w:t xml:space="preserve">have been </w:t>
      </w:r>
      <w:r>
        <w:t xml:space="preserve">presented to CDC and to the NCHS Board of Scientific Counselors. They encouraged </w:t>
      </w:r>
      <w:r w:rsidR="00874A56">
        <w:t>submission of this</w:t>
      </w:r>
      <w:r w:rsidR="00CC6BD8">
        <w:t xml:space="preserve"> </w:t>
      </w:r>
      <w:r>
        <w:t xml:space="preserve">testimony while continuing discussions and potentially forming the workgroup </w:t>
      </w:r>
      <w:r w:rsidR="00CC6BD8">
        <w:t xml:space="preserve">recommended in the position statement </w:t>
      </w:r>
      <w:r>
        <w:t xml:space="preserve">to </w:t>
      </w:r>
      <w:r w:rsidR="00CC6BD8">
        <w:t xml:space="preserve">select and </w:t>
      </w:r>
      <w:r>
        <w:t xml:space="preserve">develop standards for </w:t>
      </w:r>
      <w:r w:rsidR="00CC6BD8">
        <w:t xml:space="preserve">geocoding, combining data from a sample of states and then presentation of national data using one or more area-based SES </w:t>
      </w:r>
      <w:r>
        <w:t xml:space="preserve">measures.   </w:t>
      </w:r>
    </w:p>
    <w:p w14:paraId="7E4D231B" w14:textId="0B88C238" w:rsidR="00CC6BD8" w:rsidRDefault="00CC6BD8" w:rsidP="00CC6BD8">
      <w:r>
        <w:t xml:space="preserve">We most strongly encourage the Social Determinants of Health and Health Equity Subcommittee and/or the Data Subcommittee to include a public health infrastructure objective to increase the </w:t>
      </w:r>
      <w:r w:rsidRPr="000619F0">
        <w:t>proportion of population-based objectives for which national data are available by SES</w:t>
      </w:r>
      <w:r>
        <w:t xml:space="preserve"> by having at least one </w:t>
      </w:r>
      <w:r w:rsidR="00980BE5">
        <w:lastRenderedPageBreak/>
        <w:t xml:space="preserve">acceptable </w:t>
      </w:r>
      <w:r>
        <w:t xml:space="preserve">census tract-level </w:t>
      </w:r>
      <w:r w:rsidR="00076741">
        <w:t xml:space="preserve">SES </w:t>
      </w:r>
      <w:r>
        <w:t xml:space="preserve">measure for each population-based health outcome measure lacking data on individual SES. </w:t>
      </w:r>
    </w:p>
    <w:p w14:paraId="7048B42C" w14:textId="1CC57797" w:rsidR="00154F2B" w:rsidRDefault="00154F2B" w:rsidP="00CC6BD8">
      <w:r>
        <w:t xml:space="preserve">Thank you </w:t>
      </w:r>
      <w:r w:rsidR="00076741">
        <w:t>in advance for considering our comments</w:t>
      </w:r>
      <w:r>
        <w:t xml:space="preserve">. </w:t>
      </w:r>
      <w:r w:rsidR="00874A56">
        <w:t>I and my colleagues</w:t>
      </w:r>
      <w:r>
        <w:t xml:space="preserve"> look forward to hearing from you. </w:t>
      </w:r>
    </w:p>
    <w:p w14:paraId="20AFA446" w14:textId="4BF471D8" w:rsidR="00154F2B" w:rsidRPr="00502B0F" w:rsidRDefault="00AD180F" w:rsidP="00CC6BD8">
      <w:r w:rsidRPr="00502B0F">
        <w:t>References</w:t>
      </w:r>
    </w:p>
    <w:p w14:paraId="1C5D6113" w14:textId="42209651" w:rsidR="00AD180F" w:rsidRPr="00502B0F" w:rsidRDefault="00AD180F" w:rsidP="00E05468">
      <w:pPr>
        <w:pStyle w:val="Default"/>
        <w:numPr>
          <w:ilvl w:val="0"/>
          <w:numId w:val="2"/>
        </w:numPr>
        <w:ind w:left="360"/>
        <w:rPr>
          <w:rFonts w:asciiTheme="minorHAnsi" w:hAnsiTheme="minorHAnsi"/>
          <w:sz w:val="22"/>
          <w:szCs w:val="22"/>
        </w:rPr>
      </w:pPr>
      <w:r w:rsidRPr="00502B0F">
        <w:rPr>
          <w:rFonts w:asciiTheme="minorHAnsi" w:hAnsiTheme="minorHAnsi"/>
          <w:sz w:val="22"/>
          <w:szCs w:val="22"/>
        </w:rPr>
        <w:t xml:space="preserve">Krieger N, Chen JT, Waterman PD, </w:t>
      </w:r>
      <w:proofErr w:type="spellStart"/>
      <w:r w:rsidRPr="00502B0F">
        <w:rPr>
          <w:rFonts w:asciiTheme="minorHAnsi" w:hAnsiTheme="minorHAnsi"/>
          <w:sz w:val="22"/>
          <w:szCs w:val="22"/>
        </w:rPr>
        <w:t>Rehkopf</w:t>
      </w:r>
      <w:proofErr w:type="spellEnd"/>
      <w:r w:rsidRPr="00502B0F">
        <w:rPr>
          <w:rFonts w:asciiTheme="minorHAnsi" w:hAnsiTheme="minorHAnsi"/>
          <w:sz w:val="22"/>
          <w:szCs w:val="22"/>
        </w:rPr>
        <w:t xml:space="preserve"> DH, Subramanian SV. Painting a truer picture of US socioeconomic and racial/ethnic health inequalities: The Public Health Disparities Geocoding Project. </w:t>
      </w:r>
      <w:r w:rsidRPr="00502B0F">
        <w:rPr>
          <w:rFonts w:asciiTheme="minorHAnsi" w:hAnsiTheme="minorHAnsi"/>
          <w:i/>
          <w:iCs/>
          <w:sz w:val="22"/>
          <w:szCs w:val="22"/>
        </w:rPr>
        <w:t>Am J Public Health</w:t>
      </w:r>
      <w:r w:rsidRPr="00502B0F">
        <w:rPr>
          <w:rFonts w:asciiTheme="minorHAnsi" w:hAnsiTheme="minorHAnsi"/>
          <w:sz w:val="22"/>
          <w:szCs w:val="22"/>
        </w:rPr>
        <w:t xml:space="preserve">. </w:t>
      </w:r>
      <w:proofErr w:type="gramStart"/>
      <w:r w:rsidRPr="00502B0F">
        <w:rPr>
          <w:rFonts w:asciiTheme="minorHAnsi" w:hAnsiTheme="minorHAnsi"/>
          <w:sz w:val="22"/>
          <w:szCs w:val="22"/>
        </w:rPr>
        <w:t>2005;95:312</w:t>
      </w:r>
      <w:proofErr w:type="gramEnd"/>
      <w:r w:rsidRPr="00502B0F">
        <w:rPr>
          <w:rFonts w:asciiTheme="minorHAnsi" w:hAnsiTheme="minorHAnsi"/>
          <w:sz w:val="22"/>
          <w:szCs w:val="22"/>
        </w:rPr>
        <w:t xml:space="preserve">–23. DOI PubMed </w:t>
      </w:r>
    </w:p>
    <w:p w14:paraId="5620A142" w14:textId="28C6300E" w:rsidR="00AD180F" w:rsidRPr="00502B0F" w:rsidRDefault="00AD180F" w:rsidP="00E05468">
      <w:pPr>
        <w:pStyle w:val="Default"/>
        <w:numPr>
          <w:ilvl w:val="0"/>
          <w:numId w:val="2"/>
        </w:numPr>
        <w:spacing w:after="7"/>
        <w:ind w:left="360"/>
        <w:rPr>
          <w:rFonts w:asciiTheme="minorHAnsi" w:hAnsiTheme="minorHAnsi"/>
          <w:sz w:val="22"/>
          <w:szCs w:val="22"/>
        </w:rPr>
      </w:pPr>
      <w:r w:rsidRPr="00502B0F">
        <w:rPr>
          <w:rFonts w:asciiTheme="minorHAnsi" w:hAnsiTheme="minorHAnsi"/>
          <w:sz w:val="22"/>
          <w:szCs w:val="22"/>
        </w:rPr>
        <w:t xml:space="preserve">Centers for Disease Control and Prevention. Social determinants of health among adults diagnosed with HIV infection in 20 states, the District of Columbia and Puerto Rico, 2010. </w:t>
      </w:r>
      <w:r w:rsidRPr="00502B0F">
        <w:rPr>
          <w:rFonts w:asciiTheme="minorHAnsi" w:hAnsiTheme="minorHAnsi"/>
          <w:i/>
          <w:iCs/>
          <w:sz w:val="22"/>
          <w:szCs w:val="22"/>
        </w:rPr>
        <w:t xml:space="preserve">HIV Surveillance Supplemental Report </w:t>
      </w:r>
      <w:r w:rsidRPr="00502B0F">
        <w:rPr>
          <w:rFonts w:asciiTheme="minorHAnsi" w:hAnsiTheme="minorHAnsi"/>
          <w:sz w:val="22"/>
          <w:szCs w:val="22"/>
        </w:rPr>
        <w:t xml:space="preserve">2014;19 (no.2). Revised edition. http://www.cdc.gov/hiv/pdf/surveillance_Report_vol_19_no_2.pdf. Published July 2014. Accessed January 4, 2016. </w:t>
      </w:r>
    </w:p>
    <w:p w14:paraId="706090A1" w14:textId="0C58374F" w:rsidR="00AD180F" w:rsidRPr="00611E73" w:rsidRDefault="00AD180F" w:rsidP="00E05468">
      <w:pPr>
        <w:pStyle w:val="Default"/>
        <w:numPr>
          <w:ilvl w:val="0"/>
          <w:numId w:val="2"/>
        </w:numPr>
        <w:spacing w:after="7"/>
        <w:ind w:left="360"/>
        <w:rPr>
          <w:rFonts w:asciiTheme="minorHAnsi" w:hAnsiTheme="minorHAnsi"/>
          <w:sz w:val="22"/>
          <w:szCs w:val="22"/>
        </w:rPr>
      </w:pPr>
      <w:r w:rsidRPr="00502B0F">
        <w:rPr>
          <w:rFonts w:asciiTheme="minorHAnsi" w:hAnsiTheme="minorHAnsi"/>
          <w:sz w:val="22"/>
          <w:szCs w:val="22"/>
        </w:rPr>
        <w:t xml:space="preserve">Hadler JL, Yousey-Hindes K, Perez A, Anderson E, </w:t>
      </w:r>
      <w:proofErr w:type="spellStart"/>
      <w:r w:rsidRPr="00611E73">
        <w:rPr>
          <w:rFonts w:asciiTheme="minorHAnsi" w:hAnsiTheme="minorHAnsi"/>
          <w:sz w:val="22"/>
          <w:szCs w:val="22"/>
        </w:rPr>
        <w:t>Bargsen</w:t>
      </w:r>
      <w:proofErr w:type="spellEnd"/>
      <w:r w:rsidRPr="00611E73">
        <w:rPr>
          <w:rFonts w:asciiTheme="minorHAnsi" w:hAnsiTheme="minorHAnsi"/>
          <w:sz w:val="22"/>
          <w:szCs w:val="22"/>
        </w:rPr>
        <w:t xml:space="preserve"> M, Bohm S, Hill M, Hogan B, </w:t>
      </w:r>
      <w:proofErr w:type="spellStart"/>
      <w:r w:rsidRPr="00611E73">
        <w:rPr>
          <w:rFonts w:asciiTheme="minorHAnsi" w:hAnsiTheme="minorHAnsi"/>
          <w:sz w:val="22"/>
          <w:szCs w:val="22"/>
        </w:rPr>
        <w:t>Laidler</w:t>
      </w:r>
      <w:proofErr w:type="spellEnd"/>
      <w:r w:rsidRPr="00611E73">
        <w:rPr>
          <w:rFonts w:asciiTheme="minorHAnsi" w:hAnsiTheme="minorHAnsi"/>
          <w:sz w:val="22"/>
          <w:szCs w:val="22"/>
        </w:rPr>
        <w:t xml:space="preserve"> M, </w:t>
      </w:r>
      <w:proofErr w:type="spellStart"/>
      <w:r w:rsidRPr="00611E73">
        <w:rPr>
          <w:rFonts w:asciiTheme="minorHAnsi" w:hAnsiTheme="minorHAnsi"/>
          <w:sz w:val="22"/>
          <w:szCs w:val="22"/>
        </w:rPr>
        <w:t>Lindegren</w:t>
      </w:r>
      <w:proofErr w:type="spellEnd"/>
      <w:r w:rsidRPr="00611E73">
        <w:rPr>
          <w:rFonts w:asciiTheme="minorHAnsi" w:hAnsiTheme="minorHAnsi"/>
          <w:sz w:val="22"/>
          <w:szCs w:val="22"/>
        </w:rPr>
        <w:t xml:space="preserve"> ML, Lung KL, </w:t>
      </w:r>
      <w:proofErr w:type="spellStart"/>
      <w:r w:rsidRPr="00611E73">
        <w:rPr>
          <w:rFonts w:asciiTheme="minorHAnsi" w:hAnsiTheme="minorHAnsi"/>
          <w:sz w:val="22"/>
          <w:szCs w:val="22"/>
        </w:rPr>
        <w:t>Mermel</w:t>
      </w:r>
      <w:proofErr w:type="spellEnd"/>
      <w:r w:rsidRPr="00611E73">
        <w:rPr>
          <w:rFonts w:asciiTheme="minorHAnsi" w:hAnsiTheme="minorHAnsi"/>
          <w:sz w:val="22"/>
          <w:szCs w:val="22"/>
        </w:rPr>
        <w:t xml:space="preserve"> E, Miller L, Morin C, Parker E, </w:t>
      </w:r>
      <w:proofErr w:type="spellStart"/>
      <w:r w:rsidRPr="00611E73">
        <w:rPr>
          <w:rFonts w:asciiTheme="minorHAnsi" w:hAnsiTheme="minorHAnsi"/>
          <w:sz w:val="22"/>
          <w:szCs w:val="22"/>
        </w:rPr>
        <w:t>Zansky</w:t>
      </w:r>
      <w:proofErr w:type="spellEnd"/>
      <w:r w:rsidRPr="00611E73">
        <w:rPr>
          <w:rFonts w:asciiTheme="minorHAnsi" w:hAnsiTheme="minorHAnsi"/>
          <w:sz w:val="22"/>
          <w:szCs w:val="22"/>
        </w:rPr>
        <w:t xml:space="preserve"> SM and Chaves SS. Influenza-related hospitalizations and poverty levels – United States 2010-2012. </w:t>
      </w:r>
      <w:r w:rsidRPr="00611E73">
        <w:rPr>
          <w:rFonts w:asciiTheme="minorHAnsi" w:hAnsiTheme="minorHAnsi"/>
          <w:i/>
          <w:iCs/>
          <w:sz w:val="22"/>
          <w:szCs w:val="22"/>
        </w:rPr>
        <w:t xml:space="preserve">Morbid Mortal </w:t>
      </w:r>
      <w:proofErr w:type="spellStart"/>
      <w:r w:rsidRPr="00611E73">
        <w:rPr>
          <w:rFonts w:asciiTheme="minorHAnsi" w:hAnsiTheme="minorHAnsi"/>
          <w:i/>
          <w:iCs/>
          <w:sz w:val="22"/>
          <w:szCs w:val="22"/>
        </w:rPr>
        <w:t>Wkly</w:t>
      </w:r>
      <w:proofErr w:type="spellEnd"/>
      <w:r w:rsidRPr="00611E73">
        <w:rPr>
          <w:rFonts w:asciiTheme="minorHAnsi" w:hAnsiTheme="minorHAnsi"/>
          <w:i/>
          <w:iCs/>
          <w:sz w:val="22"/>
          <w:szCs w:val="22"/>
        </w:rPr>
        <w:t xml:space="preserve"> Rep </w:t>
      </w:r>
      <w:r w:rsidRPr="00611E73">
        <w:rPr>
          <w:rFonts w:asciiTheme="minorHAnsi" w:hAnsiTheme="minorHAnsi"/>
          <w:sz w:val="22"/>
          <w:szCs w:val="22"/>
        </w:rPr>
        <w:t xml:space="preserve">2016;65(5):101-05. </w:t>
      </w:r>
    </w:p>
    <w:p w14:paraId="3D20125E" w14:textId="77777777" w:rsidR="00502B0F" w:rsidRPr="00611E73" w:rsidRDefault="00502B0F" w:rsidP="00E05468">
      <w:pPr>
        <w:pStyle w:val="Default"/>
        <w:numPr>
          <w:ilvl w:val="0"/>
          <w:numId w:val="2"/>
        </w:numPr>
        <w:spacing w:after="7"/>
        <w:ind w:left="360"/>
        <w:rPr>
          <w:rFonts w:asciiTheme="minorHAnsi" w:hAnsiTheme="minorHAnsi"/>
          <w:sz w:val="22"/>
          <w:szCs w:val="22"/>
        </w:rPr>
      </w:pPr>
      <w:proofErr w:type="spellStart"/>
      <w:r w:rsidRPr="00611E73">
        <w:rPr>
          <w:rFonts w:asciiTheme="minorHAnsi" w:hAnsiTheme="minorHAnsi"/>
          <w:sz w:val="22"/>
          <w:szCs w:val="22"/>
        </w:rPr>
        <w:t>Boscoe</w:t>
      </w:r>
      <w:proofErr w:type="spellEnd"/>
      <w:r w:rsidRPr="00611E73">
        <w:rPr>
          <w:rFonts w:asciiTheme="minorHAnsi" w:hAnsiTheme="minorHAnsi"/>
          <w:sz w:val="22"/>
          <w:szCs w:val="22"/>
        </w:rPr>
        <w:t xml:space="preserve"> FP, Johnson CJ, Sherman RL, </w:t>
      </w:r>
      <w:proofErr w:type="spellStart"/>
      <w:r w:rsidRPr="00611E73">
        <w:rPr>
          <w:rFonts w:asciiTheme="minorHAnsi" w:hAnsiTheme="minorHAnsi"/>
          <w:sz w:val="22"/>
          <w:szCs w:val="22"/>
        </w:rPr>
        <w:t>Stinchcomb</w:t>
      </w:r>
      <w:proofErr w:type="spellEnd"/>
      <w:r w:rsidRPr="00611E73">
        <w:rPr>
          <w:rFonts w:asciiTheme="minorHAnsi" w:hAnsiTheme="minorHAnsi"/>
          <w:sz w:val="22"/>
          <w:szCs w:val="22"/>
        </w:rPr>
        <w:t xml:space="preserve"> DG, Lin G and Henry KA. The relationship between area poverty rate and site-specific cancer incidence in the United States. </w:t>
      </w:r>
      <w:r w:rsidRPr="00611E73">
        <w:rPr>
          <w:rFonts w:asciiTheme="minorHAnsi" w:hAnsiTheme="minorHAnsi"/>
          <w:i/>
          <w:iCs/>
          <w:sz w:val="22"/>
          <w:szCs w:val="22"/>
        </w:rPr>
        <w:t xml:space="preserve">Cancer </w:t>
      </w:r>
      <w:r w:rsidRPr="00611E73">
        <w:rPr>
          <w:rFonts w:asciiTheme="minorHAnsi" w:hAnsiTheme="minorHAnsi"/>
          <w:sz w:val="22"/>
          <w:szCs w:val="22"/>
        </w:rPr>
        <w:t xml:space="preserve">2014;120(14):2191-8. </w:t>
      </w:r>
    </w:p>
    <w:p w14:paraId="4029DC4E" w14:textId="77777777" w:rsidR="00611E73" w:rsidRPr="00611E73" w:rsidRDefault="00502B0F" w:rsidP="00E05468">
      <w:pPr>
        <w:pStyle w:val="Default"/>
        <w:numPr>
          <w:ilvl w:val="0"/>
          <w:numId w:val="2"/>
        </w:numPr>
        <w:spacing w:after="7"/>
        <w:ind w:left="360"/>
        <w:rPr>
          <w:rFonts w:asciiTheme="minorHAnsi" w:hAnsiTheme="minorHAnsi"/>
          <w:sz w:val="22"/>
          <w:szCs w:val="22"/>
        </w:rPr>
      </w:pPr>
      <w:r w:rsidRPr="00611E73">
        <w:rPr>
          <w:rFonts w:asciiTheme="minorHAnsi" w:hAnsiTheme="minorHAnsi"/>
          <w:sz w:val="22"/>
          <w:szCs w:val="22"/>
        </w:rPr>
        <w:t>CSTE. Health disparities assessment of states, 2015. Available at: *http://c.ymcdn.com/sites/www.cste.org/resource/resmgr/PDFs/PDFs2/Final_CSTE_Health_Disparitie.pdf</w:t>
      </w:r>
    </w:p>
    <w:p w14:paraId="0D3DE02F" w14:textId="2C6B75EB" w:rsidR="00C97BB0" w:rsidRPr="00E05468" w:rsidRDefault="00502B0F" w:rsidP="0090060E">
      <w:pPr>
        <w:pStyle w:val="Default"/>
        <w:numPr>
          <w:ilvl w:val="0"/>
          <w:numId w:val="2"/>
        </w:numPr>
        <w:spacing w:after="7"/>
        <w:rPr>
          <w:rFonts w:asciiTheme="minorHAnsi" w:hAnsiTheme="minorHAnsi"/>
          <w:sz w:val="22"/>
          <w:szCs w:val="22"/>
        </w:rPr>
      </w:pPr>
      <w:r w:rsidRPr="00E05468">
        <w:rPr>
          <w:rFonts w:asciiTheme="minorHAnsi" w:hAnsiTheme="minorHAnsi"/>
          <w:sz w:val="22"/>
          <w:szCs w:val="22"/>
        </w:rPr>
        <w:t xml:space="preserve">CSTE. Position statement 16-CC-01.  </w:t>
      </w:r>
      <w:r w:rsidR="00611E73" w:rsidRPr="00E05468">
        <w:rPr>
          <w:rFonts w:asciiTheme="minorHAnsi" w:hAnsiTheme="minorHAnsi"/>
          <w:sz w:val="22"/>
          <w:szCs w:val="22"/>
        </w:rPr>
        <w:t>Use of area-based socioeconomic status to generate national data on health outcomes with proposed Healthy People 2030 objectives for which individual socioeconomic status data are not routinely collected.</w:t>
      </w:r>
      <w:r w:rsidRPr="00E05468">
        <w:rPr>
          <w:rFonts w:asciiTheme="minorHAnsi" w:hAnsiTheme="minorHAnsi"/>
          <w:sz w:val="22"/>
          <w:szCs w:val="22"/>
        </w:rPr>
        <w:t xml:space="preserve"> Available at: </w:t>
      </w:r>
      <w:bookmarkStart w:id="0" w:name="_GoBack"/>
      <w:r w:rsidRPr="00E05468">
        <w:rPr>
          <w:rFonts w:asciiTheme="minorHAnsi" w:hAnsiTheme="minorHAnsi"/>
          <w:sz w:val="22"/>
          <w:szCs w:val="22"/>
        </w:rPr>
        <w:t>http://c.ymcdn.com/sites/www.cste.org/resource/resmgr/2016PS/16_CC_01.pdf</w:t>
      </w:r>
      <w:bookmarkEnd w:id="0"/>
    </w:p>
    <w:sectPr w:rsidR="00C97BB0" w:rsidRPr="00E0546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929FA1" w14:textId="77777777" w:rsidR="00D006F6" w:rsidRDefault="00D006F6" w:rsidP="00707C6E">
      <w:pPr>
        <w:spacing w:after="0" w:line="240" w:lineRule="auto"/>
      </w:pPr>
      <w:r>
        <w:separator/>
      </w:r>
    </w:p>
  </w:endnote>
  <w:endnote w:type="continuationSeparator" w:id="0">
    <w:p w14:paraId="62D0831B" w14:textId="77777777" w:rsidR="00D006F6" w:rsidRDefault="00D006F6" w:rsidP="00707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6CFE2E" w14:textId="77777777" w:rsidR="00D006F6" w:rsidRDefault="00D006F6" w:rsidP="00707C6E">
      <w:pPr>
        <w:spacing w:after="0" w:line="240" w:lineRule="auto"/>
      </w:pPr>
      <w:r>
        <w:separator/>
      </w:r>
    </w:p>
  </w:footnote>
  <w:footnote w:type="continuationSeparator" w:id="0">
    <w:p w14:paraId="48E62388" w14:textId="77777777" w:rsidR="00D006F6" w:rsidRDefault="00D006F6" w:rsidP="00707C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9800973"/>
      <w:docPartObj>
        <w:docPartGallery w:val="Page Numbers (Top of Page)"/>
        <w:docPartUnique/>
      </w:docPartObj>
    </w:sdtPr>
    <w:sdtEndPr>
      <w:rPr>
        <w:noProof/>
      </w:rPr>
    </w:sdtEndPr>
    <w:sdtContent>
      <w:p w14:paraId="1300BBBB" w14:textId="3DF78590" w:rsidR="00707C6E" w:rsidRDefault="00707C6E">
        <w:pPr>
          <w:pStyle w:val="Header"/>
          <w:jc w:val="right"/>
        </w:pPr>
        <w:r>
          <w:fldChar w:fldCharType="begin"/>
        </w:r>
        <w:r>
          <w:instrText xml:space="preserve"> PAGE   \* MERGEFORMAT </w:instrText>
        </w:r>
        <w:r>
          <w:fldChar w:fldCharType="separate"/>
        </w:r>
        <w:r w:rsidR="00182180">
          <w:rPr>
            <w:noProof/>
          </w:rPr>
          <w:t>2</w:t>
        </w:r>
        <w:r>
          <w:rPr>
            <w:noProof/>
          </w:rPr>
          <w:fldChar w:fldCharType="end"/>
        </w:r>
      </w:p>
    </w:sdtContent>
  </w:sdt>
  <w:p w14:paraId="3140B863" w14:textId="77777777" w:rsidR="00707C6E" w:rsidRDefault="00707C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473DF"/>
    <w:multiLevelType w:val="hybridMultilevel"/>
    <w:tmpl w:val="107CD2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7A1ACA"/>
    <w:multiLevelType w:val="hybridMultilevel"/>
    <w:tmpl w:val="107CD2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C9665E"/>
    <w:multiLevelType w:val="hybridMultilevel"/>
    <w:tmpl w:val="96E2030A"/>
    <w:lvl w:ilvl="0" w:tplc="C0701EE4">
      <w:numFmt w:val="bullet"/>
      <w:lvlText w:val="-"/>
      <w:lvlJc w:val="left"/>
      <w:pPr>
        <w:ind w:left="408" w:hanging="360"/>
      </w:pPr>
      <w:rPr>
        <w:rFonts w:ascii="Calibri" w:eastAsiaTheme="minorHAnsi" w:hAnsi="Calibri" w:cstheme="minorBidi"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5DB"/>
    <w:rsid w:val="00050D59"/>
    <w:rsid w:val="000619F0"/>
    <w:rsid w:val="00066613"/>
    <w:rsid w:val="00076741"/>
    <w:rsid w:val="000E6FD4"/>
    <w:rsid w:val="001325DB"/>
    <w:rsid w:val="00154F2B"/>
    <w:rsid w:val="00182180"/>
    <w:rsid w:val="001D462D"/>
    <w:rsid w:val="00214F02"/>
    <w:rsid w:val="002B46D7"/>
    <w:rsid w:val="003112F6"/>
    <w:rsid w:val="00502B0F"/>
    <w:rsid w:val="00611E73"/>
    <w:rsid w:val="0065329E"/>
    <w:rsid w:val="00707C6E"/>
    <w:rsid w:val="00735D0C"/>
    <w:rsid w:val="007510A0"/>
    <w:rsid w:val="0083521D"/>
    <w:rsid w:val="00874A56"/>
    <w:rsid w:val="008C1EB3"/>
    <w:rsid w:val="0090060E"/>
    <w:rsid w:val="00980BE5"/>
    <w:rsid w:val="00A74B45"/>
    <w:rsid w:val="00AD180F"/>
    <w:rsid w:val="00C97BB0"/>
    <w:rsid w:val="00CC6BD8"/>
    <w:rsid w:val="00D006F6"/>
    <w:rsid w:val="00D27A96"/>
    <w:rsid w:val="00E05468"/>
    <w:rsid w:val="00EC4282"/>
    <w:rsid w:val="00F331BD"/>
    <w:rsid w:val="00F66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47A6C"/>
  <w15:chartTrackingRefBased/>
  <w15:docId w15:val="{72F65FF4-65C0-4C1B-8CDD-F2E7A7403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6A1C"/>
    <w:pPr>
      <w:ind w:left="720"/>
      <w:contextualSpacing/>
    </w:pPr>
  </w:style>
  <w:style w:type="character" w:styleId="CommentReference">
    <w:name w:val="annotation reference"/>
    <w:basedOn w:val="DefaultParagraphFont"/>
    <w:uiPriority w:val="99"/>
    <w:semiHidden/>
    <w:unhideWhenUsed/>
    <w:rsid w:val="00154F2B"/>
    <w:rPr>
      <w:sz w:val="16"/>
      <w:szCs w:val="16"/>
    </w:rPr>
  </w:style>
  <w:style w:type="paragraph" w:styleId="CommentText">
    <w:name w:val="annotation text"/>
    <w:basedOn w:val="Normal"/>
    <w:link w:val="CommentTextChar"/>
    <w:uiPriority w:val="99"/>
    <w:semiHidden/>
    <w:unhideWhenUsed/>
    <w:rsid w:val="00154F2B"/>
    <w:pPr>
      <w:spacing w:line="240" w:lineRule="auto"/>
    </w:pPr>
    <w:rPr>
      <w:sz w:val="20"/>
      <w:szCs w:val="20"/>
    </w:rPr>
  </w:style>
  <w:style w:type="character" w:customStyle="1" w:styleId="CommentTextChar">
    <w:name w:val="Comment Text Char"/>
    <w:basedOn w:val="DefaultParagraphFont"/>
    <w:link w:val="CommentText"/>
    <w:uiPriority w:val="99"/>
    <w:semiHidden/>
    <w:rsid w:val="00154F2B"/>
    <w:rPr>
      <w:sz w:val="20"/>
      <w:szCs w:val="20"/>
    </w:rPr>
  </w:style>
  <w:style w:type="paragraph" w:styleId="CommentSubject">
    <w:name w:val="annotation subject"/>
    <w:basedOn w:val="CommentText"/>
    <w:next w:val="CommentText"/>
    <w:link w:val="CommentSubjectChar"/>
    <w:uiPriority w:val="99"/>
    <w:semiHidden/>
    <w:unhideWhenUsed/>
    <w:rsid w:val="00154F2B"/>
    <w:rPr>
      <w:b/>
      <w:bCs/>
    </w:rPr>
  </w:style>
  <w:style w:type="character" w:customStyle="1" w:styleId="CommentSubjectChar">
    <w:name w:val="Comment Subject Char"/>
    <w:basedOn w:val="CommentTextChar"/>
    <w:link w:val="CommentSubject"/>
    <w:uiPriority w:val="99"/>
    <w:semiHidden/>
    <w:rsid w:val="00154F2B"/>
    <w:rPr>
      <w:b/>
      <w:bCs/>
      <w:sz w:val="20"/>
      <w:szCs w:val="20"/>
    </w:rPr>
  </w:style>
  <w:style w:type="paragraph" w:styleId="BalloonText">
    <w:name w:val="Balloon Text"/>
    <w:basedOn w:val="Normal"/>
    <w:link w:val="BalloonTextChar"/>
    <w:uiPriority w:val="99"/>
    <w:semiHidden/>
    <w:unhideWhenUsed/>
    <w:rsid w:val="00154F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4F2B"/>
    <w:rPr>
      <w:rFonts w:ascii="Segoe UI" w:hAnsi="Segoe UI" w:cs="Segoe UI"/>
      <w:sz w:val="18"/>
      <w:szCs w:val="18"/>
    </w:rPr>
  </w:style>
  <w:style w:type="paragraph" w:customStyle="1" w:styleId="Default">
    <w:name w:val="Default"/>
    <w:rsid w:val="00AD180F"/>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502B0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07C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7C6E"/>
  </w:style>
  <w:style w:type="paragraph" w:styleId="Footer">
    <w:name w:val="footer"/>
    <w:basedOn w:val="Normal"/>
    <w:link w:val="FooterChar"/>
    <w:uiPriority w:val="99"/>
    <w:unhideWhenUsed/>
    <w:rsid w:val="00707C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7C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351032">
      <w:bodyDiv w:val="1"/>
      <w:marLeft w:val="0"/>
      <w:marRight w:val="0"/>
      <w:marTop w:val="0"/>
      <w:marBottom w:val="0"/>
      <w:divBdr>
        <w:top w:val="none" w:sz="0" w:space="0" w:color="auto"/>
        <w:left w:val="none" w:sz="0" w:space="0" w:color="auto"/>
        <w:bottom w:val="none" w:sz="0" w:space="0" w:color="auto"/>
        <w:right w:val="none" w:sz="0" w:space="0" w:color="auto"/>
      </w:divBdr>
    </w:div>
    <w:div w:id="1548176322">
      <w:bodyDiv w:val="1"/>
      <w:marLeft w:val="0"/>
      <w:marRight w:val="0"/>
      <w:marTop w:val="0"/>
      <w:marBottom w:val="0"/>
      <w:divBdr>
        <w:top w:val="none" w:sz="0" w:space="0" w:color="auto"/>
        <w:left w:val="none" w:sz="0" w:space="0" w:color="auto"/>
        <w:bottom w:val="none" w:sz="0" w:space="0" w:color="auto"/>
        <w:right w:val="none" w:sz="0" w:space="0" w:color="auto"/>
      </w:divBdr>
    </w:div>
    <w:div w:id="1979144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860</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Yale University</Company>
  <LinksUpToDate>false</LinksUpToDate>
  <CharactersWithSpaces>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J</dc:creator>
  <cp:keywords/>
  <dc:description/>
  <cp:lastModifiedBy>Hayleigh McCall</cp:lastModifiedBy>
  <cp:revision>2</cp:revision>
  <dcterms:created xsi:type="dcterms:W3CDTF">2018-08-27T16:21:00Z</dcterms:created>
  <dcterms:modified xsi:type="dcterms:W3CDTF">2018-08-27T16:21:00Z</dcterms:modified>
</cp:coreProperties>
</file>