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C9E" w:rsidRDefault="009927F6" w:rsidP="0053010E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4894028</wp:posOffset>
                </wp:positionH>
                <wp:positionV relativeFrom="paragraph">
                  <wp:posOffset>1403404</wp:posOffset>
                </wp:positionV>
                <wp:extent cx="0" cy="4659299"/>
                <wp:effectExtent l="0" t="0" r="19050" b="2730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659299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9097F3" id="Straight Connector 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5.35pt,110.5pt" to="385.35pt,47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" strokecolor="black [3200]" strokeweight="1pt">
                <v:stroke joinstyle="miter"/>
              </v:line>
            </w:pict>
          </mc:Fallback>
        </mc:AlternateContent>
      </w:r>
      <w:bookmarkStart w:id="0" w:name="_GoBack"/>
      <w:r w:rsidR="0053010E">
        <w:rPr>
          <w:noProof/>
        </w:rPr>
        <w:drawing>
          <wp:inline distT="0" distB="0" distL="0" distR="0">
            <wp:extent cx="9310370" cy="6973294"/>
            <wp:effectExtent l="0" t="0" r="508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  <w:bookmarkEnd w:id="0"/>
    </w:p>
    <w:sectPr w:rsidR="008C2C9E" w:rsidSect="0053010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10E"/>
    <w:rsid w:val="0053010E"/>
    <w:rsid w:val="008C2C9E"/>
    <w:rsid w:val="0099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042D70-D837-46F0-B5D7-2A7DCC77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2">
  <dgm:title val=""/>
  <dgm:desc val=""/>
  <dgm:catLst>
    <dgm:cat type="accent3" pri="112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ln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804D97C-86A4-4501-BEA2-2C6A9F453C8A}" type="doc">
      <dgm:prSet loTypeId="urn:microsoft.com/office/officeart/2009/3/layout/PlusandMinus" loCatId="relationship" qsTypeId="urn:microsoft.com/office/officeart/2005/8/quickstyle/simple1" qsCatId="simple" csTypeId="urn:microsoft.com/office/officeart/2005/8/colors/accent3_2" csCatId="accent3" phldr="1"/>
      <dgm:spPr/>
      <dgm:t>
        <a:bodyPr/>
        <a:lstStyle/>
        <a:p>
          <a:endParaRPr lang="en-US"/>
        </a:p>
      </dgm:t>
    </dgm:pt>
    <dgm:pt modelId="{7C28B79A-BB38-4507-A1C4-E6DC53C884D7}">
      <dgm:prSet phldrT="[Text]" custT="1"/>
      <dgm:spPr/>
      <dgm:t>
        <a:bodyPr/>
        <a:lstStyle/>
        <a:p>
          <a:r>
            <a:rPr lang="en-US" sz="1600"/>
            <a:t>•Near real-time reporting/timeliness of data (every 24 hours)</a:t>
          </a:r>
          <a:br>
            <a:rPr lang="en-US" sz="1600"/>
          </a:br>
          <a:r>
            <a:rPr lang="en-US" sz="1600"/>
            <a:t>•ILI data can be compared to other syndromes</a:t>
          </a:r>
          <a:br>
            <a:rPr lang="en-US" sz="1600"/>
          </a:br>
          <a:r>
            <a:rPr lang="en-US" sz="1600"/>
            <a:t>•ED and urgent care visit has implications on the severity of ILI symptoms</a:t>
          </a:r>
        </a:p>
        <a:p>
          <a:r>
            <a:rPr lang="en-US" sz="1600"/>
            <a:t>•</a:t>
          </a:r>
          <a:r>
            <a:rPr lang="en-US" sz="1600"/>
            <a:t>Evaluate situation at multiple levels (i.e., facility, county, state)</a:t>
          </a:r>
        </a:p>
        <a:p>
          <a:r>
            <a:rPr lang="en-US" sz="1600"/>
            <a:t>•</a:t>
          </a:r>
          <a:r>
            <a:rPr lang="en-US" sz="1600"/>
            <a:t>Ability to download data and conduct additional analysis </a:t>
          </a:r>
        </a:p>
        <a:p>
          <a:r>
            <a:rPr lang="en-US" sz="1600"/>
            <a:t>•</a:t>
          </a:r>
          <a:r>
            <a:rPr lang="en-US" sz="1600"/>
            <a:t>Trends seen with this system have matched well to other influenza surveillance systems (LEEDS, AHEDD)</a:t>
          </a:r>
        </a:p>
        <a:p>
          <a:r>
            <a:rPr lang="en-US" sz="1600"/>
            <a:t>•Vast number of facilities participating </a:t>
          </a:r>
          <a:endParaRPr lang="en-US" sz="1600"/>
        </a:p>
        <a:p>
          <a:endParaRPr lang="en-US" sz="1600"/>
        </a:p>
        <a:p>
          <a:endParaRPr lang="en-US" sz="1600"/>
        </a:p>
      </dgm:t>
    </dgm:pt>
    <dgm:pt modelId="{3EBAB056-EF6B-4410-B98C-41300CC8E088}" type="parTrans" cxnId="{DED7E532-2827-4C52-85B3-4EF4DF32DF43}">
      <dgm:prSet/>
      <dgm:spPr/>
      <dgm:t>
        <a:bodyPr/>
        <a:lstStyle/>
        <a:p>
          <a:endParaRPr lang="en-US"/>
        </a:p>
      </dgm:t>
    </dgm:pt>
    <dgm:pt modelId="{56D2DADA-ABA2-4E7A-956D-0222E48D29E3}" type="sibTrans" cxnId="{DED7E532-2827-4C52-85B3-4EF4DF32DF43}">
      <dgm:prSet/>
      <dgm:spPr/>
      <dgm:t>
        <a:bodyPr/>
        <a:lstStyle/>
        <a:p>
          <a:endParaRPr lang="en-US"/>
        </a:p>
      </dgm:t>
    </dgm:pt>
    <dgm:pt modelId="{E4F3FB28-44F9-4D72-8316-73A33AD692B6}">
      <dgm:prSet phldrT="[Text]" custT="1"/>
      <dgm:spPr/>
      <dgm:t>
        <a:bodyPr/>
        <a:lstStyle/>
        <a:p>
          <a:r>
            <a:rPr lang="en-US" sz="1600"/>
            <a:t>•Data quality isnt as high as some other sources</a:t>
          </a:r>
        </a:p>
        <a:p>
          <a:r>
            <a:rPr lang="en-US" sz="1600"/>
            <a:t>•way data is collected site to site can vary</a:t>
          </a:r>
        </a:p>
        <a:p>
          <a:r>
            <a:rPr lang="en-US" sz="1600"/>
            <a:t>•occasional data transmission issues/lapses when using other surveillance systems </a:t>
          </a:r>
        </a:p>
        <a:p>
          <a:r>
            <a:rPr lang="en-US" sz="1600"/>
            <a:t>•facilities can send different types of data (free text v. drop down)</a:t>
          </a:r>
        </a:p>
        <a:p>
          <a:r>
            <a:rPr lang="en-US" sz="1600"/>
            <a:t>•vendor changes can affect the HL7 message that is being sent/ the data that is being recieved</a:t>
          </a:r>
        </a:p>
        <a:p>
          <a:r>
            <a:rPr lang="en-US" sz="1600"/>
            <a:t>•</a:t>
          </a:r>
          <a:r>
            <a:rPr lang="en-US" sz="1600"/>
            <a:t>ILI percentages may not be reprsenative of the full population </a:t>
          </a:r>
        </a:p>
        <a:p>
          <a:r>
            <a:rPr lang="en-US" sz="1600"/>
            <a:t>•</a:t>
          </a:r>
          <a:r>
            <a:rPr lang="en-US" sz="1600"/>
            <a:t>Categorization of records is based on chief complaint, not diagnosis. </a:t>
          </a:r>
        </a:p>
        <a:p>
          <a:r>
            <a:rPr lang="en-US" sz="1600"/>
            <a:t>•</a:t>
          </a:r>
          <a:r>
            <a:rPr lang="en-US" sz="1600"/>
            <a:t>Syndromic data does not capture patients seen in facilities other than ED or urgent care (PCP office)</a:t>
          </a:r>
          <a:endParaRPr lang="en-US" sz="1600"/>
        </a:p>
        <a:p>
          <a:endParaRPr lang="en-US" sz="1600"/>
        </a:p>
        <a:p>
          <a:endParaRPr lang="en-US" sz="1600"/>
        </a:p>
        <a:p>
          <a:endParaRPr lang="en-US" sz="1600"/>
        </a:p>
        <a:p>
          <a:r>
            <a:rPr lang="en-US" sz="1600"/>
            <a:t> </a:t>
          </a:r>
        </a:p>
        <a:p>
          <a:endParaRPr lang="en-US" sz="1600"/>
        </a:p>
      </dgm:t>
    </dgm:pt>
    <dgm:pt modelId="{F752E0BE-17EB-4CF5-A9BF-9E1E7578708E}" type="parTrans" cxnId="{D1F2EC06-964B-4574-9019-4288A107A0B3}">
      <dgm:prSet/>
      <dgm:spPr/>
      <dgm:t>
        <a:bodyPr/>
        <a:lstStyle/>
        <a:p>
          <a:endParaRPr lang="en-US"/>
        </a:p>
      </dgm:t>
    </dgm:pt>
    <dgm:pt modelId="{2585F0DA-D99B-4881-B1D8-AD121E759710}" type="sibTrans" cxnId="{D1F2EC06-964B-4574-9019-4288A107A0B3}">
      <dgm:prSet/>
      <dgm:spPr/>
      <dgm:t>
        <a:bodyPr/>
        <a:lstStyle/>
        <a:p>
          <a:endParaRPr lang="en-US"/>
        </a:p>
      </dgm:t>
    </dgm:pt>
    <dgm:pt modelId="{8F3EFD88-ACE6-46C4-9538-DC2A9F6572EC}" type="pres">
      <dgm:prSet presAssocID="{4804D97C-86A4-4501-BEA2-2C6A9F453C8A}" presName="Name0" presStyleCnt="0">
        <dgm:presLayoutVars>
          <dgm:chMax val="2"/>
          <dgm:chPref val="2"/>
          <dgm:dir/>
          <dgm:animOne/>
          <dgm:resizeHandles val="exact"/>
        </dgm:presLayoutVars>
      </dgm:prSet>
      <dgm:spPr/>
    </dgm:pt>
    <dgm:pt modelId="{FFDAB9F6-45F0-48E5-B5B2-8C829E06A306}" type="pres">
      <dgm:prSet presAssocID="{4804D97C-86A4-4501-BEA2-2C6A9F453C8A}" presName="Background" presStyleLbl="bgImgPlace1" presStyleIdx="0" presStyleCnt="1" custScaleY="129493" custLinFactNeighborX="-98" custLinFactNeighborY="-2659"/>
      <dgm:spPr/>
    </dgm:pt>
    <dgm:pt modelId="{00775CBD-3ED9-4034-BF2F-6662755B11BF}" type="pres">
      <dgm:prSet presAssocID="{4804D97C-86A4-4501-BEA2-2C6A9F453C8A}" presName="ParentText1" presStyleLbl="revTx" presStyleIdx="0" presStyleCnt="2" custScaleY="131836" custLinFactNeighborX="0" custLinFactNeighborY="1332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ACF634F-A77A-4B3C-9BC8-0F1913BB15DB}" type="pres">
      <dgm:prSet presAssocID="{4804D97C-86A4-4501-BEA2-2C6A9F453C8A}" presName="ParentText2" presStyleLbl="revTx" presStyleIdx="1" presStyleCnt="2" custScaleY="117626" custLinFactNeighborX="-423" custLinFactNeighborY="-621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4943518-6321-46E7-9B17-141CEDD1EA16}" type="pres">
      <dgm:prSet presAssocID="{4804D97C-86A4-4501-BEA2-2C6A9F453C8A}" presName="Plus" presStyleLbl="alignNode1" presStyleIdx="0" presStyleCnt="2" custLinFactNeighborY="-31147"/>
      <dgm:spPr/>
    </dgm:pt>
    <dgm:pt modelId="{EC06B8AA-261C-4DB2-81E0-B786C92DE9D5}" type="pres">
      <dgm:prSet presAssocID="{4804D97C-86A4-4501-BEA2-2C6A9F453C8A}" presName="Minus" presStyleLbl="alignNode1" presStyleIdx="1" presStyleCnt="2" custLinFactY="-16818" custLinFactNeighborX="-2135" custLinFactNeighborY="-100000"/>
      <dgm:spPr/>
    </dgm:pt>
    <dgm:pt modelId="{97F94F3E-E92A-49C9-931A-A29F6741091E}" type="pres">
      <dgm:prSet presAssocID="{4804D97C-86A4-4501-BEA2-2C6A9F453C8A}" presName="Divider" presStyleLbl="parChTrans1D1" presStyleIdx="0" presStyleCnt="1"/>
      <dgm:spPr/>
    </dgm:pt>
  </dgm:ptLst>
  <dgm:cxnLst>
    <dgm:cxn modelId="{E9522413-1001-483C-9BB3-8CFE13880B68}" type="presOf" srcId="{E4F3FB28-44F9-4D72-8316-73A33AD692B6}" destId="{6ACF634F-A77A-4B3C-9BC8-0F1913BB15DB}" srcOrd="0" destOrd="0" presId="urn:microsoft.com/office/officeart/2009/3/layout/PlusandMinus"/>
    <dgm:cxn modelId="{DED7E532-2827-4C52-85B3-4EF4DF32DF43}" srcId="{4804D97C-86A4-4501-BEA2-2C6A9F453C8A}" destId="{7C28B79A-BB38-4507-A1C4-E6DC53C884D7}" srcOrd="0" destOrd="0" parTransId="{3EBAB056-EF6B-4410-B98C-41300CC8E088}" sibTransId="{56D2DADA-ABA2-4E7A-956D-0222E48D29E3}"/>
    <dgm:cxn modelId="{946DDB3D-8E8A-409A-AE03-90713D4323F3}" type="presOf" srcId="{4804D97C-86A4-4501-BEA2-2C6A9F453C8A}" destId="{8F3EFD88-ACE6-46C4-9538-DC2A9F6572EC}" srcOrd="0" destOrd="0" presId="urn:microsoft.com/office/officeart/2009/3/layout/PlusandMinus"/>
    <dgm:cxn modelId="{2F9B68CA-57B9-4279-A87C-BCDF450AD853}" type="presOf" srcId="{7C28B79A-BB38-4507-A1C4-E6DC53C884D7}" destId="{00775CBD-3ED9-4034-BF2F-6662755B11BF}" srcOrd="0" destOrd="0" presId="urn:microsoft.com/office/officeart/2009/3/layout/PlusandMinus"/>
    <dgm:cxn modelId="{D1F2EC06-964B-4574-9019-4288A107A0B3}" srcId="{4804D97C-86A4-4501-BEA2-2C6A9F453C8A}" destId="{E4F3FB28-44F9-4D72-8316-73A33AD692B6}" srcOrd="1" destOrd="0" parTransId="{F752E0BE-17EB-4CF5-A9BF-9E1E7578708E}" sibTransId="{2585F0DA-D99B-4881-B1D8-AD121E759710}"/>
    <dgm:cxn modelId="{4E9EC058-1C69-485B-AB4C-C769093C0E09}" type="presParOf" srcId="{8F3EFD88-ACE6-46C4-9538-DC2A9F6572EC}" destId="{FFDAB9F6-45F0-48E5-B5B2-8C829E06A306}" srcOrd="0" destOrd="0" presId="urn:microsoft.com/office/officeart/2009/3/layout/PlusandMinus"/>
    <dgm:cxn modelId="{5F2C8AFD-4C43-4A6E-ABD4-3CA6C841574F}" type="presParOf" srcId="{8F3EFD88-ACE6-46C4-9538-DC2A9F6572EC}" destId="{00775CBD-3ED9-4034-BF2F-6662755B11BF}" srcOrd="1" destOrd="0" presId="urn:microsoft.com/office/officeart/2009/3/layout/PlusandMinus"/>
    <dgm:cxn modelId="{38514A8F-92C7-4DD6-8A58-D2837521BEAB}" type="presParOf" srcId="{8F3EFD88-ACE6-46C4-9538-DC2A9F6572EC}" destId="{6ACF634F-A77A-4B3C-9BC8-0F1913BB15DB}" srcOrd="2" destOrd="0" presId="urn:microsoft.com/office/officeart/2009/3/layout/PlusandMinus"/>
    <dgm:cxn modelId="{CE9270B8-8D8F-4A01-BD68-361B607CF9EF}" type="presParOf" srcId="{8F3EFD88-ACE6-46C4-9538-DC2A9F6572EC}" destId="{C4943518-6321-46E7-9B17-141CEDD1EA16}" srcOrd="3" destOrd="0" presId="urn:microsoft.com/office/officeart/2009/3/layout/PlusandMinus"/>
    <dgm:cxn modelId="{19889BFF-01D0-48FC-BF53-020B3D6FD3C5}" type="presParOf" srcId="{8F3EFD88-ACE6-46C4-9538-DC2A9F6572EC}" destId="{EC06B8AA-261C-4DB2-81E0-B786C92DE9D5}" srcOrd="4" destOrd="0" presId="urn:microsoft.com/office/officeart/2009/3/layout/PlusandMinus"/>
    <dgm:cxn modelId="{2934C259-C94D-49A4-9BFF-2771FD21A229}" type="presParOf" srcId="{8F3EFD88-ACE6-46C4-9538-DC2A9F6572EC}" destId="{97F94F3E-E92A-49C9-931A-A29F6741091E}" srcOrd="5" destOrd="0" presId="urn:microsoft.com/office/officeart/2009/3/layout/PlusandMinus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FDAB9F6-45F0-48E5-B5B2-8C829E06A306}">
      <dsp:nvSpPr>
        <dsp:cNvPr id="0" name=""/>
        <dsp:cNvSpPr/>
      </dsp:nvSpPr>
      <dsp:spPr>
        <a:xfrm>
          <a:off x="829995" y="775236"/>
          <a:ext cx="8100021" cy="5420631"/>
        </a:xfrm>
        <a:prstGeom prst="rect">
          <a:avLst/>
        </a:prstGeom>
        <a:solidFill>
          <a:schemeClr val="accent3">
            <a:tint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0775CBD-3ED9-4034-BF2F-6662755B11BF}">
      <dsp:nvSpPr>
        <dsp:cNvPr id="0" name=""/>
        <dsp:cNvSpPr/>
      </dsp:nvSpPr>
      <dsp:spPr>
        <a:xfrm>
          <a:off x="1080002" y="1471060"/>
          <a:ext cx="3761389" cy="472118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/>
            <a:t>•Near real-time reporting/timeliness of data (every 24 hours)</a:t>
          </a:r>
          <a:br>
            <a:rPr lang="en-US" sz="1600" kern="1200"/>
          </a:br>
          <a:r>
            <a:rPr lang="en-US" sz="1600" kern="1200"/>
            <a:t>•ILI data can be compared to other syndromes</a:t>
          </a:r>
          <a:br>
            <a:rPr lang="en-US" sz="1600" kern="1200"/>
          </a:br>
          <a:r>
            <a:rPr lang="en-US" sz="1600" kern="1200"/>
            <a:t>•ED and urgent care visit has implications on the severity of ILI symptoms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/>
            <a:t>•</a:t>
          </a:r>
          <a:r>
            <a:rPr lang="en-US" sz="1600" kern="1200"/>
            <a:t>Evaluate situation at multiple levels (i.e., facility, county, state)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/>
            <a:t>•</a:t>
          </a:r>
          <a:r>
            <a:rPr lang="en-US" sz="1600" kern="1200"/>
            <a:t>Ability to download data and conduct additional analysis 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/>
            <a:t>•</a:t>
          </a:r>
          <a:r>
            <a:rPr lang="en-US" sz="1600" kern="1200"/>
            <a:t>Trends seen with this system have matched well to other influenza surveillance systems (LEEDS, AHEDD)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/>
            <a:t>•Vast number of facilities participating </a:t>
          </a:r>
          <a:endParaRPr lang="en-US" sz="1600" kern="1200"/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600" kern="1200"/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600" kern="1200"/>
        </a:p>
      </dsp:txBody>
      <dsp:txXfrm>
        <a:off x="1080002" y="1471060"/>
        <a:ext cx="3761389" cy="4721189"/>
      </dsp:txXfrm>
    </dsp:sp>
    <dsp:sp modelId="{6ACF634F-A77A-4B3C-9BC8-0F1913BB15DB}">
      <dsp:nvSpPr>
        <dsp:cNvPr id="0" name=""/>
        <dsp:cNvSpPr/>
      </dsp:nvSpPr>
      <dsp:spPr>
        <a:xfrm>
          <a:off x="4909275" y="1455160"/>
          <a:ext cx="3761389" cy="421231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/>
            <a:t>•Data quality isnt as high as some other sources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/>
            <a:t>•way data is collected site to site can vary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/>
            <a:t>•occasional data transmission issues/lapses when using other surveillance systems 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/>
            <a:t>•facilities can send different types of data (free text v. drop down)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/>
            <a:t>•vendor changes can affect the HL7 message that is being sent/ the data that is being recieved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/>
            <a:t>•</a:t>
          </a:r>
          <a:r>
            <a:rPr lang="en-US" sz="1600" kern="1200"/>
            <a:t>ILI percentages may not be reprsenative of the full population 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/>
            <a:t>•</a:t>
          </a:r>
          <a:r>
            <a:rPr lang="en-US" sz="1600" kern="1200"/>
            <a:t>Categorization of records is based on chief complaint, not diagnosis. 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/>
            <a:t>•</a:t>
          </a:r>
          <a:r>
            <a:rPr lang="en-US" sz="1600" kern="1200"/>
            <a:t>Syndromic data does not capture patients seen in facilities other than ED or urgent care (PCP office)</a:t>
          </a:r>
          <a:endParaRPr lang="en-US" sz="1600" kern="1200"/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600" kern="1200"/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600" kern="1200"/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600" kern="1200"/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/>
            <a:t> 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600" kern="1200"/>
        </a:p>
      </dsp:txBody>
      <dsp:txXfrm>
        <a:off x="4909275" y="1455160"/>
        <a:ext cx="3761389" cy="4212313"/>
      </dsp:txXfrm>
    </dsp:sp>
    <dsp:sp modelId="{C4943518-6321-46E7-9B17-141CEDD1EA16}">
      <dsp:nvSpPr>
        <dsp:cNvPr id="0" name=""/>
        <dsp:cNvSpPr/>
      </dsp:nvSpPr>
      <dsp:spPr>
        <a:xfrm>
          <a:off x="0" y="173136"/>
          <a:ext cx="1582762" cy="1582762"/>
        </a:xfrm>
        <a:prstGeom prst="plus">
          <a:avLst>
            <a:gd name="adj" fmla="val 3281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C06B8AA-261C-4DB2-81E0-B786C92DE9D5}">
      <dsp:nvSpPr>
        <dsp:cNvPr id="0" name=""/>
        <dsp:cNvSpPr/>
      </dsp:nvSpPr>
      <dsp:spPr>
        <a:xfrm>
          <a:off x="7788906" y="638971"/>
          <a:ext cx="1489659" cy="510492"/>
        </a:xfrm>
        <a:prstGeom prst="rec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7F94F3E-E92A-49C9-931A-A29F6741091E}">
      <dsp:nvSpPr>
        <dsp:cNvPr id="0" name=""/>
        <dsp:cNvSpPr/>
      </dsp:nvSpPr>
      <dsp:spPr>
        <a:xfrm>
          <a:off x="4887944" y="2001058"/>
          <a:ext cx="931" cy="3420302"/>
        </a:xfrm>
        <a:prstGeom prst="line">
          <a:avLst/>
        </a:pr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PlusandMinus">
  <dgm:title val=""/>
  <dgm:desc val=""/>
  <dgm:catLst>
    <dgm:cat type="relationship" pri="36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clrData>
  <dgm:layoutNode name="Name0">
    <dgm:varLst>
      <dgm:chMax val="2"/>
      <dgm:chPref val="2"/>
      <dgm:dir/>
      <dgm:animOne/>
      <dgm:resizeHandles val="exact"/>
    </dgm:varLst>
    <dgm:alg type="composite">
      <dgm:param type="ar" val="1.8238"/>
    </dgm:alg>
    <dgm:shape xmlns:r="http://schemas.openxmlformats.org/officeDocument/2006/relationships" r:blip="">
      <dgm:adjLst/>
    </dgm:shape>
    <dgm:choose name="Name1">
      <dgm:if name="Name2" func="var" arg="dir" op="equ" val="norm">
        <dgm:constrLst>
          <dgm:constr type="primFontSz" for="des" ptType="node" op="equ" val="65"/>
          <dgm:constr type="l" for="ch" forName="Background" refType="w" fact="0.09"/>
          <dgm:constr type="t" for="ch" forName="Background" refType="h" fact="0.1641"/>
          <dgm:constr type="w" for="ch" forName="Background" refType="w" fact="0.87"/>
          <dgm:constr type="h" for="ch" forName="Background" refType="h" fact="0.82"/>
          <dgm:constr type="l" for="ch" forName="ParentText1" refType="w" fact="0.116"/>
          <dgm:constr type="t" for="ch" forName="ParentText1" refType="h" fact="0.26"/>
          <dgm:constr type="w" for="ch" forName="ParentText1" refType="w" fact="0.404"/>
          <dgm:constr type="h" for="ch" forName="ParentText1" refType="h" fact="0.7015"/>
          <dgm:constr type="l" for="ch" forName="ParentText2" refType="w" fact="0.529"/>
          <dgm:constr type="t" for="ch" forName="ParentText2" refType="h" fact="0.26"/>
          <dgm:constr type="w" for="ch" forName="ParentText2" refType="w" fact="0.404"/>
          <dgm:constr type="h" for="ch" forName="ParentText2" refType="h" fact="0.7015"/>
          <dgm:constr type="l" for="ch" forName="Plus" refType="w" fact="0"/>
          <dgm:constr type="t" for="ch" forName="Plus" refType="h" fact="0"/>
          <dgm:constr type="w" for="ch" forName="Plus" refType="w" fact="0.17"/>
          <dgm:constr type="h" for="ch" forName="Plus" refType="w" refFor="ch" refForName="Plus"/>
          <dgm:constr type="l" for="ch" forName="Minus" refType="w" fact="0.84"/>
          <dgm:constr type="t" for="ch" forName="Minus" refType="h" fact="0.1115"/>
          <dgm:constr type="w" for="ch" forName="Minus" refType="w" fact="0.16"/>
          <dgm:constr type="h" for="ch" forName="Minus" refType="h" fact="0.1"/>
          <dgm:constr type="l" for="ch" forName="Divider" refType="w" fact="0.525"/>
          <dgm:constr type="t" for="ch" forName="Divider" refType="h" fact="0.2615"/>
          <dgm:constr type="w" for="ch" forName="Divider" refType="w" fact="0.0001"/>
          <dgm:constr type="h" for="ch" forName="Divider" refType="h" fact="0.67"/>
        </dgm:constrLst>
      </dgm:if>
      <dgm:else name="Name3">
        <dgm:constrLst>
          <dgm:constr type="primFontSz" for="des" ptType="node" op="equ" val="65"/>
          <dgm:constr type="r" for="ch" forName="Background" refType="w" fact="-0.09"/>
          <dgm:constr type="t" for="ch" forName="Background" refType="h" fact="0.1641"/>
          <dgm:constr type="w" for="ch" forName="Background" refType="w" fact="0.87"/>
          <dgm:constr type="h" for="ch" forName="Background" refType="h" fact="0.82"/>
          <dgm:constr type="r" for="ch" forName="ParentText1" refType="w" fact="-0.116"/>
          <dgm:constr type="t" for="ch" forName="ParentText1" refType="h" fact="0.26"/>
          <dgm:constr type="w" for="ch" forName="ParentText1" refType="w" fact="0.404"/>
          <dgm:constr type="h" for="ch" forName="ParentText1" refType="h" fact="0.7015"/>
          <dgm:constr type="r" for="ch" forName="ParentText2" refType="w" fact="-0.529"/>
          <dgm:constr type="t" for="ch" forName="ParentText2" refType="h" fact="0.26"/>
          <dgm:constr type="w" for="ch" forName="ParentText2" refType="w" fact="0.404"/>
          <dgm:constr type="h" for="ch" forName="ParentText2" refType="h" fact="0.7015"/>
          <dgm:constr type="r" for="ch" forName="Plus" refType="w" fact="0"/>
          <dgm:constr type="t" for="ch" forName="Plus" refType="h" fact="0"/>
          <dgm:constr type="w" for="ch" forName="Plus" refType="w" fact="0.17"/>
          <dgm:constr type="h" for="ch" forName="Plus" refType="w" refFor="ch" refForName="Plus"/>
          <dgm:constr type="r" for="ch" forName="Minus" refType="w" fact="-0.84"/>
          <dgm:constr type="t" for="ch" forName="Minus" refType="h" fact="0.1115"/>
          <dgm:constr type="w" for="ch" forName="Minus" refType="w" fact="0.16"/>
          <dgm:constr type="h" for="ch" forName="Minus" refType="h" fact="0.1"/>
          <dgm:constr type="r" for="ch" forName="Divider" refType="w" fact="-0.525"/>
          <dgm:constr type="t" for="ch" forName="Divider" refType="h" fact="0.2615"/>
          <dgm:constr type="w" for="ch" forName="Divider" refType="w" fact="0.0001"/>
          <dgm:constr type="h" for="ch" forName="Divider" refType="h" fact="0.67"/>
        </dgm:constrLst>
      </dgm:else>
    </dgm:choose>
    <dgm:layoutNode name="Background" styleLbl="bgImgPlace1">
      <dgm:alg type="sp"/>
      <dgm:shape xmlns:r="http://schemas.openxmlformats.org/officeDocument/2006/relationships" type="rect" r:blip="">
        <dgm:adjLst/>
      </dgm:shape>
      <dgm:presOf/>
    </dgm:layoutNode>
    <dgm:layoutNode name="ParentText1" styleLbl="revTx">
      <dgm:varLst>
        <dgm:chMax val="0"/>
        <dgm:chPref val="0"/>
        <dgm:bulletEnabled val="1"/>
      </dgm:varLst>
      <dgm:alg type="tx">
        <dgm:param type="parTxLTRAlign" val="l"/>
        <dgm:param type="txAnchorVert" val="t"/>
      </dgm:alg>
      <dgm:shape xmlns:r="http://schemas.openxmlformats.org/officeDocument/2006/relationships" type="rect" r:blip="">
        <dgm:adjLst/>
      </dgm:shape>
      <dgm:presOf axis="ch desOrSelf" ptType="node node" st="1 1" cnt="1 0"/>
      <dgm:constrLst>
        <dgm:constr type="lMarg" refType="primFontSz" fact="0.15"/>
        <dgm:constr type="rMarg" refType="primFontSz" fact="0.15"/>
        <dgm:constr type="tMarg" refType="primFontSz" fact="0.15"/>
        <dgm:constr type="bMarg" refType="primFontSz" fact="0.15"/>
      </dgm:constrLst>
      <dgm:ruleLst>
        <dgm:rule type="primFontSz" val="5" fact="NaN" max="NaN"/>
      </dgm:ruleLst>
    </dgm:layoutNode>
    <dgm:layoutNode name="ParentText2" styleLbl="revTx">
      <dgm:varLst>
        <dgm:chMax val="0"/>
        <dgm:chPref val="0"/>
        <dgm:bulletEnabled val="1"/>
      </dgm:varLst>
      <dgm:alg type="tx">
        <dgm:param type="parTxLTRAlign" val="l"/>
        <dgm:param type="txAnchorVert" val="t"/>
      </dgm:alg>
      <dgm:shape xmlns:r="http://schemas.openxmlformats.org/officeDocument/2006/relationships" type="rect" r:blip="">
        <dgm:adjLst/>
      </dgm:shape>
      <dgm:presOf axis="ch desOrSelf" ptType="node node" st="2 1" cnt="1 0"/>
      <dgm:constrLst>
        <dgm:constr type="lMarg" refType="primFontSz" fact="0.15"/>
        <dgm:constr type="rMarg" refType="primFontSz" fact="0.15"/>
        <dgm:constr type="tMarg" refType="primFontSz" fact="0.15"/>
        <dgm:constr type="bMarg" refType="primFontSz" fact="0.15"/>
      </dgm:constrLst>
      <dgm:ruleLst>
        <dgm:rule type="primFontSz" val="5" fact="NaN" max="NaN"/>
      </dgm:ruleLst>
    </dgm:layoutNode>
    <dgm:layoutNode name="Plus" styleLbl="alignNode1">
      <dgm:alg type="sp"/>
      <dgm:shape xmlns:r="http://schemas.openxmlformats.org/officeDocument/2006/relationships" type="plus" r:blip="">
        <dgm:adjLst>
          <dgm:adj idx="1" val="0.3281"/>
        </dgm:adjLst>
      </dgm:shape>
      <dgm:presOf/>
    </dgm:layoutNode>
    <dgm:layoutNode name="Minus" styleLbl="alignNode1">
      <dgm:alg type="sp"/>
      <dgm:shape xmlns:r="http://schemas.openxmlformats.org/officeDocument/2006/relationships" type="rect" r:blip="">
        <dgm:adjLst/>
      </dgm:shape>
      <dgm:presOf/>
    </dgm:layoutNode>
    <dgm:layoutNode name="Divider" styleLbl="parChTrans1D1">
      <dgm:alg type="sp"/>
      <dgm:shape xmlns:r="http://schemas.openxmlformats.org/officeDocument/2006/relationships" type="line" r:blip="">
        <dgm:adjLst/>
      </dgm:shape>
      <dgm:presOf/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Pena</dc:creator>
  <cp:keywords/>
  <dc:description/>
  <cp:lastModifiedBy>Sandra Pena</cp:lastModifiedBy>
  <cp:revision>1</cp:revision>
  <dcterms:created xsi:type="dcterms:W3CDTF">2017-04-26T18:57:00Z</dcterms:created>
  <dcterms:modified xsi:type="dcterms:W3CDTF">2017-04-26T19:28:00Z</dcterms:modified>
</cp:coreProperties>
</file>