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A9ACE0" w14:textId="404B56B3" w:rsidR="00A47E1F" w:rsidRPr="00A47E1F" w:rsidRDefault="00A47E1F" w:rsidP="00BB0B35">
      <w:pPr>
        <w:rPr>
          <w:b/>
          <w:bCs/>
        </w:rPr>
      </w:pPr>
      <w:r w:rsidRPr="00A47E1F">
        <w:rPr>
          <w:b/>
          <w:bCs/>
        </w:rPr>
        <w:t>General Comments</w:t>
      </w:r>
      <w:r w:rsidR="0033006E">
        <w:rPr>
          <w:b/>
          <w:bCs/>
        </w:rPr>
        <w:t xml:space="preserve"> to Resource Repository Updates – August 4, 2021</w:t>
      </w:r>
    </w:p>
    <w:p w14:paraId="19F4E878" w14:textId="357C0A56" w:rsidR="008F67D7" w:rsidRPr="00C977CB" w:rsidRDefault="00C4194C" w:rsidP="00C977CB">
      <w:pPr>
        <w:rPr>
          <w:rFonts w:eastAsia="Times New Roman"/>
        </w:rPr>
      </w:pPr>
      <w:r>
        <w:rPr>
          <w:rFonts w:eastAsia="Times New Roman"/>
        </w:rPr>
        <w:t>We would like the w</w:t>
      </w:r>
      <w:r w:rsidR="008F67D7" w:rsidRPr="00C977CB">
        <w:rPr>
          <w:rFonts w:eastAsia="Times New Roman"/>
        </w:rPr>
        <w:t xml:space="preserve">ebpage modified to look like the following homepage </w:t>
      </w:r>
      <w:hyperlink r:id="rId7" w:history="1">
        <w:r w:rsidR="008F67D7">
          <w:rPr>
            <w:rStyle w:val="Hyperlink"/>
          </w:rPr>
          <w:t>https://improvingliteracy.org/resource-repository</w:t>
        </w:r>
      </w:hyperlink>
      <w:r>
        <w:t>. Below are specific itemized changes to the current format</w:t>
      </w:r>
      <w:r w:rsidR="00C977CB">
        <w:t>:</w:t>
      </w:r>
    </w:p>
    <w:p w14:paraId="05F5C29A" w14:textId="6D0EFB2A" w:rsidR="008F67D7" w:rsidRPr="00C977CB" w:rsidRDefault="008F67D7" w:rsidP="00C977CB">
      <w:pPr>
        <w:pStyle w:val="ListParagraph"/>
        <w:numPr>
          <w:ilvl w:val="0"/>
          <w:numId w:val="1"/>
        </w:numPr>
        <w:rPr>
          <w:rFonts w:eastAsia="Times New Roman"/>
        </w:rPr>
      </w:pPr>
      <w:r w:rsidRPr="00C977CB">
        <w:rPr>
          <w:rFonts w:eastAsia="Times New Roman"/>
        </w:rPr>
        <w:t xml:space="preserve">Add large header at the top </w:t>
      </w:r>
    </w:p>
    <w:p w14:paraId="30202C75" w14:textId="4991C830" w:rsidR="008F67D7" w:rsidRDefault="008F67D7" w:rsidP="008F67D7">
      <w:pPr>
        <w:pStyle w:val="ListParagraph"/>
        <w:numPr>
          <w:ilvl w:val="0"/>
          <w:numId w:val="1"/>
        </w:numPr>
        <w:rPr>
          <w:rFonts w:eastAsia="Times New Roman"/>
        </w:rPr>
      </w:pPr>
      <w:r>
        <w:rPr>
          <w:rFonts w:eastAsia="Times New Roman"/>
        </w:rPr>
        <w:t>Consistent tonal color scheme</w:t>
      </w:r>
      <w:r w:rsidR="00A47E1F">
        <w:rPr>
          <w:rFonts w:eastAsia="Times New Roman"/>
        </w:rPr>
        <w:t xml:space="preserve"> throughout all pages</w:t>
      </w:r>
    </w:p>
    <w:p w14:paraId="5D564E28" w14:textId="77777777" w:rsidR="008F67D7" w:rsidRPr="008F67D7" w:rsidRDefault="008F67D7" w:rsidP="008F67D7">
      <w:pPr>
        <w:pStyle w:val="ListParagraph"/>
        <w:numPr>
          <w:ilvl w:val="0"/>
          <w:numId w:val="1"/>
        </w:numPr>
        <w:rPr>
          <w:rFonts w:eastAsia="Times New Roman"/>
        </w:rPr>
      </w:pPr>
      <w:r w:rsidRPr="008F67D7">
        <w:rPr>
          <w:rFonts w:eastAsia="Times New Roman"/>
        </w:rPr>
        <w:t>Each resource has a title, brief description, and icons to identify type of resource</w:t>
      </w:r>
    </w:p>
    <w:p w14:paraId="47A3404F" w14:textId="18387B60" w:rsidR="003676D8" w:rsidRDefault="008F67D7" w:rsidP="003676D8">
      <w:pPr>
        <w:pStyle w:val="ListParagraph"/>
        <w:numPr>
          <w:ilvl w:val="0"/>
          <w:numId w:val="1"/>
        </w:numPr>
        <w:rPr>
          <w:rFonts w:eastAsia="Times New Roman"/>
        </w:rPr>
      </w:pPr>
      <w:r w:rsidRPr="008F67D7">
        <w:rPr>
          <w:rFonts w:eastAsia="Times New Roman"/>
        </w:rPr>
        <w:t>Default search is by resource, not collection</w:t>
      </w:r>
      <w:r w:rsidR="00BB0B35">
        <w:rPr>
          <w:rFonts w:eastAsia="Times New Roman"/>
        </w:rPr>
        <w:t xml:space="preserve">. Option to view whole collection is </w:t>
      </w:r>
      <w:r w:rsidR="00C4194C">
        <w:rPr>
          <w:rFonts w:eastAsia="Times New Roman"/>
        </w:rPr>
        <w:t>available</w:t>
      </w:r>
      <w:r w:rsidR="00BB0B35">
        <w:rPr>
          <w:rFonts w:eastAsia="Times New Roman"/>
        </w:rPr>
        <w:t xml:space="preserve"> when viewing a specific resource</w:t>
      </w:r>
    </w:p>
    <w:p w14:paraId="13D61098" w14:textId="05776C81" w:rsidR="00C977CB" w:rsidRPr="003676D8" w:rsidRDefault="00C977CB" w:rsidP="003676D8">
      <w:pPr>
        <w:pStyle w:val="ListParagraph"/>
        <w:numPr>
          <w:ilvl w:val="0"/>
          <w:numId w:val="1"/>
        </w:numPr>
        <w:rPr>
          <w:rFonts w:eastAsia="Times New Roman"/>
        </w:rPr>
      </w:pPr>
      <w:r w:rsidRPr="003676D8">
        <w:rPr>
          <w:rFonts w:eastAsia="Times New Roman"/>
        </w:rPr>
        <w:t>Make filters collapsible</w:t>
      </w:r>
      <w:r w:rsidR="00925C85">
        <w:rPr>
          <w:rFonts w:eastAsia="Times New Roman"/>
        </w:rPr>
        <w:t>, with</w:t>
      </w:r>
      <w:r w:rsidRPr="003676D8">
        <w:rPr>
          <w:rFonts w:eastAsia="Times New Roman"/>
        </w:rPr>
        <w:t xml:space="preserve"> text in larger font for readability. </w:t>
      </w:r>
      <w:r w:rsidR="00176C9D" w:rsidRPr="003676D8">
        <w:rPr>
          <w:rFonts w:eastAsia="Calibri"/>
        </w:rPr>
        <w:t>Suggested</w:t>
      </w:r>
      <w:r w:rsidR="00925C85">
        <w:rPr>
          <w:rFonts w:eastAsia="Calibri"/>
        </w:rPr>
        <w:t xml:space="preserve"> organization for</w:t>
      </w:r>
      <w:r w:rsidR="00176C9D" w:rsidRPr="003676D8">
        <w:rPr>
          <w:rFonts w:eastAsia="Calibri"/>
        </w:rPr>
        <w:t xml:space="preserve"> filters:</w:t>
      </w:r>
    </w:p>
    <w:p w14:paraId="164753D7" w14:textId="77777777" w:rsidR="00C977CB" w:rsidRPr="00176C9D" w:rsidRDefault="00C977CB" w:rsidP="004F7C77">
      <w:pPr>
        <w:pStyle w:val="ListParagraph"/>
        <w:numPr>
          <w:ilvl w:val="2"/>
          <w:numId w:val="1"/>
        </w:numPr>
        <w:spacing w:line="256" w:lineRule="auto"/>
        <w:rPr>
          <w:b/>
          <w:bCs/>
        </w:rPr>
      </w:pPr>
      <w:r w:rsidRPr="00176C9D">
        <w:rPr>
          <w:rFonts w:eastAsia="Calibri"/>
          <w:b/>
          <w:bCs/>
        </w:rPr>
        <w:t>Categories</w:t>
      </w:r>
    </w:p>
    <w:p w14:paraId="4968108F" w14:textId="77777777" w:rsidR="00C977CB" w:rsidRDefault="00C977CB" w:rsidP="004F7C77">
      <w:pPr>
        <w:pStyle w:val="ListParagraph"/>
        <w:numPr>
          <w:ilvl w:val="3"/>
          <w:numId w:val="1"/>
        </w:numPr>
        <w:spacing w:line="256" w:lineRule="auto"/>
      </w:pPr>
      <w:r w:rsidRPr="66F05AE7">
        <w:rPr>
          <w:rFonts w:eastAsia="Calibri"/>
        </w:rPr>
        <w:t>Activities</w:t>
      </w:r>
    </w:p>
    <w:p w14:paraId="3850134B" w14:textId="77777777" w:rsidR="00C977CB" w:rsidRDefault="00C977CB" w:rsidP="00C977CB">
      <w:pPr>
        <w:pStyle w:val="ListParagraph"/>
        <w:numPr>
          <w:ilvl w:val="3"/>
          <w:numId w:val="1"/>
        </w:numPr>
        <w:spacing w:line="256" w:lineRule="auto"/>
      </w:pPr>
      <w:r w:rsidRPr="66F05AE7">
        <w:rPr>
          <w:rFonts w:eastAsia="Calibri"/>
        </w:rPr>
        <w:t>Courses</w:t>
      </w:r>
    </w:p>
    <w:p w14:paraId="7300F9D0" w14:textId="77777777" w:rsidR="00C977CB" w:rsidRDefault="00C977CB" w:rsidP="004F7C77">
      <w:pPr>
        <w:pStyle w:val="ListParagraph"/>
        <w:numPr>
          <w:ilvl w:val="4"/>
          <w:numId w:val="1"/>
        </w:numPr>
        <w:spacing w:line="256" w:lineRule="auto"/>
      </w:pPr>
      <w:r w:rsidRPr="66F05AE7">
        <w:rPr>
          <w:rFonts w:eastAsia="Calibri"/>
        </w:rPr>
        <w:t>In-person courses</w:t>
      </w:r>
    </w:p>
    <w:p w14:paraId="077C8B0A" w14:textId="77777777" w:rsidR="00C977CB" w:rsidRDefault="00C977CB" w:rsidP="00C977CB">
      <w:pPr>
        <w:pStyle w:val="ListParagraph"/>
        <w:numPr>
          <w:ilvl w:val="4"/>
          <w:numId w:val="1"/>
        </w:numPr>
        <w:spacing w:line="256" w:lineRule="auto"/>
      </w:pPr>
      <w:r w:rsidRPr="66F05AE7">
        <w:rPr>
          <w:rFonts w:eastAsia="Calibri"/>
        </w:rPr>
        <w:t>Web-based courses</w:t>
      </w:r>
    </w:p>
    <w:p w14:paraId="4FEEB674" w14:textId="0032A575" w:rsidR="00C977CB" w:rsidRDefault="00C977CB" w:rsidP="004F7C77">
      <w:pPr>
        <w:pStyle w:val="ListParagraph"/>
        <w:numPr>
          <w:ilvl w:val="3"/>
          <w:numId w:val="1"/>
        </w:numPr>
        <w:spacing w:line="256" w:lineRule="auto"/>
      </w:pPr>
      <w:r w:rsidRPr="66F05AE7">
        <w:rPr>
          <w:rFonts w:eastAsia="Calibri"/>
        </w:rPr>
        <w:t xml:space="preserve">Facilitator </w:t>
      </w:r>
      <w:r w:rsidR="00CA4462">
        <w:rPr>
          <w:rFonts w:eastAsia="Calibri"/>
        </w:rPr>
        <w:t>t</w:t>
      </w:r>
      <w:r w:rsidRPr="66F05AE7">
        <w:rPr>
          <w:rFonts w:eastAsia="Calibri"/>
        </w:rPr>
        <w:t>raining</w:t>
      </w:r>
    </w:p>
    <w:p w14:paraId="13DA6659" w14:textId="77777777" w:rsidR="00C977CB" w:rsidRDefault="00C977CB" w:rsidP="004F7C77">
      <w:pPr>
        <w:pStyle w:val="ListParagraph"/>
        <w:numPr>
          <w:ilvl w:val="4"/>
          <w:numId w:val="1"/>
        </w:numPr>
        <w:spacing w:line="256" w:lineRule="auto"/>
      </w:pPr>
      <w:r w:rsidRPr="66F05AE7">
        <w:rPr>
          <w:rFonts w:eastAsia="Calibri"/>
        </w:rPr>
        <w:t>Train the trainer</w:t>
      </w:r>
    </w:p>
    <w:p w14:paraId="3C950E84" w14:textId="77777777" w:rsidR="00C977CB" w:rsidRDefault="00C977CB" w:rsidP="00C977CB">
      <w:pPr>
        <w:pStyle w:val="ListParagraph"/>
        <w:numPr>
          <w:ilvl w:val="3"/>
          <w:numId w:val="1"/>
        </w:numPr>
        <w:spacing w:line="256" w:lineRule="auto"/>
        <w:rPr>
          <w:rFonts w:asciiTheme="minorHAnsi" w:eastAsiaTheme="minorEastAsia" w:hAnsiTheme="minorHAnsi" w:cstheme="minorBidi"/>
        </w:rPr>
      </w:pPr>
      <w:r w:rsidRPr="66F05AE7">
        <w:rPr>
          <w:rFonts w:eastAsia="Calibri"/>
        </w:rPr>
        <w:t>Presentations</w:t>
      </w:r>
    </w:p>
    <w:p w14:paraId="3D5AC1E8" w14:textId="08B0D6CA" w:rsidR="00C977CB" w:rsidRPr="00F110BA" w:rsidRDefault="00C977CB" w:rsidP="004F7C77">
      <w:pPr>
        <w:pStyle w:val="ListParagraph"/>
        <w:numPr>
          <w:ilvl w:val="3"/>
          <w:numId w:val="1"/>
        </w:numPr>
        <w:spacing w:line="256" w:lineRule="auto"/>
      </w:pPr>
      <w:r w:rsidRPr="66F05AE7">
        <w:rPr>
          <w:rFonts w:eastAsia="Calibri"/>
        </w:rPr>
        <w:t>Printable Resources</w:t>
      </w:r>
      <w:r w:rsidR="004F7C77">
        <w:rPr>
          <w:rFonts w:eastAsia="Calibri"/>
        </w:rPr>
        <w:t xml:space="preserve"> and</w:t>
      </w:r>
      <w:r w:rsidRPr="00F110BA">
        <w:rPr>
          <w:rFonts w:eastAsia="Calibri"/>
        </w:rPr>
        <w:t xml:space="preserve"> </w:t>
      </w:r>
      <w:r w:rsidR="00CA4462">
        <w:rPr>
          <w:rFonts w:eastAsia="Calibri"/>
        </w:rPr>
        <w:t>s</w:t>
      </w:r>
      <w:r>
        <w:rPr>
          <w:rFonts w:eastAsia="Calibri"/>
        </w:rPr>
        <w:t>on-digital</w:t>
      </w:r>
      <w:r w:rsidRPr="66F05AE7">
        <w:rPr>
          <w:rFonts w:eastAsia="Calibri"/>
        </w:rPr>
        <w:t xml:space="preserve"> </w:t>
      </w:r>
      <w:r w:rsidR="00CA4462">
        <w:rPr>
          <w:rFonts w:eastAsia="Calibri"/>
        </w:rPr>
        <w:t>m</w:t>
      </w:r>
      <w:r w:rsidRPr="66F05AE7">
        <w:rPr>
          <w:rFonts w:eastAsia="Calibri"/>
        </w:rPr>
        <w:t>edia</w:t>
      </w:r>
    </w:p>
    <w:p w14:paraId="5DCDC6F5" w14:textId="77777777" w:rsidR="00C977CB" w:rsidRDefault="00C977CB" w:rsidP="004F7C77">
      <w:pPr>
        <w:pStyle w:val="ListParagraph"/>
        <w:numPr>
          <w:ilvl w:val="4"/>
          <w:numId w:val="1"/>
        </w:numPr>
        <w:spacing w:line="256" w:lineRule="auto"/>
      </w:pPr>
      <w:r w:rsidRPr="66F05AE7">
        <w:rPr>
          <w:rFonts w:eastAsia="Calibri"/>
        </w:rPr>
        <w:t>Fact sheets</w:t>
      </w:r>
    </w:p>
    <w:p w14:paraId="3A569180" w14:textId="77777777" w:rsidR="00C977CB" w:rsidRDefault="00C977CB" w:rsidP="00C977CB">
      <w:pPr>
        <w:pStyle w:val="ListParagraph"/>
        <w:numPr>
          <w:ilvl w:val="4"/>
          <w:numId w:val="1"/>
        </w:numPr>
        <w:spacing w:line="256" w:lineRule="auto"/>
      </w:pPr>
      <w:r w:rsidRPr="66F05AE7">
        <w:rPr>
          <w:rFonts w:eastAsia="Calibri"/>
        </w:rPr>
        <w:t>Posters</w:t>
      </w:r>
    </w:p>
    <w:p w14:paraId="2618B5F1" w14:textId="77777777" w:rsidR="00C977CB" w:rsidRDefault="00C977CB" w:rsidP="004F7C77">
      <w:pPr>
        <w:pStyle w:val="ListParagraph"/>
        <w:numPr>
          <w:ilvl w:val="3"/>
          <w:numId w:val="1"/>
        </w:numPr>
        <w:spacing w:line="256" w:lineRule="auto"/>
        <w:rPr>
          <w:rFonts w:asciiTheme="minorHAnsi" w:eastAsiaTheme="minorEastAsia" w:hAnsiTheme="minorHAnsi" w:cstheme="minorBidi"/>
        </w:rPr>
      </w:pPr>
      <w:r w:rsidRPr="66F05AE7">
        <w:rPr>
          <w:rFonts w:eastAsia="Calibri"/>
        </w:rPr>
        <w:t>Publications</w:t>
      </w:r>
    </w:p>
    <w:p w14:paraId="1D089B3F" w14:textId="77777777" w:rsidR="00C977CB" w:rsidRDefault="00C977CB" w:rsidP="004F7C77">
      <w:pPr>
        <w:pStyle w:val="ListParagraph"/>
        <w:numPr>
          <w:ilvl w:val="4"/>
          <w:numId w:val="1"/>
        </w:numPr>
        <w:spacing w:line="256" w:lineRule="auto"/>
        <w:rPr>
          <w:rFonts w:eastAsiaTheme="minorEastAsia"/>
        </w:rPr>
      </w:pPr>
      <w:r w:rsidRPr="66F05AE7">
        <w:rPr>
          <w:rFonts w:eastAsia="Calibri"/>
        </w:rPr>
        <w:t>Abstracts</w:t>
      </w:r>
    </w:p>
    <w:p w14:paraId="6E38784E" w14:textId="77777777" w:rsidR="00C977CB" w:rsidRDefault="00C977CB" w:rsidP="004F7C77">
      <w:pPr>
        <w:pStyle w:val="ListParagraph"/>
        <w:numPr>
          <w:ilvl w:val="4"/>
          <w:numId w:val="1"/>
        </w:numPr>
        <w:spacing w:line="256" w:lineRule="auto"/>
        <w:rPr>
          <w:rFonts w:eastAsiaTheme="minorEastAsia"/>
        </w:rPr>
      </w:pPr>
      <w:r w:rsidRPr="66F05AE7">
        <w:rPr>
          <w:rFonts w:eastAsia="Calibri"/>
        </w:rPr>
        <w:t>Manuscripts</w:t>
      </w:r>
    </w:p>
    <w:p w14:paraId="076C3FED" w14:textId="681928F1" w:rsidR="00C977CB" w:rsidRDefault="00C977CB" w:rsidP="00C977CB">
      <w:pPr>
        <w:pStyle w:val="ListParagraph"/>
        <w:numPr>
          <w:ilvl w:val="3"/>
          <w:numId w:val="1"/>
        </w:numPr>
        <w:spacing w:line="256" w:lineRule="auto"/>
      </w:pPr>
      <w:r w:rsidRPr="66F05AE7">
        <w:rPr>
          <w:rFonts w:eastAsia="Calibri"/>
        </w:rPr>
        <w:t xml:space="preserve">Social </w:t>
      </w:r>
      <w:r w:rsidR="00CA4462">
        <w:rPr>
          <w:rFonts w:eastAsia="Calibri"/>
        </w:rPr>
        <w:t>m</w:t>
      </w:r>
      <w:r w:rsidRPr="66F05AE7">
        <w:rPr>
          <w:rFonts w:eastAsia="Calibri"/>
        </w:rPr>
        <w:t>edia</w:t>
      </w:r>
    </w:p>
    <w:p w14:paraId="62BBD1CC" w14:textId="5ED0FCDE" w:rsidR="00C977CB" w:rsidRDefault="00C977CB" w:rsidP="005447CA">
      <w:pPr>
        <w:pStyle w:val="ListParagraph"/>
        <w:numPr>
          <w:ilvl w:val="3"/>
          <w:numId w:val="1"/>
        </w:numPr>
        <w:spacing w:line="256" w:lineRule="auto"/>
      </w:pPr>
      <w:r w:rsidRPr="66F05AE7">
        <w:rPr>
          <w:rFonts w:eastAsia="Calibri"/>
        </w:rPr>
        <w:t>Videos</w:t>
      </w:r>
    </w:p>
    <w:p w14:paraId="5A6C6EFA" w14:textId="77777777" w:rsidR="00C977CB" w:rsidRPr="00176C9D" w:rsidRDefault="00C977CB" w:rsidP="004F7C77">
      <w:pPr>
        <w:pStyle w:val="ListParagraph"/>
        <w:numPr>
          <w:ilvl w:val="2"/>
          <w:numId w:val="1"/>
        </w:numPr>
        <w:spacing w:line="256" w:lineRule="auto"/>
        <w:rPr>
          <w:rFonts w:asciiTheme="minorHAnsi" w:eastAsiaTheme="minorEastAsia" w:hAnsiTheme="minorHAnsi" w:cstheme="minorBidi"/>
          <w:b/>
          <w:bCs/>
        </w:rPr>
      </w:pPr>
      <w:r w:rsidRPr="00176C9D">
        <w:rPr>
          <w:rFonts w:eastAsia="Calibri"/>
          <w:b/>
          <w:bCs/>
        </w:rPr>
        <w:t>Topics</w:t>
      </w:r>
    </w:p>
    <w:p w14:paraId="0CEA4DEE" w14:textId="77777777" w:rsidR="00C977CB" w:rsidRDefault="00C977CB" w:rsidP="004F7C77">
      <w:pPr>
        <w:pStyle w:val="ListParagraph"/>
        <w:numPr>
          <w:ilvl w:val="3"/>
          <w:numId w:val="1"/>
        </w:numPr>
        <w:spacing w:line="256" w:lineRule="auto"/>
      </w:pPr>
      <w:r w:rsidRPr="66F05AE7">
        <w:rPr>
          <w:rFonts w:eastAsia="Calibri"/>
        </w:rPr>
        <w:t>Agrotourism</w:t>
      </w:r>
    </w:p>
    <w:p w14:paraId="13BC6686" w14:textId="4E30DA6A" w:rsidR="00C977CB" w:rsidRDefault="00C977CB" w:rsidP="00C977CB">
      <w:pPr>
        <w:pStyle w:val="ListParagraph"/>
        <w:numPr>
          <w:ilvl w:val="3"/>
          <w:numId w:val="1"/>
        </w:numPr>
        <w:spacing w:line="256" w:lineRule="auto"/>
        <w:rPr>
          <w:rFonts w:asciiTheme="minorHAnsi" w:eastAsiaTheme="minorEastAsia" w:hAnsiTheme="minorHAnsi" w:cstheme="minorBidi"/>
        </w:rPr>
      </w:pPr>
      <w:r w:rsidRPr="66F05AE7">
        <w:rPr>
          <w:rFonts w:eastAsia="Calibri"/>
        </w:rPr>
        <w:t xml:space="preserve">Disease </w:t>
      </w:r>
      <w:r w:rsidR="004C500A">
        <w:rPr>
          <w:rFonts w:eastAsia="Calibri"/>
        </w:rPr>
        <w:t>t</w:t>
      </w:r>
      <w:r w:rsidRPr="66F05AE7">
        <w:rPr>
          <w:rFonts w:eastAsia="Calibri"/>
        </w:rPr>
        <w:t>ransmission</w:t>
      </w:r>
    </w:p>
    <w:p w14:paraId="3DB5EBF6" w14:textId="77777777" w:rsidR="00C977CB" w:rsidRDefault="00C977CB" w:rsidP="00C977CB">
      <w:pPr>
        <w:pStyle w:val="ListParagraph"/>
        <w:numPr>
          <w:ilvl w:val="3"/>
          <w:numId w:val="1"/>
        </w:numPr>
        <w:spacing w:line="256" w:lineRule="auto"/>
      </w:pPr>
      <w:r w:rsidRPr="66F05AE7">
        <w:rPr>
          <w:rFonts w:eastAsia="Calibri"/>
        </w:rPr>
        <w:t>Fairs</w:t>
      </w:r>
    </w:p>
    <w:p w14:paraId="072A0893" w14:textId="5757749E" w:rsidR="00C977CB" w:rsidRDefault="00C977CB" w:rsidP="00C977CB">
      <w:pPr>
        <w:pStyle w:val="ListParagraph"/>
        <w:numPr>
          <w:ilvl w:val="3"/>
          <w:numId w:val="1"/>
        </w:numPr>
        <w:spacing w:line="256" w:lineRule="auto"/>
      </w:pPr>
      <w:r w:rsidRPr="66F05AE7">
        <w:rPr>
          <w:rFonts w:eastAsia="Calibri"/>
        </w:rPr>
        <w:t xml:space="preserve">Food </w:t>
      </w:r>
      <w:r w:rsidR="004C500A">
        <w:rPr>
          <w:rFonts w:eastAsia="Calibri"/>
        </w:rPr>
        <w:t>s</w:t>
      </w:r>
      <w:r w:rsidRPr="66F05AE7">
        <w:rPr>
          <w:rFonts w:eastAsia="Calibri"/>
        </w:rPr>
        <w:t>afety</w:t>
      </w:r>
    </w:p>
    <w:p w14:paraId="72979876" w14:textId="1739AC3A" w:rsidR="00C977CB" w:rsidRDefault="00C977CB" w:rsidP="00C977CB">
      <w:pPr>
        <w:pStyle w:val="ListParagraph"/>
        <w:numPr>
          <w:ilvl w:val="3"/>
          <w:numId w:val="1"/>
        </w:numPr>
        <w:spacing w:line="256" w:lineRule="auto"/>
      </w:pPr>
      <w:r w:rsidRPr="66F05AE7">
        <w:rPr>
          <w:rFonts w:eastAsia="Calibri"/>
        </w:rPr>
        <w:t xml:space="preserve">Hand </w:t>
      </w:r>
      <w:r w:rsidR="004C500A">
        <w:rPr>
          <w:rFonts w:eastAsia="Calibri"/>
        </w:rPr>
        <w:t>h</w:t>
      </w:r>
      <w:r w:rsidRPr="66F05AE7">
        <w:rPr>
          <w:rFonts w:eastAsia="Calibri"/>
        </w:rPr>
        <w:t>ygiene</w:t>
      </w:r>
    </w:p>
    <w:p w14:paraId="3CC0D563" w14:textId="77777777" w:rsidR="00C977CB" w:rsidRDefault="00C977CB" w:rsidP="00C977CB">
      <w:pPr>
        <w:pStyle w:val="ListParagraph"/>
        <w:numPr>
          <w:ilvl w:val="3"/>
          <w:numId w:val="1"/>
        </w:numPr>
        <w:spacing w:line="256" w:lineRule="auto"/>
      </w:pPr>
      <w:r w:rsidRPr="66F05AE7">
        <w:rPr>
          <w:rFonts w:eastAsia="Calibri"/>
        </w:rPr>
        <w:t>Human-animal interaction</w:t>
      </w:r>
    </w:p>
    <w:p w14:paraId="4CC70DCE" w14:textId="69E304F4" w:rsidR="00C977CB" w:rsidRDefault="00C977CB" w:rsidP="00C977CB">
      <w:pPr>
        <w:pStyle w:val="ListParagraph"/>
        <w:numPr>
          <w:ilvl w:val="3"/>
          <w:numId w:val="1"/>
        </w:numPr>
        <w:spacing w:line="256" w:lineRule="auto"/>
      </w:pPr>
      <w:r w:rsidRPr="66F05AE7">
        <w:rPr>
          <w:rFonts w:eastAsia="Calibri"/>
        </w:rPr>
        <w:t xml:space="preserve">Stakeholder </w:t>
      </w:r>
      <w:r w:rsidR="00CA4462">
        <w:rPr>
          <w:rFonts w:eastAsia="Calibri"/>
        </w:rPr>
        <w:t>e</w:t>
      </w:r>
      <w:r w:rsidRPr="66F05AE7">
        <w:rPr>
          <w:rFonts w:eastAsia="Calibri"/>
        </w:rPr>
        <w:t>ngagement</w:t>
      </w:r>
    </w:p>
    <w:p w14:paraId="0B6985AF" w14:textId="7AFDEBA0" w:rsidR="00C977CB" w:rsidRDefault="00C977CB" w:rsidP="00C977CB">
      <w:pPr>
        <w:pStyle w:val="ListParagraph"/>
        <w:numPr>
          <w:ilvl w:val="3"/>
          <w:numId w:val="1"/>
        </w:numPr>
        <w:spacing w:line="256" w:lineRule="auto"/>
      </w:pPr>
      <w:r w:rsidRPr="66F05AE7">
        <w:rPr>
          <w:rFonts w:eastAsia="Calibri"/>
        </w:rPr>
        <w:t xml:space="preserve">Zoonotic </w:t>
      </w:r>
      <w:r w:rsidR="004C500A">
        <w:rPr>
          <w:rFonts w:eastAsia="Calibri"/>
        </w:rPr>
        <w:t>d</w:t>
      </w:r>
      <w:r w:rsidRPr="66F05AE7">
        <w:rPr>
          <w:rFonts w:eastAsia="Calibri"/>
        </w:rPr>
        <w:t>isease</w:t>
      </w:r>
      <w:r w:rsidR="004C500A">
        <w:rPr>
          <w:rFonts w:eastAsia="Calibri"/>
        </w:rPr>
        <w:t>-</w:t>
      </w:r>
      <w:r w:rsidRPr="66F05AE7">
        <w:rPr>
          <w:rFonts w:eastAsia="Calibri"/>
        </w:rPr>
        <w:t>specific content</w:t>
      </w:r>
    </w:p>
    <w:p w14:paraId="6A3A48FD" w14:textId="77777777" w:rsidR="00C977CB" w:rsidRDefault="00C977CB" w:rsidP="004F7C77">
      <w:pPr>
        <w:pStyle w:val="ListParagraph"/>
        <w:numPr>
          <w:ilvl w:val="4"/>
          <w:numId w:val="1"/>
        </w:numPr>
        <w:spacing w:line="256" w:lineRule="auto"/>
      </w:pPr>
      <w:r w:rsidRPr="66F05AE7">
        <w:rPr>
          <w:rFonts w:eastAsia="Calibri"/>
        </w:rPr>
        <w:t>Campylobacter</w:t>
      </w:r>
    </w:p>
    <w:p w14:paraId="590EF783" w14:textId="77777777" w:rsidR="00C977CB" w:rsidRDefault="00C977CB" w:rsidP="00C977CB">
      <w:pPr>
        <w:pStyle w:val="ListParagraph"/>
        <w:numPr>
          <w:ilvl w:val="4"/>
          <w:numId w:val="1"/>
        </w:numPr>
        <w:spacing w:line="256" w:lineRule="auto"/>
      </w:pPr>
      <w:r w:rsidRPr="66F05AE7">
        <w:rPr>
          <w:rFonts w:eastAsia="Calibri"/>
        </w:rPr>
        <w:t>Cryptosporidiosis</w:t>
      </w:r>
    </w:p>
    <w:p w14:paraId="2E3A421E" w14:textId="77777777" w:rsidR="00C977CB" w:rsidRDefault="00C977CB" w:rsidP="00C977CB">
      <w:pPr>
        <w:pStyle w:val="ListParagraph"/>
        <w:numPr>
          <w:ilvl w:val="4"/>
          <w:numId w:val="1"/>
        </w:numPr>
        <w:spacing w:line="256" w:lineRule="auto"/>
      </w:pPr>
      <w:r w:rsidRPr="66F05AE7">
        <w:rPr>
          <w:rFonts w:eastAsia="Calibri"/>
        </w:rPr>
        <w:t>E. coli</w:t>
      </w:r>
    </w:p>
    <w:p w14:paraId="0C075776" w14:textId="77777777" w:rsidR="00C977CB" w:rsidRDefault="00C977CB" w:rsidP="00C977CB">
      <w:pPr>
        <w:pStyle w:val="ListParagraph"/>
        <w:numPr>
          <w:ilvl w:val="4"/>
          <w:numId w:val="1"/>
        </w:numPr>
        <w:spacing w:line="256" w:lineRule="auto"/>
      </w:pPr>
      <w:r w:rsidRPr="66F05AE7">
        <w:rPr>
          <w:rFonts w:eastAsia="Calibri"/>
        </w:rPr>
        <w:t>Influenza</w:t>
      </w:r>
    </w:p>
    <w:p w14:paraId="10B30630" w14:textId="77777777" w:rsidR="00C977CB" w:rsidRDefault="00C977CB" w:rsidP="00C977CB">
      <w:pPr>
        <w:pStyle w:val="ListParagraph"/>
        <w:numPr>
          <w:ilvl w:val="4"/>
          <w:numId w:val="1"/>
        </w:numPr>
        <w:spacing w:line="256" w:lineRule="auto"/>
        <w:rPr>
          <w:rFonts w:asciiTheme="minorHAnsi" w:eastAsiaTheme="minorEastAsia" w:hAnsiTheme="minorHAnsi" w:cstheme="minorBidi"/>
        </w:rPr>
      </w:pPr>
      <w:r w:rsidRPr="66F05AE7">
        <w:rPr>
          <w:rFonts w:eastAsia="Calibri"/>
        </w:rPr>
        <w:t>Salmonella</w:t>
      </w:r>
    </w:p>
    <w:p w14:paraId="360F7A6B" w14:textId="77777777" w:rsidR="00FD5A49" w:rsidRPr="00C4194C" w:rsidRDefault="00FD5A49" w:rsidP="00FD5A49">
      <w:pPr>
        <w:pStyle w:val="ListParagraph"/>
        <w:numPr>
          <w:ilvl w:val="2"/>
          <w:numId w:val="1"/>
        </w:numPr>
        <w:spacing w:line="259" w:lineRule="auto"/>
        <w:contextualSpacing/>
        <w:rPr>
          <w:b/>
          <w:bCs/>
        </w:rPr>
      </w:pPr>
      <w:r w:rsidRPr="00C4194C">
        <w:rPr>
          <w:b/>
          <w:bCs/>
        </w:rPr>
        <w:t>Intended audience</w:t>
      </w:r>
    </w:p>
    <w:p w14:paraId="0AD82A13" w14:textId="77777777" w:rsidR="00FD5A49" w:rsidRPr="00503E4F" w:rsidRDefault="00FD5A49" w:rsidP="00FD5A49">
      <w:pPr>
        <w:pStyle w:val="ListParagraph"/>
        <w:numPr>
          <w:ilvl w:val="3"/>
          <w:numId w:val="1"/>
        </w:numPr>
        <w:spacing w:line="259" w:lineRule="auto"/>
        <w:contextualSpacing/>
      </w:pPr>
      <w:r w:rsidRPr="00503E4F">
        <w:t>Teachers</w:t>
      </w:r>
      <w:r>
        <w:t>/instructors</w:t>
      </w:r>
    </w:p>
    <w:p w14:paraId="21D2CE28" w14:textId="77777777" w:rsidR="00FD5A49" w:rsidRDefault="00FD5A49" w:rsidP="00FD5A49">
      <w:pPr>
        <w:pStyle w:val="ListParagraph"/>
        <w:numPr>
          <w:ilvl w:val="3"/>
          <w:numId w:val="1"/>
        </w:numPr>
        <w:spacing w:line="259" w:lineRule="auto"/>
        <w:contextualSpacing/>
      </w:pPr>
      <w:r w:rsidRPr="00503E4F">
        <w:t>Students</w:t>
      </w:r>
      <w:r>
        <w:t>/youth</w:t>
      </w:r>
    </w:p>
    <w:p w14:paraId="2F3B914D" w14:textId="77777777" w:rsidR="00FD5A49" w:rsidRDefault="00FD5A49" w:rsidP="00FD5A49">
      <w:pPr>
        <w:pStyle w:val="ListParagraph"/>
        <w:numPr>
          <w:ilvl w:val="4"/>
          <w:numId w:val="1"/>
        </w:numPr>
        <w:spacing w:line="259" w:lineRule="auto"/>
        <w:contextualSpacing/>
      </w:pPr>
      <w:r>
        <w:t>Elementary age</w:t>
      </w:r>
    </w:p>
    <w:p w14:paraId="1B41F65D" w14:textId="77777777" w:rsidR="00FD5A49" w:rsidRPr="00503E4F" w:rsidRDefault="00FD5A49" w:rsidP="00FD5A49">
      <w:pPr>
        <w:pStyle w:val="ListParagraph"/>
        <w:numPr>
          <w:ilvl w:val="4"/>
          <w:numId w:val="1"/>
        </w:numPr>
        <w:spacing w:line="259" w:lineRule="auto"/>
        <w:contextualSpacing/>
      </w:pPr>
      <w:r>
        <w:t>Middle/high school age</w:t>
      </w:r>
    </w:p>
    <w:p w14:paraId="4C951AE3" w14:textId="77777777" w:rsidR="00FD5A49" w:rsidRPr="00503E4F" w:rsidRDefault="00FD5A49" w:rsidP="00FD5A49">
      <w:pPr>
        <w:pStyle w:val="ListParagraph"/>
        <w:numPr>
          <w:ilvl w:val="3"/>
          <w:numId w:val="1"/>
        </w:numPr>
        <w:spacing w:line="259" w:lineRule="auto"/>
        <w:contextualSpacing/>
      </w:pPr>
      <w:r w:rsidRPr="00503E4F">
        <w:t>Community members</w:t>
      </w:r>
    </w:p>
    <w:p w14:paraId="0F354CC9" w14:textId="77777777" w:rsidR="00FD5A49" w:rsidRDefault="00FD5A49" w:rsidP="00FD5A49">
      <w:pPr>
        <w:pStyle w:val="ListParagraph"/>
        <w:numPr>
          <w:ilvl w:val="3"/>
          <w:numId w:val="1"/>
        </w:numPr>
        <w:spacing w:line="259" w:lineRule="auto"/>
        <w:contextualSpacing/>
      </w:pPr>
      <w:r w:rsidRPr="00C1693E">
        <w:t>Agrotourism industry</w:t>
      </w:r>
    </w:p>
    <w:p w14:paraId="0ACF7817" w14:textId="77777777" w:rsidR="00FD5A49" w:rsidRDefault="00FD5A49" w:rsidP="00FD5A49">
      <w:pPr>
        <w:pStyle w:val="ListParagraph"/>
        <w:numPr>
          <w:ilvl w:val="3"/>
          <w:numId w:val="1"/>
        </w:numPr>
        <w:spacing w:line="259" w:lineRule="auto"/>
        <w:contextualSpacing/>
      </w:pPr>
      <w:r>
        <w:t>Trainer/trainee</w:t>
      </w:r>
    </w:p>
    <w:p w14:paraId="543EBF41" w14:textId="77777777" w:rsidR="00FD5A49" w:rsidRPr="00C1693E" w:rsidRDefault="00FD5A49" w:rsidP="00FD5A49">
      <w:pPr>
        <w:pStyle w:val="ListParagraph"/>
        <w:numPr>
          <w:ilvl w:val="3"/>
          <w:numId w:val="1"/>
        </w:numPr>
        <w:spacing w:line="259" w:lineRule="auto"/>
        <w:contextualSpacing/>
      </w:pPr>
      <w:r>
        <w:t>Health departments</w:t>
      </w:r>
    </w:p>
    <w:p w14:paraId="63C63AF3" w14:textId="73877A6B" w:rsidR="00250983" w:rsidRDefault="00AD4489"/>
    <w:p w14:paraId="2F704040" w14:textId="3A35A906" w:rsidR="007C12CC" w:rsidRPr="007C12CC" w:rsidRDefault="007C12CC">
      <w:pPr>
        <w:rPr>
          <w:b/>
          <w:bCs/>
        </w:rPr>
      </w:pPr>
      <w:r w:rsidRPr="007C12CC">
        <w:rPr>
          <w:b/>
          <w:bCs/>
        </w:rPr>
        <w:t>Specific comments</w:t>
      </w:r>
      <w:r w:rsidR="00C4194C">
        <w:rPr>
          <w:b/>
          <w:bCs/>
        </w:rPr>
        <w:t xml:space="preserve"> in images</w:t>
      </w:r>
      <w:r w:rsidRPr="007C12CC">
        <w:rPr>
          <w:b/>
          <w:bCs/>
        </w:rPr>
        <w:t>:</w:t>
      </w:r>
    </w:p>
    <w:p w14:paraId="59C67540" w14:textId="53E864F7" w:rsidR="00BB0B35" w:rsidRDefault="00BB0B35">
      <w:r>
        <w:rPr>
          <w:noProof/>
        </w:rPr>
        <mc:AlternateContent>
          <mc:Choice Requires="wps">
            <w:drawing>
              <wp:anchor distT="0" distB="0" distL="114300" distR="114300" simplePos="0" relativeHeight="251661312" behindDoc="0" locked="0" layoutInCell="1" allowOverlap="1" wp14:anchorId="24B23086" wp14:editId="62FC395A">
                <wp:simplePos x="0" y="0"/>
                <wp:positionH relativeFrom="column">
                  <wp:posOffset>2800350</wp:posOffset>
                </wp:positionH>
                <wp:positionV relativeFrom="paragraph">
                  <wp:posOffset>866776</wp:posOffset>
                </wp:positionV>
                <wp:extent cx="485775" cy="342900"/>
                <wp:effectExtent l="0" t="19050" r="47625" b="38100"/>
                <wp:wrapNone/>
                <wp:docPr id="6" name="Arrow: Right 6"/>
                <wp:cNvGraphicFramePr/>
                <a:graphic xmlns:a="http://schemas.openxmlformats.org/drawingml/2006/main">
                  <a:graphicData uri="http://schemas.microsoft.com/office/word/2010/wordprocessingShape">
                    <wps:wsp>
                      <wps:cNvSpPr/>
                      <wps:spPr>
                        <a:xfrm>
                          <a:off x="0" y="0"/>
                          <a:ext cx="485775"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055A3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220.5pt;margin-top:68.25pt;width:38.2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" adj="13976" fillcolor="#4472c4 [3204]" strokecolor="#1f3763 [1604]" strokeweight="1pt"/>
            </w:pict>
          </mc:Fallback>
        </mc:AlternateContent>
      </w:r>
      <w:r>
        <w:rPr>
          <w:noProof/>
        </w:rPr>
        <w:drawing>
          <wp:inline distT="0" distB="0" distL="0" distR="0" wp14:anchorId="01312623" wp14:editId="5590CA88">
            <wp:extent cx="2686050" cy="2287447"/>
            <wp:effectExtent l="19050" t="19050" r="19050" b="177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01790" cy="2300851"/>
                    </a:xfrm>
                    <a:prstGeom prst="rect">
                      <a:avLst/>
                    </a:prstGeom>
                    <a:ln>
                      <a:solidFill>
                        <a:schemeClr val="accent1"/>
                      </a:solidFill>
                    </a:ln>
                  </pic:spPr>
                </pic:pic>
              </a:graphicData>
            </a:graphic>
          </wp:inline>
        </w:drawing>
      </w:r>
      <w:r>
        <w:rPr>
          <w:noProof/>
        </w:rPr>
        <w:t xml:space="preserve">                   </w:t>
      </w:r>
      <w:r>
        <w:rPr>
          <w:noProof/>
        </w:rPr>
        <w:drawing>
          <wp:inline distT="0" distB="0" distL="0" distR="0" wp14:anchorId="2EB697A1" wp14:editId="2DE3C0B9">
            <wp:extent cx="2552700" cy="2270431"/>
            <wp:effectExtent l="19050" t="19050" r="19050" b="158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66079" cy="2282331"/>
                    </a:xfrm>
                    <a:prstGeom prst="rect">
                      <a:avLst/>
                    </a:prstGeom>
                    <a:ln>
                      <a:solidFill>
                        <a:schemeClr val="accent1">
                          <a:shade val="50000"/>
                        </a:schemeClr>
                      </a:solidFill>
                    </a:ln>
                  </pic:spPr>
                </pic:pic>
              </a:graphicData>
            </a:graphic>
          </wp:inline>
        </w:drawing>
      </w:r>
      <w:r>
        <w:rPr>
          <w:noProof/>
        </w:rPr>
        <mc:AlternateContent>
          <mc:Choice Requires="wps">
            <w:drawing>
              <wp:inline distT="0" distB="0" distL="0" distR="0" wp14:anchorId="15654CC1" wp14:editId="2D0DA909">
                <wp:extent cx="5905500" cy="1419225"/>
                <wp:effectExtent l="0" t="0" r="0" b="9525"/>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419225"/>
                        </a:xfrm>
                        <a:prstGeom prst="rect">
                          <a:avLst/>
                        </a:prstGeom>
                        <a:solidFill>
                          <a:srgbClr val="FFFFFF"/>
                        </a:solidFill>
                        <a:ln w="9525">
                          <a:noFill/>
                          <a:miter lim="800000"/>
                          <a:headEnd/>
                          <a:tailEnd/>
                        </a:ln>
                      </wps:spPr>
                      <wps:txbx>
                        <w:txbxContent>
                          <w:p w14:paraId="2D8CFED4" w14:textId="4A8F4E22" w:rsidR="00BB0B35" w:rsidRDefault="00BB0B35" w:rsidP="00BB0B35">
                            <w:r>
                              <w:t xml:space="preserve">The image on the right is the layout/style we had in mind. We like that the page looks more like a normal webpage than a search page and has a large header for the resource repository and could still have a separate program header at the top.  The search options are large and collapsible. The tiles for each resource are simple and clean but provide enough information to determine what they are. </w:t>
                            </w:r>
                            <w:r w:rsidR="007C12CC">
                              <w:t xml:space="preserve"> We like the icons used to identify the type of resource </w:t>
                            </w:r>
                            <w:r w:rsidR="00C4194C">
                              <w:t>which also</w:t>
                            </w:r>
                            <w:r w:rsidR="007C12CC">
                              <w:t xml:space="preserve"> says the type of resource in text when you hover over the icon.</w:t>
                            </w:r>
                          </w:p>
                        </w:txbxContent>
                      </wps:txbx>
                      <wps:bodyPr rot="0" vert="horz" wrap="square" lIns="91440" tIns="45720" rIns="91440" bIns="45720" anchor="t" anchorCtr="0">
                        <a:noAutofit/>
                      </wps:bodyPr>
                    </wps:wsp>
                  </a:graphicData>
                </a:graphic>
              </wp:inline>
            </w:drawing>
          </mc:Choice>
          <mc:Fallback>
            <w:pict>
              <v:shapetype w14:anchorId="15654CC1" id="_x0000_t202" coordsize="21600,21600" o:spt="202" path="m,l,21600r21600,l21600,xe">
                <v:stroke joinstyle="miter"/>
                <v:path gradientshapeok="t" o:connecttype="rect"/>
              </v:shapetype>
              <v:shape id="Text Box 2" o:spid="_x0000_s1026" type="#_x0000_t202" style="width:465pt;height:1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" stroked="f">
                <v:textbox>
                  <w:txbxContent>
                    <w:p w14:paraId="2D8CFED4" w14:textId="4A8F4E22" w:rsidR="00BB0B35" w:rsidRDefault="00BB0B35" w:rsidP="00BB0B35">
                      <w:r>
                        <w:t xml:space="preserve">The image on the right is the layout/style we had in mind. We like that the page looks more like a normal webpage than a search page and has a large header for the resource repository and could still have a separate program header at the top.  The search options are large and collapsible. The tiles for each resource are simple and clean but provide enough information to determine what they are. </w:t>
                      </w:r>
                      <w:r w:rsidR="007C12CC">
                        <w:t xml:space="preserve"> We like the icons used to identify the type of resource </w:t>
                      </w:r>
                      <w:r w:rsidR="00C4194C">
                        <w:t>which also</w:t>
                      </w:r>
                      <w:r w:rsidR="007C12CC">
                        <w:t xml:space="preserve"> says the type of resource in text when you hover over the icon.</w:t>
                      </w:r>
                    </w:p>
                  </w:txbxContent>
                </v:textbox>
                <w10:anchorlock/>
              </v:shape>
            </w:pict>
          </mc:Fallback>
        </mc:AlternateContent>
      </w:r>
    </w:p>
    <w:p w14:paraId="593CA8E4" w14:textId="07281463" w:rsidR="008F67D7" w:rsidRDefault="008F67D7"/>
    <w:p w14:paraId="276EC809" w14:textId="49DCB9E0" w:rsidR="00A47E1F" w:rsidRDefault="008F67D7">
      <w:r>
        <w:rPr>
          <w:noProof/>
        </w:rPr>
        <w:drawing>
          <wp:inline distT="0" distB="0" distL="0" distR="0" wp14:anchorId="003A5125" wp14:editId="337F9643">
            <wp:extent cx="2828925" cy="2267372"/>
            <wp:effectExtent l="19050" t="19050" r="952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38478" cy="2275028"/>
                    </a:xfrm>
                    <a:prstGeom prst="rect">
                      <a:avLst/>
                    </a:prstGeom>
                    <a:ln>
                      <a:solidFill>
                        <a:schemeClr val="accent1">
                          <a:lumMod val="40000"/>
                          <a:lumOff val="60000"/>
                        </a:schemeClr>
                      </a:solidFill>
                    </a:ln>
                  </pic:spPr>
                </pic:pic>
              </a:graphicData>
            </a:graphic>
          </wp:inline>
        </w:drawing>
      </w:r>
      <w:r>
        <w:rPr>
          <w:noProof/>
        </w:rPr>
        <mc:AlternateContent>
          <mc:Choice Requires="wps">
            <w:drawing>
              <wp:inline distT="0" distB="0" distL="0" distR="0" wp14:anchorId="192CC549" wp14:editId="79FD670F">
                <wp:extent cx="5943600" cy="1038225"/>
                <wp:effectExtent l="0" t="0" r="0" b="952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38225"/>
                        </a:xfrm>
                        <a:prstGeom prst="rect">
                          <a:avLst/>
                        </a:prstGeom>
                        <a:solidFill>
                          <a:srgbClr val="FFFFFF"/>
                        </a:solidFill>
                        <a:ln w="9525">
                          <a:noFill/>
                          <a:miter lim="800000"/>
                          <a:headEnd/>
                          <a:tailEnd/>
                        </a:ln>
                      </wps:spPr>
                      <wps:txbx>
                        <w:txbxContent>
                          <w:p w14:paraId="66FB0795" w14:textId="1FFA12B2" w:rsidR="008F67D7" w:rsidRDefault="008F67D7" w:rsidP="008F67D7">
                            <w:r>
                              <w:t xml:space="preserve">In general, we like this view of each </w:t>
                            </w:r>
                            <w:proofErr w:type="gramStart"/>
                            <w:r>
                              <w:t>particular resource</w:t>
                            </w:r>
                            <w:proofErr w:type="gramEnd"/>
                            <w:r>
                              <w:t xml:space="preserve"> and th</w:t>
                            </w:r>
                            <w:r w:rsidR="00867F35">
                              <w:t>at the</w:t>
                            </w:r>
                            <w:r>
                              <w:t xml:space="preserve"> items from the collection</w:t>
                            </w:r>
                            <w:r w:rsidR="00867F35">
                              <w:t xml:space="preserve"> are viewable</w:t>
                            </w:r>
                            <w:r>
                              <w:t xml:space="preserve">. </w:t>
                            </w:r>
                            <w:r w:rsidR="00867F35">
                              <w:t xml:space="preserve">Is there a way to click to view the whole collection? </w:t>
                            </w:r>
                            <w:r>
                              <w:t xml:space="preserve">Could we </w:t>
                            </w:r>
                            <w:r w:rsidR="00867F35">
                              <w:t xml:space="preserve">make the blue boxes showing the filters smaller? Are they intended to be filters that can be cleared? </w:t>
                            </w:r>
                            <w:r w:rsidR="00BB0B35">
                              <w:t>What will this page look like if resource is a video?</w:t>
                            </w:r>
                          </w:p>
                        </w:txbxContent>
                      </wps:txbx>
                      <wps:bodyPr rot="0" vert="horz" wrap="square" lIns="91440" tIns="45720" rIns="91440" bIns="45720" anchor="t" anchorCtr="0">
                        <a:noAutofit/>
                      </wps:bodyPr>
                    </wps:wsp>
                  </a:graphicData>
                </a:graphic>
              </wp:inline>
            </w:drawing>
          </mc:Choice>
          <mc:Fallback>
            <w:pict>
              <v:shape w14:anchorId="192CC549" id="_x0000_s1027" type="#_x0000_t202" style="width:468pt;height:8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" stroked="f">
                <v:textbox>
                  <w:txbxContent>
                    <w:p w14:paraId="66FB0795" w14:textId="1FFA12B2" w:rsidR="008F67D7" w:rsidRDefault="008F67D7" w:rsidP="008F67D7">
                      <w:r>
                        <w:t xml:space="preserve">In general, we like this view of each </w:t>
                      </w:r>
                      <w:proofErr w:type="gramStart"/>
                      <w:r>
                        <w:t>particular resource</w:t>
                      </w:r>
                      <w:proofErr w:type="gramEnd"/>
                      <w:r>
                        <w:t xml:space="preserve"> and th</w:t>
                      </w:r>
                      <w:r w:rsidR="00867F35">
                        <w:t>at the</w:t>
                      </w:r>
                      <w:r>
                        <w:t xml:space="preserve"> items from the collection</w:t>
                      </w:r>
                      <w:r w:rsidR="00867F35">
                        <w:t xml:space="preserve"> are viewable</w:t>
                      </w:r>
                      <w:r>
                        <w:t xml:space="preserve">. </w:t>
                      </w:r>
                      <w:r w:rsidR="00867F35">
                        <w:t xml:space="preserve">Is there a way to click to view the whole collection? </w:t>
                      </w:r>
                      <w:r>
                        <w:t xml:space="preserve">Could we </w:t>
                      </w:r>
                      <w:r w:rsidR="00867F35">
                        <w:t xml:space="preserve">make the blue boxes showing the filters smaller? Are they intended to be filters that can be cleared? </w:t>
                      </w:r>
                      <w:r w:rsidR="00BB0B35">
                        <w:t>What will this page look like if resource is a video?</w:t>
                      </w:r>
                    </w:p>
                  </w:txbxContent>
                </v:textbox>
                <w10:anchorlock/>
              </v:shape>
            </w:pict>
          </mc:Fallback>
        </mc:AlternateContent>
      </w:r>
    </w:p>
    <w:p w14:paraId="7F0D59C4" w14:textId="588DF176" w:rsidR="00A47E1F" w:rsidRDefault="008346A0">
      <w:r>
        <w:rPr>
          <w:noProof/>
        </w:rPr>
        <w:lastRenderedPageBreak/>
        <w:drawing>
          <wp:inline distT="0" distB="0" distL="0" distR="0" wp14:anchorId="07396CEB" wp14:editId="66FEB9EA">
            <wp:extent cx="2743200" cy="2412903"/>
            <wp:effectExtent l="19050" t="19050" r="19050" b="260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57429" cy="2425419"/>
                    </a:xfrm>
                    <a:prstGeom prst="rect">
                      <a:avLst/>
                    </a:prstGeom>
                    <a:ln>
                      <a:solidFill>
                        <a:schemeClr val="accent1">
                          <a:lumMod val="40000"/>
                          <a:lumOff val="60000"/>
                        </a:schemeClr>
                      </a:solidFill>
                    </a:ln>
                  </pic:spPr>
                </pic:pic>
              </a:graphicData>
            </a:graphic>
          </wp:inline>
        </w:drawing>
      </w:r>
      <w:r>
        <w:rPr>
          <w:noProof/>
        </w:rPr>
        <mc:AlternateContent>
          <mc:Choice Requires="wps">
            <w:drawing>
              <wp:inline distT="0" distB="0" distL="0" distR="0" wp14:anchorId="58752896" wp14:editId="35B172EF">
                <wp:extent cx="6296025" cy="828675"/>
                <wp:effectExtent l="0" t="0" r="9525" b="9525"/>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828675"/>
                        </a:xfrm>
                        <a:prstGeom prst="rect">
                          <a:avLst/>
                        </a:prstGeom>
                        <a:solidFill>
                          <a:srgbClr val="FFFFFF"/>
                        </a:solidFill>
                        <a:ln w="9525">
                          <a:noFill/>
                          <a:miter lim="800000"/>
                          <a:headEnd/>
                          <a:tailEnd/>
                        </a:ln>
                      </wps:spPr>
                      <wps:txbx>
                        <w:txbxContent>
                          <w:p w14:paraId="33D39F2B" w14:textId="751E73AF" w:rsidR="008346A0" w:rsidRDefault="008346A0" w:rsidP="008346A0">
                            <w:r>
                              <w:t>It may be helpful to add “Materials” or “Collection” after the title to make it</w:t>
                            </w:r>
                            <w:r w:rsidR="005A7477">
                              <w:t>’s</w:t>
                            </w:r>
                            <w:r>
                              <w:t xml:space="preserve"> clear that these are all related. Perhaps the individual documents in each collection should appear as tiles, like they would on the main search page? In this table format, </w:t>
                            </w:r>
                            <w:r w:rsidR="000517C8">
                              <w:t>there isn’t much</w:t>
                            </w:r>
                            <w:r>
                              <w:t xml:space="preserve"> information provided about the </w:t>
                            </w:r>
                            <w:r w:rsidR="00B0564F">
                              <w:t xml:space="preserve">individual </w:t>
                            </w:r>
                            <w:r>
                              <w:t xml:space="preserve">resources. </w:t>
                            </w:r>
                          </w:p>
                        </w:txbxContent>
                      </wps:txbx>
                      <wps:bodyPr rot="0" vert="horz" wrap="square" lIns="91440" tIns="45720" rIns="91440" bIns="45720" anchor="t" anchorCtr="0">
                        <a:noAutofit/>
                      </wps:bodyPr>
                    </wps:wsp>
                  </a:graphicData>
                </a:graphic>
              </wp:inline>
            </w:drawing>
          </mc:Choice>
          <mc:Fallback>
            <w:pict>
              <v:shape w14:anchorId="58752896" id="_x0000_s1028" type="#_x0000_t202" style="width:495.75pt;height:6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" stroked="f">
                <v:textbox>
                  <w:txbxContent>
                    <w:p w14:paraId="33D39F2B" w14:textId="751E73AF" w:rsidR="008346A0" w:rsidRDefault="008346A0" w:rsidP="008346A0">
                      <w:r>
                        <w:t>It may be helpful to add “Materials” or “Collection” after the title to make it</w:t>
                      </w:r>
                      <w:r w:rsidR="005A7477">
                        <w:t>’s</w:t>
                      </w:r>
                      <w:r>
                        <w:t xml:space="preserve"> clear that these are all related. Perhaps the individual documents in each collection should appear as tiles, like they would on the main search page? In this table format, </w:t>
                      </w:r>
                      <w:r w:rsidR="000517C8">
                        <w:t>there isn’t much</w:t>
                      </w:r>
                      <w:r>
                        <w:t xml:space="preserve"> information provided about the </w:t>
                      </w:r>
                      <w:r w:rsidR="00B0564F">
                        <w:t xml:space="preserve">individual </w:t>
                      </w:r>
                      <w:r>
                        <w:t xml:space="preserve">resources. </w:t>
                      </w:r>
                    </w:p>
                  </w:txbxContent>
                </v:textbox>
                <w10:anchorlock/>
              </v:shape>
            </w:pict>
          </mc:Fallback>
        </mc:AlternateContent>
      </w:r>
    </w:p>
    <w:sectPr w:rsidR="00A47E1F" w:rsidSect="00E750B3">
      <w:pgSz w:w="12240" w:h="15840"/>
      <w:pgMar w:top="720" w:right="990" w:bottom="81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01EACF" w14:textId="77777777" w:rsidR="00AD4489" w:rsidRDefault="00AD4489" w:rsidP="00867F35">
      <w:pPr>
        <w:spacing w:after="0" w:line="240" w:lineRule="auto"/>
      </w:pPr>
      <w:r>
        <w:separator/>
      </w:r>
    </w:p>
  </w:endnote>
  <w:endnote w:type="continuationSeparator" w:id="0">
    <w:p w14:paraId="4FEAC7D6" w14:textId="77777777" w:rsidR="00AD4489" w:rsidRDefault="00AD4489" w:rsidP="00867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881E56" w14:textId="77777777" w:rsidR="00AD4489" w:rsidRDefault="00AD4489" w:rsidP="00867F35">
      <w:pPr>
        <w:spacing w:after="0" w:line="240" w:lineRule="auto"/>
      </w:pPr>
      <w:r>
        <w:separator/>
      </w:r>
    </w:p>
  </w:footnote>
  <w:footnote w:type="continuationSeparator" w:id="0">
    <w:p w14:paraId="1E0801A6" w14:textId="77777777" w:rsidR="00AD4489" w:rsidRDefault="00AD4489" w:rsidP="00867F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F33D6"/>
    <w:multiLevelType w:val="hybridMultilevel"/>
    <w:tmpl w:val="EB7C7AA4"/>
    <w:lvl w:ilvl="0" w:tplc="0A48D9D0">
      <w:numFmt w:val="bullet"/>
      <w:lvlText w:val="-"/>
      <w:lvlJc w:val="left"/>
      <w:pPr>
        <w:ind w:left="720" w:hanging="360"/>
      </w:pPr>
      <w:rPr>
        <w:rFonts w:ascii="Calibri" w:eastAsia="Calibri" w:hAnsi="Calibri"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C7B1385"/>
    <w:multiLevelType w:val="hybridMultilevel"/>
    <w:tmpl w:val="23467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300AFC"/>
    <w:multiLevelType w:val="hybridMultilevel"/>
    <w:tmpl w:val="287454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7D7"/>
    <w:rsid w:val="000517C8"/>
    <w:rsid w:val="00094F9D"/>
    <w:rsid w:val="00176C9D"/>
    <w:rsid w:val="001A76C5"/>
    <w:rsid w:val="0033006E"/>
    <w:rsid w:val="003676D8"/>
    <w:rsid w:val="00424D36"/>
    <w:rsid w:val="004557AB"/>
    <w:rsid w:val="004C500A"/>
    <w:rsid w:val="004F7C77"/>
    <w:rsid w:val="005447CA"/>
    <w:rsid w:val="005A7477"/>
    <w:rsid w:val="00785F9B"/>
    <w:rsid w:val="007C12CC"/>
    <w:rsid w:val="008346A0"/>
    <w:rsid w:val="00857931"/>
    <w:rsid w:val="00867F35"/>
    <w:rsid w:val="008F67D7"/>
    <w:rsid w:val="00911058"/>
    <w:rsid w:val="00925C85"/>
    <w:rsid w:val="009F03F9"/>
    <w:rsid w:val="00A47E1F"/>
    <w:rsid w:val="00AD4489"/>
    <w:rsid w:val="00B0564F"/>
    <w:rsid w:val="00B535BB"/>
    <w:rsid w:val="00BB0B35"/>
    <w:rsid w:val="00C4194C"/>
    <w:rsid w:val="00C977CB"/>
    <w:rsid w:val="00CA4462"/>
    <w:rsid w:val="00D17EB9"/>
    <w:rsid w:val="00E750B3"/>
    <w:rsid w:val="00E962D9"/>
    <w:rsid w:val="00EC308F"/>
    <w:rsid w:val="00F110BA"/>
    <w:rsid w:val="00FB35B5"/>
    <w:rsid w:val="00FD5A49"/>
    <w:rsid w:val="11EDA1B2"/>
    <w:rsid w:val="19377DCC"/>
    <w:rsid w:val="21D40573"/>
    <w:rsid w:val="27B1D135"/>
    <w:rsid w:val="294DA196"/>
    <w:rsid w:val="29E4742D"/>
    <w:rsid w:val="29FD9C8A"/>
    <w:rsid w:val="32F589A1"/>
    <w:rsid w:val="33CF1E72"/>
    <w:rsid w:val="3C8A2B4B"/>
    <w:rsid w:val="3FC1CC0D"/>
    <w:rsid w:val="415D9C6E"/>
    <w:rsid w:val="4FD850E7"/>
    <w:rsid w:val="5524DD4F"/>
    <w:rsid w:val="5721CBF1"/>
    <w:rsid w:val="5F2CDDD6"/>
    <w:rsid w:val="6652F084"/>
    <w:rsid w:val="66F05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7EAD2"/>
  <w15:chartTrackingRefBased/>
  <w15:docId w15:val="{E55DE479-9F41-458C-9099-FE89C93E2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B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7D7"/>
    <w:pPr>
      <w:spacing w:after="0" w:line="240" w:lineRule="auto"/>
      <w:ind w:left="720"/>
    </w:pPr>
    <w:rPr>
      <w:rFonts w:ascii="Calibri" w:hAnsi="Calibri" w:cs="Times New Roman"/>
    </w:rPr>
  </w:style>
  <w:style w:type="character" w:styleId="Hyperlink">
    <w:name w:val="Hyperlink"/>
    <w:basedOn w:val="DefaultParagraphFont"/>
    <w:uiPriority w:val="99"/>
    <w:semiHidden/>
    <w:unhideWhenUsed/>
    <w:rsid w:val="008F67D7"/>
    <w:rPr>
      <w:color w:val="0563C1"/>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0345763">
      <w:bodyDiv w:val="1"/>
      <w:marLeft w:val="0"/>
      <w:marRight w:val="0"/>
      <w:marTop w:val="0"/>
      <w:marBottom w:val="0"/>
      <w:divBdr>
        <w:top w:val="none" w:sz="0" w:space="0" w:color="auto"/>
        <w:left w:val="none" w:sz="0" w:space="0" w:color="auto"/>
        <w:bottom w:val="none" w:sz="0" w:space="0" w:color="auto"/>
        <w:right w:val="none" w:sz="0" w:space="0" w:color="auto"/>
      </w:divBdr>
    </w:div>
    <w:div w:id="1803182745">
      <w:bodyDiv w:val="1"/>
      <w:marLeft w:val="0"/>
      <w:marRight w:val="0"/>
      <w:marTop w:val="0"/>
      <w:marBottom w:val="0"/>
      <w:divBdr>
        <w:top w:val="none" w:sz="0" w:space="0" w:color="auto"/>
        <w:left w:val="none" w:sz="0" w:space="0" w:color="auto"/>
        <w:bottom w:val="none" w:sz="0" w:space="0" w:color="auto"/>
        <w:right w:val="none" w:sz="0" w:space="0" w:color="auto"/>
      </w:divBdr>
    </w:div>
    <w:div w:id="207338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mprovingliteracy.org/resource-repositor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206</Words>
  <Characters>1177</Characters>
  <Application>Microsoft Office Word</Application>
  <DocSecurity>0</DocSecurity>
  <Lines>9</Lines>
  <Paragraphs>2</Paragraphs>
  <ScaleCrop>false</ScaleCrop>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dc:creator>
  <cp:keywords/>
  <dc:description/>
  <cp:lastModifiedBy>Boswell, Haley C. (CDC/DDID/NCIRD/ID)</cp:lastModifiedBy>
  <cp:revision>6</cp:revision>
  <dcterms:created xsi:type="dcterms:W3CDTF">2021-08-04T19:17:00Z</dcterms:created>
  <dcterms:modified xsi:type="dcterms:W3CDTF">2021-08-05T15:38:00Z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2021-07-30T18:19:30Z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75eab4c7-60dd-476e-a812-26c60d22ba76</vt:lpwstr>
  </property>
  <property fmtid="{D5CDD505-2E9C-101B-9397-08002B2CF9AE}" pid="8" name="MSIP_Label_7b94a7b8-f06c-4dfe-bdcc-9b548fd58c31_ContentBits">
    <vt:lpwstr>0</vt:lpwstr>
  </property>
</Properties>
</file>