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B1427A" w14:textId="77777777" w:rsidR="005C3E89" w:rsidRPr="005C3E89" w:rsidRDefault="005C3E89" w:rsidP="005C3E89">
      <w:pPr>
        <w:jc w:val="center"/>
        <w:rPr>
          <w:rFonts w:eastAsia="Times New Roman" w:cs="Helvetica"/>
          <w:color w:val="333333"/>
          <w:spacing w:val="15"/>
          <w:kern w:val="36"/>
          <w:sz w:val="24"/>
          <w:szCs w:val="24"/>
        </w:rPr>
      </w:pPr>
    </w:p>
    <w:p w14:paraId="5E910F95" w14:textId="4A54BBB1" w:rsidR="0022166D" w:rsidRPr="00547FAC" w:rsidRDefault="0022166D" w:rsidP="002B5A65">
      <w:pPr>
        <w:spacing w:after="120" w:line="360" w:lineRule="auto"/>
        <w:jc w:val="center"/>
        <w:rPr>
          <w:rFonts w:eastAsia="Times New Roman" w:cs="Helvetica"/>
          <w:b/>
          <w:bCs/>
          <w:color w:val="333333"/>
          <w:spacing w:val="15"/>
          <w:kern w:val="36"/>
          <w:sz w:val="24"/>
          <w:szCs w:val="24"/>
        </w:rPr>
      </w:pPr>
      <w:r w:rsidRPr="00547FAC">
        <w:rPr>
          <w:rFonts w:eastAsia="Times New Roman" w:cs="Helvetica"/>
          <w:b/>
          <w:bCs/>
          <w:color w:val="333333"/>
          <w:spacing w:val="15"/>
          <w:kern w:val="36"/>
          <w:sz w:val="24"/>
          <w:szCs w:val="24"/>
        </w:rPr>
        <w:t>PUBLIC READINESS AND EMERGENCY PREPAREDNESS ACT</w:t>
      </w:r>
    </w:p>
    <w:p w14:paraId="5F47628B" w14:textId="4BBC920B" w:rsidR="002B5A65" w:rsidRDefault="002B5A65" w:rsidP="004A7AC5">
      <w:pPr>
        <w:spacing w:line="360" w:lineRule="auto"/>
      </w:pPr>
    </w:p>
    <w:p w14:paraId="0F5A5CF5" w14:textId="7C7F8380" w:rsidR="009840D3" w:rsidRPr="00420287" w:rsidRDefault="009840D3" w:rsidP="009840D3">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E02986">
        <w:rPr>
          <w:i/>
          <w:iCs/>
        </w:rPr>
        <w:t>May</w:t>
      </w:r>
      <w:r w:rsidRPr="00420287">
        <w:rPr>
          <w:i/>
          <w:iCs/>
        </w:rPr>
        <w:t xml:space="preserve"> 2020</w:t>
      </w:r>
      <w:r>
        <w:rPr>
          <w:i/>
          <w:iCs/>
        </w:rPr>
        <w:t>.</w:t>
      </w:r>
    </w:p>
    <w:p w14:paraId="1C3B91A1" w14:textId="77777777" w:rsidR="00834DC9" w:rsidRDefault="00834DC9" w:rsidP="004A7AC5">
      <w:pPr>
        <w:spacing w:line="360" w:lineRule="auto"/>
      </w:pPr>
    </w:p>
    <w:p w14:paraId="6E9546B4" w14:textId="7D2AA0C0" w:rsidR="00547FAC" w:rsidRPr="0027575E" w:rsidRDefault="00547FAC" w:rsidP="004A7AC5">
      <w:pPr>
        <w:spacing w:line="360" w:lineRule="auto"/>
        <w:rPr>
          <w:b/>
          <w:bCs/>
          <w:sz w:val="24"/>
          <w:szCs w:val="24"/>
        </w:rPr>
      </w:pPr>
      <w:r w:rsidRPr="0027575E">
        <w:rPr>
          <w:b/>
          <w:bCs/>
          <w:sz w:val="24"/>
          <w:szCs w:val="24"/>
        </w:rPr>
        <w:t>Overview</w:t>
      </w:r>
    </w:p>
    <w:p w14:paraId="457744F1" w14:textId="211F1525" w:rsidR="00B134A3" w:rsidRDefault="00107FAC" w:rsidP="004A7AC5">
      <w:pPr>
        <w:spacing w:line="360" w:lineRule="auto"/>
        <w:rPr>
          <w:color w:val="000000" w:themeColor="text1"/>
        </w:rPr>
      </w:pPr>
      <w:r>
        <w:rPr>
          <w:noProof/>
        </w:rPr>
        <mc:AlternateContent>
          <mc:Choice Requires="wps">
            <w:drawing>
              <wp:anchor distT="45720" distB="45720" distL="114300" distR="114300" simplePos="0" relativeHeight="251661312" behindDoc="0" locked="0" layoutInCell="1" allowOverlap="1" wp14:anchorId="18010D2C" wp14:editId="4A08F133">
                <wp:simplePos x="0" y="0"/>
                <wp:positionH relativeFrom="margin">
                  <wp:align>center</wp:align>
                </wp:positionH>
                <wp:positionV relativeFrom="paragraph">
                  <wp:posOffset>2383790</wp:posOffset>
                </wp:positionV>
                <wp:extent cx="5833872" cy="1404620"/>
                <wp:effectExtent l="0" t="0" r="14605" b="1651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1404620"/>
                        </a:xfrm>
                        <a:prstGeom prst="rect">
                          <a:avLst/>
                        </a:prstGeom>
                        <a:solidFill>
                          <a:srgbClr val="FFFFFF"/>
                        </a:solidFill>
                        <a:ln w="9525">
                          <a:solidFill>
                            <a:srgbClr val="000000"/>
                          </a:solidFill>
                          <a:miter lim="800000"/>
                          <a:headEnd/>
                          <a:tailEnd/>
                        </a:ln>
                      </wps:spPr>
                      <wps:txbx>
                        <w:txbxContent>
                          <w:p w14:paraId="36B4760D" w14:textId="77777777" w:rsidR="00803F34" w:rsidRPr="00CA76E9" w:rsidRDefault="00803F34" w:rsidP="00803F34">
                            <w:pPr>
                              <w:jc w:val="center"/>
                              <w:rPr>
                                <w:i/>
                                <w:iCs/>
                              </w:rPr>
                            </w:pPr>
                            <w:r w:rsidRPr="00CA76E9">
                              <w:rPr>
                                <w:i/>
                                <w:iCs/>
                              </w:rPr>
                              <w:t xml:space="preserve">[Call out </w:t>
                            </w:r>
                            <w:r>
                              <w:rPr>
                                <w:i/>
                                <w:iCs/>
                              </w:rPr>
                              <w:t xml:space="preserve">box </w:t>
                            </w:r>
                            <w:r w:rsidRPr="00CA76E9">
                              <w:rPr>
                                <w:i/>
                                <w:iCs/>
                              </w:rPr>
                              <w:t>for first page of document]</w:t>
                            </w:r>
                          </w:p>
                          <w:p w14:paraId="4421A95D" w14:textId="70FB645B" w:rsidR="00803F34" w:rsidRDefault="00803F34" w:rsidP="00803F34">
                            <w:r>
                              <w:t xml:space="preserve">Please see the Practice Guide accompanying this </w:t>
                            </w:r>
                            <w:r w:rsidR="00093921">
                              <w:t>t</w:t>
                            </w:r>
                            <w:r>
                              <w:t>oolkit for access to practice notices, legal analysis tools, examples</w:t>
                            </w:r>
                            <w:r w:rsidR="00093921">
                              <w:t>,</w:t>
                            </w:r>
                            <w:r>
                              <w:t xml:space="preserve">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010D2C" id="_x0000_t202" coordsize="21600,21600" o:spt="202" path="m,l,21600r21600,l21600,xe">
                <v:stroke joinstyle="miter"/>
                <v:path gradientshapeok="t" o:connecttype="rect"/>
              </v:shapetype>
              <v:shape id="Text Box 2" o:spid="_x0000_s1026" type="#_x0000_t202" style="position:absolute;margin-left:0;margin-top:187.7pt;width:459.3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">
                <v:textbox style="mso-fit-shape-to-text:t">
                  <w:txbxContent>
                    <w:p w14:paraId="36B4760D" w14:textId="77777777" w:rsidR="00803F34" w:rsidRPr="00CA76E9" w:rsidRDefault="00803F34" w:rsidP="00803F34">
                      <w:pPr>
                        <w:jc w:val="center"/>
                        <w:rPr>
                          <w:i/>
                          <w:iCs/>
                        </w:rPr>
                      </w:pPr>
                      <w:r w:rsidRPr="00CA76E9">
                        <w:rPr>
                          <w:i/>
                          <w:iCs/>
                        </w:rPr>
                        <w:t xml:space="preserve">[Call out </w:t>
                      </w:r>
                      <w:r>
                        <w:rPr>
                          <w:i/>
                          <w:iCs/>
                        </w:rPr>
                        <w:t xml:space="preserve">box </w:t>
                      </w:r>
                      <w:r w:rsidRPr="00CA76E9">
                        <w:rPr>
                          <w:i/>
                          <w:iCs/>
                        </w:rPr>
                        <w:t>for first page of document]</w:t>
                      </w:r>
                    </w:p>
                    <w:p w14:paraId="4421A95D" w14:textId="70FB645B" w:rsidR="00803F34" w:rsidRDefault="00803F34" w:rsidP="00803F34">
                      <w:r>
                        <w:t xml:space="preserve">Please see the Practice Guide accompanying this </w:t>
                      </w:r>
                      <w:r w:rsidR="00093921">
                        <w:t>t</w:t>
                      </w:r>
                      <w:r>
                        <w:t>oolkit for access to practice notices, legal analysis tools, examples</w:t>
                      </w:r>
                      <w:r w:rsidR="00093921">
                        <w:t>,</w:t>
                      </w:r>
                      <w:r>
                        <w:t xml:space="preserve"> and templates.</w:t>
                      </w:r>
                    </w:p>
                  </w:txbxContent>
                </v:textbox>
                <w10:wrap type="topAndBottom" anchorx="margin"/>
              </v:shape>
            </w:pict>
          </mc:Fallback>
        </mc:AlternateContent>
      </w:r>
      <w:r w:rsidR="0022166D" w:rsidRPr="00547FAC">
        <w:t>The</w:t>
      </w:r>
      <w:r w:rsidR="002B5A65" w:rsidRPr="00547FAC">
        <w:t xml:space="preserve"> </w:t>
      </w:r>
      <w:r w:rsidR="0022166D" w:rsidRPr="00547FAC">
        <w:rPr>
          <w:bdr w:val="none" w:sz="0" w:space="0" w:color="auto" w:frame="1"/>
        </w:rPr>
        <w:t>Public Readiness and Emergency Preparedness Act of 2005 (PREP Act)</w:t>
      </w:r>
      <w:r w:rsidR="00D9230D" w:rsidRPr="00547FAC">
        <w:rPr>
          <w:color w:val="000000" w:themeColor="text1"/>
          <w:bdr w:val="none" w:sz="0" w:space="0" w:color="auto" w:frame="1"/>
          <w:vertAlign w:val="superscript"/>
        </w:rPr>
        <w:t xml:space="preserve"> </w:t>
      </w:r>
      <w:r w:rsidR="00D9230D" w:rsidRPr="00547FAC">
        <w:rPr>
          <w:rStyle w:val="FootnoteReference"/>
          <w:rFonts w:eastAsia="Times New Roman" w:cstheme="minorHAnsi"/>
          <w:color w:val="000000" w:themeColor="text1"/>
          <w:bdr w:val="none" w:sz="0" w:space="0" w:color="auto" w:frame="1"/>
        </w:rPr>
        <w:footnoteReference w:id="1"/>
      </w:r>
      <w:r w:rsidR="0022166D" w:rsidRPr="00547FAC">
        <w:rPr>
          <w:color w:val="000000" w:themeColor="text1"/>
          <w:bdr w:val="none" w:sz="0" w:space="0" w:color="auto" w:frame="1"/>
          <w:vertAlign w:val="superscript"/>
        </w:rPr>
        <w:t xml:space="preserve"> </w:t>
      </w:r>
      <w:r w:rsidR="0022166D" w:rsidRPr="00547FAC">
        <w:rPr>
          <w:color w:val="000000" w:themeColor="text1"/>
        </w:rPr>
        <w:t xml:space="preserve">authorizes the Health and Human Services </w:t>
      </w:r>
      <w:r w:rsidR="007359BA">
        <w:rPr>
          <w:color w:val="000000" w:themeColor="text1"/>
        </w:rPr>
        <w:t xml:space="preserve">(HHS) </w:t>
      </w:r>
      <w:r w:rsidR="00746092">
        <w:rPr>
          <w:color w:val="000000" w:themeColor="text1"/>
        </w:rPr>
        <w:t>Sec</w:t>
      </w:r>
      <w:r w:rsidR="004A1571">
        <w:rPr>
          <w:color w:val="000000" w:themeColor="text1"/>
        </w:rPr>
        <w:t xml:space="preserve">retary </w:t>
      </w:r>
      <w:r w:rsidR="0022166D" w:rsidRPr="00547FAC">
        <w:rPr>
          <w:color w:val="000000" w:themeColor="text1"/>
        </w:rPr>
        <w:t xml:space="preserve">to issue a declaration that provides immunity from liability </w:t>
      </w:r>
      <w:r w:rsidR="006439EF">
        <w:rPr>
          <w:color w:val="000000" w:themeColor="text1"/>
        </w:rPr>
        <w:t xml:space="preserve">to specified actors </w:t>
      </w:r>
      <w:r w:rsidR="0022166D" w:rsidRPr="00547FAC">
        <w:rPr>
          <w:color w:val="000000" w:themeColor="text1"/>
        </w:rPr>
        <w:t xml:space="preserve">for claims of loss caused by </w:t>
      </w:r>
      <w:r w:rsidR="00D73E00">
        <w:rPr>
          <w:color w:val="000000" w:themeColor="text1"/>
        </w:rPr>
        <w:t xml:space="preserve">or related to </w:t>
      </w:r>
      <w:r w:rsidR="0022166D" w:rsidRPr="00547FAC">
        <w:rPr>
          <w:color w:val="000000" w:themeColor="text1"/>
        </w:rPr>
        <w:t xml:space="preserve">countermeasures (e.g., vaccines, drugs, </w:t>
      </w:r>
      <w:r w:rsidR="00B134A3">
        <w:rPr>
          <w:color w:val="000000" w:themeColor="text1"/>
        </w:rPr>
        <w:t>devices</w:t>
      </w:r>
      <w:r w:rsidR="0022166D" w:rsidRPr="00547FAC">
        <w:rPr>
          <w:color w:val="000000" w:themeColor="text1"/>
        </w:rPr>
        <w:t xml:space="preserve">) against diseases or other threats </w:t>
      </w:r>
      <w:r w:rsidR="002860E1">
        <w:rPr>
          <w:color w:val="000000" w:themeColor="text1"/>
        </w:rPr>
        <w:t xml:space="preserve">which have been determined by the HHS Secretary to be a </w:t>
      </w:r>
      <w:r w:rsidR="0022166D" w:rsidRPr="00547FAC">
        <w:rPr>
          <w:color w:val="000000" w:themeColor="text1"/>
        </w:rPr>
        <w:t>public health emergenc</w:t>
      </w:r>
      <w:r w:rsidR="006F0762">
        <w:rPr>
          <w:color w:val="000000" w:themeColor="text1"/>
        </w:rPr>
        <w:t>y</w:t>
      </w:r>
      <w:r w:rsidR="00E96459">
        <w:rPr>
          <w:color w:val="000000" w:themeColor="text1"/>
        </w:rPr>
        <w:t xml:space="preserve"> or pose a credible threat</w:t>
      </w:r>
      <w:r w:rsidR="00441805">
        <w:rPr>
          <w:color w:val="000000" w:themeColor="text1"/>
        </w:rPr>
        <w:t xml:space="preserve"> of a public health emergency</w:t>
      </w:r>
      <w:r w:rsidR="0022166D" w:rsidRPr="00547FAC">
        <w:rPr>
          <w:color w:val="000000" w:themeColor="text1"/>
        </w:rPr>
        <w:t>.</w:t>
      </w:r>
      <w:r w:rsidR="00D918E0">
        <w:rPr>
          <w:rStyle w:val="FootnoteReference"/>
          <w:color w:val="000000" w:themeColor="text1"/>
        </w:rPr>
        <w:footnoteReference w:id="2"/>
      </w:r>
      <w:r w:rsidR="0022166D" w:rsidRPr="00547FAC">
        <w:rPr>
          <w:color w:val="000000" w:themeColor="text1"/>
        </w:rPr>
        <w:t xml:space="preserve"> </w:t>
      </w:r>
      <w:r w:rsidR="005C6F21" w:rsidRPr="00547FAC">
        <w:t xml:space="preserve">A PREP Act declaration is different from, and independent of, other federal emergency declarations. A separate public health emergency determination under </w:t>
      </w:r>
      <w:r w:rsidR="005C6F21" w:rsidRPr="00547FAC">
        <w:rPr>
          <w:bdr w:val="none" w:sz="0" w:space="0" w:color="auto" w:frame="1"/>
        </w:rPr>
        <w:t xml:space="preserve">Public Health Service Act Section 319 </w:t>
      </w:r>
      <w:r w:rsidR="005C6F21" w:rsidRPr="00547FAC">
        <w:t>or another statute is not required for PREP Act immunities to take effect</w:t>
      </w:r>
      <w:r w:rsidR="005C6F21">
        <w:t xml:space="preserve"> unless the language of the PREP Act declaration conditions it effect on other determinations or declarations</w:t>
      </w:r>
      <w:r w:rsidR="005C6F21" w:rsidRPr="00547FAC">
        <w:t>.</w:t>
      </w:r>
      <w:r w:rsidR="005C6F21" w:rsidRPr="00547FAC">
        <w:rPr>
          <w:rStyle w:val="FootnoteReference"/>
          <w:rFonts w:eastAsia="Times New Roman" w:cs="Arial"/>
          <w:color w:val="000000" w:themeColor="text1"/>
        </w:rPr>
        <w:footnoteReference w:id="3"/>
      </w:r>
    </w:p>
    <w:p w14:paraId="4D1420D7" w14:textId="72D7E068" w:rsidR="00D918E0" w:rsidRDefault="00D918E0" w:rsidP="004A7AC5">
      <w:pPr>
        <w:spacing w:line="360" w:lineRule="auto"/>
        <w:rPr>
          <w:color w:val="000000" w:themeColor="text1"/>
        </w:rPr>
      </w:pPr>
    </w:p>
    <w:p w14:paraId="6AEBEBBE" w14:textId="522123DF" w:rsidR="009840D3" w:rsidRDefault="0022166D" w:rsidP="00F50A25">
      <w:pPr>
        <w:spacing w:line="360" w:lineRule="auto"/>
        <w:rPr>
          <w:bdr w:val="none" w:sz="0" w:space="0" w:color="auto" w:frame="1"/>
        </w:rPr>
      </w:pPr>
      <w:r w:rsidRPr="00547FAC">
        <w:rPr>
          <w:color w:val="000000" w:themeColor="text1"/>
        </w:rPr>
        <w:t xml:space="preserve">The PREP Act added new authorities </w:t>
      </w:r>
      <w:r w:rsidR="00B134A3">
        <w:rPr>
          <w:color w:val="000000" w:themeColor="text1"/>
        </w:rPr>
        <w:t>to</w:t>
      </w:r>
      <w:r w:rsidRPr="00547FAC">
        <w:rPr>
          <w:color w:val="000000" w:themeColor="text1"/>
        </w:rPr>
        <w:t xml:space="preserve"> the Public Health Service Act to address concerns about potential liability associated with the development and administration of countermeasures.</w:t>
      </w:r>
      <w:r w:rsidR="00651035">
        <w:rPr>
          <w:color w:val="000000" w:themeColor="text1"/>
        </w:rPr>
        <w:t xml:space="preserve"> </w:t>
      </w:r>
      <w:r w:rsidR="00F3686B" w:rsidRPr="00F3686B">
        <w:rPr>
          <w:color w:val="000000" w:themeColor="text1"/>
        </w:rPr>
        <w:t xml:space="preserve">The </w:t>
      </w:r>
      <w:r w:rsidR="00F3686B" w:rsidRPr="00F3686B">
        <w:rPr>
          <w:color w:val="000000" w:themeColor="text1"/>
        </w:rPr>
        <w:lastRenderedPageBreak/>
        <w:t>Coronavirus Aid, Relief, and Economic Security (CARES) Act</w:t>
      </w:r>
      <w:r w:rsidR="00370F28">
        <w:rPr>
          <w:color w:val="000000" w:themeColor="text1"/>
        </w:rPr>
        <w:t xml:space="preserve">, signed into law on March 27, 2020, clarified and amended provisions </w:t>
      </w:r>
      <w:r w:rsidR="0098186A">
        <w:rPr>
          <w:color w:val="000000" w:themeColor="text1"/>
        </w:rPr>
        <w:t>of the Public Health Service Act related to t</w:t>
      </w:r>
      <w:r w:rsidR="00370F28">
        <w:rPr>
          <w:color w:val="000000" w:themeColor="text1"/>
        </w:rPr>
        <w:t>he PREP Act, among other things.</w:t>
      </w:r>
      <w:r w:rsidR="003403DA">
        <w:rPr>
          <w:rStyle w:val="FootnoteReference"/>
          <w:color w:val="000000" w:themeColor="text1"/>
        </w:rPr>
        <w:footnoteReference w:id="4"/>
      </w:r>
      <w:r w:rsidR="006D5CF1">
        <w:rPr>
          <w:color w:val="000000" w:themeColor="text1"/>
        </w:rPr>
        <w:t xml:space="preserve"> </w:t>
      </w:r>
      <w:r w:rsidR="001B295F" w:rsidRPr="003604DE">
        <w:rPr>
          <w:color w:val="000000" w:themeColor="text1"/>
        </w:rPr>
        <w:t xml:space="preserve">As of </w:t>
      </w:r>
      <w:r w:rsidR="003604DE">
        <w:rPr>
          <w:color w:val="000000" w:themeColor="text1"/>
        </w:rPr>
        <w:t xml:space="preserve">April </w:t>
      </w:r>
      <w:r w:rsidR="0067595F" w:rsidRPr="003604DE">
        <w:rPr>
          <w:color w:val="000000" w:themeColor="text1"/>
        </w:rPr>
        <w:t>2020</w:t>
      </w:r>
      <w:r w:rsidR="001B295F" w:rsidRPr="00DB4FB9">
        <w:rPr>
          <w:color w:val="000000" w:themeColor="text1"/>
        </w:rPr>
        <w:t xml:space="preserve">, </w:t>
      </w:r>
      <w:r w:rsidR="003604DE">
        <w:rPr>
          <w:color w:val="000000" w:themeColor="text1"/>
        </w:rPr>
        <w:t>th</w:t>
      </w:r>
      <w:r w:rsidR="001B295F" w:rsidRPr="00DB4FB9">
        <w:rPr>
          <w:color w:val="000000" w:themeColor="text1"/>
        </w:rPr>
        <w:t xml:space="preserve">ere are </w:t>
      </w:r>
      <w:r w:rsidR="0019342E">
        <w:rPr>
          <w:color w:val="000000" w:themeColor="text1"/>
        </w:rPr>
        <w:t>ten</w:t>
      </w:r>
      <w:r w:rsidR="001B295F" w:rsidRPr="00DB4FB9">
        <w:rPr>
          <w:color w:val="000000" w:themeColor="text1"/>
        </w:rPr>
        <w:t xml:space="preserve"> active PREP Act declarations</w:t>
      </w:r>
      <w:r w:rsidR="0019342E">
        <w:rPr>
          <w:color w:val="000000" w:themeColor="text1"/>
        </w:rPr>
        <w:t>, including the most recent</w:t>
      </w:r>
      <w:r w:rsidR="00504707">
        <w:rPr>
          <w:color w:val="000000" w:themeColor="text1"/>
        </w:rPr>
        <w:t xml:space="preserve"> one relat</w:t>
      </w:r>
      <w:r w:rsidR="00671F8C">
        <w:rPr>
          <w:color w:val="000000" w:themeColor="text1"/>
        </w:rPr>
        <w:t>ed</w:t>
      </w:r>
      <w:r w:rsidR="00504707">
        <w:rPr>
          <w:color w:val="000000" w:themeColor="text1"/>
        </w:rPr>
        <w:t xml:space="preserve"> to COVID-19</w:t>
      </w:r>
      <w:r w:rsidR="001B295F" w:rsidRPr="00DB4FB9">
        <w:rPr>
          <w:color w:val="000000" w:themeColor="text1"/>
        </w:rPr>
        <w:t>.</w:t>
      </w:r>
      <w:r w:rsidR="001B295F" w:rsidRPr="00DB4FB9">
        <w:rPr>
          <w:rStyle w:val="FootnoteReference"/>
          <w:color w:val="000000" w:themeColor="text1"/>
        </w:rPr>
        <w:footnoteReference w:id="5"/>
      </w:r>
      <w:r w:rsidR="001B295F" w:rsidRPr="00DB4FB9">
        <w:rPr>
          <w:color w:val="000000" w:themeColor="text1"/>
        </w:rPr>
        <w:t xml:space="preserve"> </w:t>
      </w:r>
      <w:bookmarkStart w:id="1" w:name="_Hlk47558991"/>
      <w:r w:rsidR="008900E6">
        <w:rPr>
          <w:color w:val="000000" w:themeColor="text1"/>
        </w:rPr>
        <w:t xml:space="preserve">In </w:t>
      </w:r>
      <w:r w:rsidR="00DA7F6B">
        <w:rPr>
          <w:color w:val="000000" w:themeColor="text1"/>
        </w:rPr>
        <w:t>supplement</w:t>
      </w:r>
      <w:r w:rsidR="008900E6">
        <w:rPr>
          <w:color w:val="000000" w:themeColor="text1"/>
        </w:rPr>
        <w:t xml:space="preserve"> to the COVID-19 dec</w:t>
      </w:r>
      <w:r w:rsidR="00107FAC">
        <w:rPr>
          <w:color w:val="000000" w:themeColor="text1"/>
        </w:rPr>
        <w:t xml:space="preserve">laration, HHS’s </w:t>
      </w:r>
      <w:r w:rsidR="008900E6">
        <w:rPr>
          <w:color w:val="000000" w:themeColor="text1"/>
        </w:rPr>
        <w:t xml:space="preserve">Office of General Counsel issued </w:t>
      </w:r>
      <w:r w:rsidR="00107FAC">
        <w:rPr>
          <w:color w:val="000000" w:themeColor="text1"/>
        </w:rPr>
        <w:t xml:space="preserve">an </w:t>
      </w:r>
      <w:r w:rsidR="00CC6425">
        <w:rPr>
          <w:color w:val="000000" w:themeColor="text1"/>
        </w:rPr>
        <w:t xml:space="preserve">omnibus </w:t>
      </w:r>
      <w:r w:rsidR="00107FAC">
        <w:rPr>
          <w:color w:val="000000" w:themeColor="text1"/>
        </w:rPr>
        <w:t xml:space="preserve">advisory opinion </w:t>
      </w:r>
      <w:r w:rsidR="00163583">
        <w:rPr>
          <w:color w:val="000000" w:themeColor="text1"/>
        </w:rPr>
        <w:t>on April 1</w:t>
      </w:r>
      <w:r w:rsidR="00CC0E4B">
        <w:rPr>
          <w:color w:val="000000" w:themeColor="text1"/>
        </w:rPr>
        <w:t>4</w:t>
      </w:r>
      <w:r w:rsidR="00163583">
        <w:rPr>
          <w:color w:val="000000" w:themeColor="text1"/>
        </w:rPr>
        <w:t xml:space="preserve">, 2020, </w:t>
      </w:r>
      <w:r w:rsidR="00CC6425">
        <w:rPr>
          <w:color w:val="000000" w:themeColor="text1"/>
        </w:rPr>
        <w:t>to “…</w:t>
      </w:r>
      <w:r w:rsidR="00CC6425" w:rsidRPr="00CC6425">
        <w:rPr>
          <w:color w:val="000000" w:themeColor="text1"/>
        </w:rPr>
        <w:t>address most questions and concerns about the scope of</w:t>
      </w:r>
      <w:r w:rsidR="000311D2">
        <w:rPr>
          <w:color w:val="000000" w:themeColor="text1"/>
        </w:rPr>
        <w:t xml:space="preserve"> </w:t>
      </w:r>
      <w:r w:rsidR="00CC6425" w:rsidRPr="00CC6425">
        <w:rPr>
          <w:color w:val="000000" w:themeColor="text1"/>
        </w:rPr>
        <w:t>PREP Act immunity during the Coronavirus disease 2019 (COVID-19) pandemic.</w:t>
      </w:r>
      <w:r w:rsidR="000311D2">
        <w:rPr>
          <w:color w:val="000000" w:themeColor="text1"/>
        </w:rPr>
        <w:t>”</w:t>
      </w:r>
      <w:r w:rsidR="000311D2">
        <w:rPr>
          <w:rStyle w:val="FootnoteReference"/>
          <w:color w:val="000000" w:themeColor="text1"/>
        </w:rPr>
        <w:footnoteReference w:id="6"/>
      </w:r>
      <w:r w:rsidR="00A01787">
        <w:rPr>
          <w:color w:val="000000" w:themeColor="text1"/>
        </w:rPr>
        <w:t xml:space="preserve"> The </w:t>
      </w:r>
      <w:r w:rsidR="006F4EB8">
        <w:rPr>
          <w:color w:val="000000" w:themeColor="text1"/>
        </w:rPr>
        <w:t xml:space="preserve">OGC issued the opinion to address frequent </w:t>
      </w:r>
      <w:r w:rsidR="001D6B23">
        <w:rPr>
          <w:color w:val="000000" w:themeColor="text1"/>
        </w:rPr>
        <w:t xml:space="preserve">questions it </w:t>
      </w:r>
      <w:r w:rsidR="001E1817">
        <w:rPr>
          <w:color w:val="000000" w:themeColor="text1"/>
        </w:rPr>
        <w:t>received regarding the scope of</w:t>
      </w:r>
      <w:r w:rsidR="001D6B23">
        <w:rPr>
          <w:color w:val="000000" w:themeColor="text1"/>
        </w:rPr>
        <w:t xml:space="preserve"> PREP Act coverage and </w:t>
      </w:r>
      <w:r w:rsidR="001E1817">
        <w:rPr>
          <w:color w:val="000000" w:themeColor="text1"/>
        </w:rPr>
        <w:t xml:space="preserve">aspects of </w:t>
      </w:r>
      <w:r w:rsidR="00DD19E9">
        <w:rPr>
          <w:color w:val="000000" w:themeColor="text1"/>
        </w:rPr>
        <w:t>COVID-19 response</w:t>
      </w:r>
      <w:r w:rsidR="00BB327B">
        <w:rPr>
          <w:color w:val="000000" w:themeColor="text1"/>
        </w:rPr>
        <w:t>, specifically, “…</w:t>
      </w:r>
      <w:r w:rsidR="006F4EB8" w:rsidRPr="006F4EB8">
        <w:rPr>
          <w:color w:val="000000" w:themeColor="text1"/>
        </w:rPr>
        <w:t>whether a medical product is a covered</w:t>
      </w:r>
      <w:r w:rsidR="00BB327B">
        <w:rPr>
          <w:color w:val="000000" w:themeColor="text1"/>
        </w:rPr>
        <w:t xml:space="preserve"> </w:t>
      </w:r>
      <w:r w:rsidR="006F4EB8" w:rsidRPr="006F4EB8">
        <w:rPr>
          <w:color w:val="000000" w:themeColor="text1"/>
        </w:rPr>
        <w:t>countermeasure, whether a person is a covered person, and whether a specific activity qualifies as use</w:t>
      </w:r>
      <w:r w:rsidR="00BB327B">
        <w:rPr>
          <w:color w:val="000000" w:themeColor="text1"/>
        </w:rPr>
        <w:t xml:space="preserve"> </w:t>
      </w:r>
      <w:r w:rsidR="006F4EB8" w:rsidRPr="006F4EB8">
        <w:rPr>
          <w:color w:val="000000" w:themeColor="text1"/>
        </w:rPr>
        <w:t>or administration of a covered countermeasure.</w:t>
      </w:r>
      <w:r w:rsidR="00BB327B">
        <w:rPr>
          <w:color w:val="000000" w:themeColor="text1"/>
        </w:rPr>
        <w:t>”</w:t>
      </w:r>
      <w:r w:rsidR="00BB327B">
        <w:rPr>
          <w:rStyle w:val="FootnoteReference"/>
          <w:color w:val="000000" w:themeColor="text1"/>
        </w:rPr>
        <w:footnoteReference w:id="7"/>
      </w:r>
      <w:bookmarkEnd w:id="1"/>
      <w:r w:rsidR="004539A8">
        <w:rPr>
          <w:color w:val="000000" w:themeColor="text1"/>
        </w:rPr>
        <w:t xml:space="preserve"> </w:t>
      </w:r>
      <w:r w:rsidR="00A34628">
        <w:rPr>
          <w:color w:val="000000" w:themeColor="text1"/>
        </w:rPr>
        <w:t>On May</w:t>
      </w:r>
      <w:r w:rsidR="00446139">
        <w:rPr>
          <w:color w:val="000000" w:themeColor="text1"/>
        </w:rPr>
        <w:t xml:space="preserve"> 19, 2020, the OGC issued a second opinion about the</w:t>
      </w:r>
      <w:r w:rsidR="00BC0D54">
        <w:rPr>
          <w:color w:val="000000" w:themeColor="text1"/>
        </w:rPr>
        <w:t xml:space="preserve"> scope of the COVID-19 PREP Act de</w:t>
      </w:r>
      <w:r w:rsidR="00F753E6">
        <w:rPr>
          <w:color w:val="000000" w:themeColor="text1"/>
        </w:rPr>
        <w:t xml:space="preserve">claration </w:t>
      </w:r>
      <w:r w:rsidR="00E30CF7">
        <w:rPr>
          <w:color w:val="000000" w:themeColor="text1"/>
        </w:rPr>
        <w:t>regarding</w:t>
      </w:r>
      <w:r w:rsidR="00F753E6">
        <w:rPr>
          <w:color w:val="000000" w:themeColor="text1"/>
        </w:rPr>
        <w:t xml:space="preserve"> </w:t>
      </w:r>
      <w:r w:rsidR="00A72C87">
        <w:rPr>
          <w:color w:val="000000" w:themeColor="text1"/>
        </w:rPr>
        <w:t>preemption of state pharmacy licensing laws related to COVID-19 testing.</w:t>
      </w:r>
      <w:r w:rsidR="00051A4A">
        <w:rPr>
          <w:rStyle w:val="FootnoteReference"/>
          <w:color w:val="000000" w:themeColor="text1"/>
        </w:rPr>
        <w:footnoteReference w:id="8"/>
      </w:r>
      <w:r w:rsidR="00A72C87">
        <w:rPr>
          <w:color w:val="000000" w:themeColor="text1"/>
        </w:rPr>
        <w:t xml:space="preserve"> In that opinion, </w:t>
      </w:r>
      <w:r w:rsidR="00A04F9D">
        <w:rPr>
          <w:color w:val="000000" w:themeColor="text1"/>
        </w:rPr>
        <w:t xml:space="preserve">the </w:t>
      </w:r>
      <w:r w:rsidR="00A72C87">
        <w:rPr>
          <w:color w:val="000000" w:themeColor="text1"/>
        </w:rPr>
        <w:t xml:space="preserve">OGC </w:t>
      </w:r>
      <w:r w:rsidR="00A67B9B">
        <w:rPr>
          <w:color w:val="000000" w:themeColor="text1"/>
        </w:rPr>
        <w:t xml:space="preserve">concluded </w:t>
      </w:r>
      <w:r w:rsidR="00A04F9D">
        <w:rPr>
          <w:color w:val="000000" w:themeColor="text1"/>
        </w:rPr>
        <w:t xml:space="preserve">that </w:t>
      </w:r>
      <w:r w:rsidR="00F50A25">
        <w:rPr>
          <w:color w:val="000000" w:themeColor="text1"/>
        </w:rPr>
        <w:t>“</w:t>
      </w:r>
      <w:r w:rsidR="00A67B9B">
        <w:rPr>
          <w:color w:val="000000" w:themeColor="text1"/>
        </w:rPr>
        <w:t>…</w:t>
      </w:r>
      <w:r w:rsidR="00F50A25" w:rsidRPr="00F50A25">
        <w:rPr>
          <w:bdr w:val="none" w:sz="0" w:space="0" w:color="auto" w:frame="1"/>
        </w:rPr>
        <w:t xml:space="preserve"> the PREP Act, in conjunction</w:t>
      </w:r>
      <w:r w:rsidR="00A67B9B">
        <w:rPr>
          <w:bdr w:val="none" w:sz="0" w:space="0" w:color="auto" w:frame="1"/>
        </w:rPr>
        <w:t xml:space="preserve"> </w:t>
      </w:r>
      <w:r w:rsidR="00F50A25" w:rsidRPr="00F50A25">
        <w:rPr>
          <w:bdr w:val="none" w:sz="0" w:space="0" w:color="auto" w:frame="1"/>
        </w:rPr>
        <w:t>with the Secretary’s March 10, 2020 declaration, preempts any state or local requirement that prohibits</w:t>
      </w:r>
      <w:r w:rsidR="00A67B9B">
        <w:rPr>
          <w:bdr w:val="none" w:sz="0" w:space="0" w:color="auto" w:frame="1"/>
        </w:rPr>
        <w:t xml:space="preserve"> </w:t>
      </w:r>
      <w:r w:rsidR="00F50A25" w:rsidRPr="00F50A25">
        <w:rPr>
          <w:bdr w:val="none" w:sz="0" w:space="0" w:color="auto" w:frame="1"/>
        </w:rPr>
        <w:t>or effectively prohibits a pharmacist from ordering and administering a COVID-19 diagnostic test</w:t>
      </w:r>
      <w:r w:rsidR="00A67B9B">
        <w:rPr>
          <w:bdr w:val="none" w:sz="0" w:space="0" w:color="auto" w:frame="1"/>
        </w:rPr>
        <w:t xml:space="preserve"> </w:t>
      </w:r>
      <w:r w:rsidR="00F50A25" w:rsidRPr="00F50A25">
        <w:rPr>
          <w:bdr w:val="none" w:sz="0" w:space="0" w:color="auto" w:frame="1"/>
        </w:rPr>
        <w:t>that the Food and Drug Administration (FDA) has authorized.</w:t>
      </w:r>
      <w:r w:rsidR="00A67B9B">
        <w:rPr>
          <w:bdr w:val="none" w:sz="0" w:space="0" w:color="auto" w:frame="1"/>
        </w:rPr>
        <w:t>”</w:t>
      </w:r>
      <w:r w:rsidR="009E3816">
        <w:rPr>
          <w:rStyle w:val="FootnoteReference"/>
          <w:bdr w:val="none" w:sz="0" w:space="0" w:color="auto" w:frame="1"/>
        </w:rPr>
        <w:footnoteReference w:id="9"/>
      </w:r>
    </w:p>
    <w:p w14:paraId="3C8AFE8E" w14:textId="77777777" w:rsidR="00F50A25" w:rsidRDefault="00F50A25" w:rsidP="00F50A25">
      <w:pPr>
        <w:spacing w:line="360" w:lineRule="auto"/>
        <w:rPr>
          <w:color w:val="000000" w:themeColor="text1"/>
        </w:rPr>
      </w:pPr>
    </w:p>
    <w:p w14:paraId="4231B801" w14:textId="10156FE0" w:rsidR="004510CF" w:rsidRDefault="004510CF" w:rsidP="004510CF">
      <w:pPr>
        <w:spacing w:line="360" w:lineRule="auto"/>
        <w:rPr>
          <w:color w:val="000000" w:themeColor="text1"/>
        </w:rPr>
      </w:pPr>
      <w:r>
        <w:rPr>
          <w:color w:val="000000" w:themeColor="text1"/>
        </w:rPr>
        <w:t>This document addresses</w:t>
      </w:r>
      <w:r w:rsidR="000934E4">
        <w:rPr>
          <w:color w:val="000000" w:themeColor="text1"/>
        </w:rPr>
        <w:t xml:space="preserve"> below</w:t>
      </w:r>
      <w:r>
        <w:rPr>
          <w:color w:val="000000" w:themeColor="text1"/>
        </w:rPr>
        <w:t xml:space="preserve">: (1) the necessary conditions for issuing a PREP Act declaration; (2) content and duration of the declaration; (3) liability protections provided by the act; and (4) limits on </w:t>
      </w:r>
      <w:r>
        <w:rPr>
          <w:color w:val="000000" w:themeColor="text1"/>
        </w:rPr>
        <w:lastRenderedPageBreak/>
        <w:t>immunity and compensation for injury.</w:t>
      </w:r>
      <w:r w:rsidR="00761F62">
        <w:rPr>
          <w:color w:val="000000" w:themeColor="text1"/>
        </w:rPr>
        <w:t xml:space="preserve"> Aspects of the HHS OGC opinion</w:t>
      </w:r>
      <w:r w:rsidR="00A34628">
        <w:rPr>
          <w:color w:val="000000" w:themeColor="text1"/>
        </w:rPr>
        <w:t>s</w:t>
      </w:r>
      <w:r w:rsidR="00761F62">
        <w:rPr>
          <w:color w:val="000000" w:themeColor="text1"/>
        </w:rPr>
        <w:t xml:space="preserve"> are incorporated into this document in </w:t>
      </w:r>
      <w:r w:rsidR="000934E4">
        <w:rPr>
          <w:color w:val="000000" w:themeColor="text1"/>
        </w:rPr>
        <w:t>relevant sections</w:t>
      </w:r>
      <w:r w:rsidR="00761F62">
        <w:rPr>
          <w:color w:val="000000" w:themeColor="text1"/>
        </w:rPr>
        <w:t>.</w:t>
      </w:r>
    </w:p>
    <w:p w14:paraId="147AB300" w14:textId="77777777" w:rsidR="004510CF" w:rsidRPr="00547FAC" w:rsidRDefault="004510CF" w:rsidP="004A7AC5">
      <w:pPr>
        <w:spacing w:line="360" w:lineRule="auto"/>
        <w:rPr>
          <w:color w:val="000000" w:themeColor="text1"/>
        </w:rPr>
      </w:pPr>
    </w:p>
    <w:p w14:paraId="1CBE9380" w14:textId="475B4598" w:rsidR="0022166D" w:rsidRPr="0027575E" w:rsidRDefault="001222A2" w:rsidP="00197AE4">
      <w:pPr>
        <w:keepNext/>
        <w:keepLines/>
        <w:spacing w:line="360" w:lineRule="auto"/>
        <w:rPr>
          <w:rFonts w:eastAsia="Times New Roman" w:cs="Arial"/>
          <w:b/>
          <w:bCs/>
          <w:color w:val="000000" w:themeColor="text1"/>
          <w:sz w:val="24"/>
          <w:szCs w:val="24"/>
        </w:rPr>
      </w:pPr>
      <w:r w:rsidRPr="0027575E">
        <w:rPr>
          <w:rFonts w:eastAsia="Times New Roman" w:cs="Arial"/>
          <w:b/>
          <w:bCs/>
          <w:color w:val="000000" w:themeColor="text1"/>
          <w:sz w:val="24"/>
          <w:szCs w:val="24"/>
        </w:rPr>
        <w:t>PREP Act Declarations</w:t>
      </w:r>
      <w:r w:rsidR="00197AE4" w:rsidRPr="0027575E">
        <w:rPr>
          <w:rFonts w:eastAsia="Times New Roman" w:cs="Arial"/>
          <w:b/>
          <w:bCs/>
          <w:color w:val="000000" w:themeColor="text1"/>
          <w:sz w:val="24"/>
          <w:szCs w:val="24"/>
        </w:rPr>
        <w:t xml:space="preserve"> Requirements</w:t>
      </w:r>
    </w:p>
    <w:p w14:paraId="77BD0221" w14:textId="144C3DF8" w:rsidR="006675EA" w:rsidRDefault="001222A2" w:rsidP="001222A2">
      <w:pPr>
        <w:spacing w:line="360" w:lineRule="auto"/>
      </w:pPr>
      <w:r w:rsidRPr="00547FAC">
        <w:t xml:space="preserve">Before issuing a PREP Act declaration, the </w:t>
      </w:r>
      <w:r w:rsidR="008D69CD">
        <w:t>HHS S</w:t>
      </w:r>
      <w:r w:rsidRPr="00547FAC">
        <w:t xml:space="preserve">ecretary must determine that a disease, </w:t>
      </w:r>
      <w:r w:rsidR="00C309A2">
        <w:t xml:space="preserve">health </w:t>
      </w:r>
      <w:r w:rsidRPr="00547FAC">
        <w:t xml:space="preserve">condition, or threat to health constitutes a public health emergency or </w:t>
      </w:r>
      <w:r w:rsidR="00C309A2">
        <w:t xml:space="preserve">that there is </w:t>
      </w:r>
      <w:r w:rsidRPr="00547FAC">
        <w:t xml:space="preserve">a credible risk of </w:t>
      </w:r>
      <w:r w:rsidR="0049605C">
        <w:t xml:space="preserve">a </w:t>
      </w:r>
      <w:r w:rsidRPr="00547FAC">
        <w:t xml:space="preserve">future public health emergency </w:t>
      </w:r>
      <w:r w:rsidR="00C309A2">
        <w:t xml:space="preserve">from </w:t>
      </w:r>
      <w:r w:rsidR="00C309A2" w:rsidRPr="00547FAC">
        <w:t>a disease,</w:t>
      </w:r>
      <w:r w:rsidR="00C309A2">
        <w:t xml:space="preserve"> </w:t>
      </w:r>
      <w:r w:rsidR="00C309A2" w:rsidRPr="00547FAC">
        <w:t>condition, or threat</w:t>
      </w:r>
      <w:r w:rsidR="00C309A2">
        <w:t xml:space="preserve"> to health.</w:t>
      </w:r>
      <w:r w:rsidR="00C309A2">
        <w:rPr>
          <w:rStyle w:val="FootnoteReference"/>
        </w:rPr>
        <w:footnoteReference w:id="10"/>
      </w:r>
      <w:r w:rsidR="00C309A2">
        <w:t xml:space="preserve"> </w:t>
      </w:r>
      <w:r w:rsidR="008D69CD">
        <w:t xml:space="preserve">Once the secretary has made such a determination, the secretary may issue a declaration specifying the </w:t>
      </w:r>
      <w:r w:rsidR="008D69CD" w:rsidRPr="008D69CD">
        <w:t xml:space="preserve">manufacture, testing, development, distribution, administration, or use of one or more covered countermeasures and </w:t>
      </w:r>
      <w:r w:rsidR="008D69CD">
        <w:t>that PREP Act liability protections apply</w:t>
      </w:r>
      <w:r w:rsidR="006675EA">
        <w:t xml:space="preserve"> to the activities identified</w:t>
      </w:r>
      <w:r w:rsidR="008D69CD" w:rsidRPr="008D69CD">
        <w:t>.</w:t>
      </w:r>
      <w:r w:rsidR="008D69CD">
        <w:rPr>
          <w:rStyle w:val="FootnoteReference"/>
        </w:rPr>
        <w:footnoteReference w:id="11"/>
      </w:r>
      <w:r w:rsidR="003E7579">
        <w:t xml:space="preserve"> </w:t>
      </w:r>
    </w:p>
    <w:p w14:paraId="20917BA6" w14:textId="77777777" w:rsidR="006675EA" w:rsidRDefault="006675EA" w:rsidP="001222A2">
      <w:pPr>
        <w:spacing w:line="360" w:lineRule="auto"/>
      </w:pPr>
    </w:p>
    <w:p w14:paraId="48C7F329" w14:textId="179EA09C" w:rsidR="006675EA" w:rsidRPr="00A21B75" w:rsidRDefault="006675EA" w:rsidP="006649BC">
      <w:pPr>
        <w:spacing w:after="120" w:line="360" w:lineRule="auto"/>
        <w:rPr>
          <w:rFonts w:cstheme="minorHAnsi"/>
        </w:rPr>
      </w:pPr>
      <w:r w:rsidRPr="00A21B75">
        <w:rPr>
          <w:rFonts w:cstheme="minorHAnsi"/>
        </w:rPr>
        <w:t>The PREP Act specifies the items the HHS Secretary must identify for each covered countermeasure noted in the declaration</w:t>
      </w:r>
      <w:r w:rsidR="006A503F" w:rsidRPr="00A21B75">
        <w:rPr>
          <w:rFonts w:cstheme="minorHAnsi"/>
        </w:rPr>
        <w:t>:</w:t>
      </w:r>
      <w:r w:rsidRPr="00A21B75">
        <w:rPr>
          <w:rFonts w:cstheme="minorHAnsi"/>
        </w:rPr>
        <w:t xml:space="preserve"> </w:t>
      </w:r>
    </w:p>
    <w:p w14:paraId="4DFF0C7C" w14:textId="715F4AEC" w:rsidR="006A503F" w:rsidRPr="00A21B75" w:rsidRDefault="00A21B75" w:rsidP="006649BC">
      <w:pPr>
        <w:pStyle w:val="ListParagraph"/>
        <w:numPr>
          <w:ilvl w:val="0"/>
          <w:numId w:val="3"/>
        </w:numPr>
        <w:spacing w:after="120" w:line="360" w:lineRule="auto"/>
        <w:contextualSpacing w:val="0"/>
        <w:textAlignment w:val="baseline"/>
        <w:rPr>
          <w:rFonts w:eastAsia="Times New Roman" w:cstheme="minorHAnsi"/>
          <w:color w:val="000000" w:themeColor="text1"/>
        </w:rPr>
      </w:pPr>
      <w:r w:rsidRPr="00A21B75">
        <w:rPr>
          <w:rFonts w:eastAsia="Times New Roman" w:cstheme="minorHAnsi"/>
          <w:b/>
          <w:bCs/>
          <w:color w:val="000000" w:themeColor="text1"/>
        </w:rPr>
        <w:t>Diseases/Conditions Covered</w:t>
      </w:r>
      <w:r>
        <w:rPr>
          <w:rFonts w:eastAsia="Times New Roman" w:cstheme="minorHAnsi"/>
          <w:b/>
          <w:bCs/>
          <w:color w:val="000000" w:themeColor="text1"/>
        </w:rPr>
        <w:t xml:space="preserve"> </w:t>
      </w:r>
      <w:r w:rsidRPr="00A21B75">
        <w:rPr>
          <w:rFonts w:eastAsia="Times New Roman" w:cstheme="minorHAnsi"/>
          <w:color w:val="000000" w:themeColor="text1"/>
        </w:rPr>
        <w:t xml:space="preserve">– </w:t>
      </w:r>
      <w:r w:rsidR="006A503F" w:rsidRPr="0049605C">
        <w:rPr>
          <w:rFonts w:eastAsia="Times New Roman" w:cstheme="minorHAnsi"/>
        </w:rPr>
        <w:t xml:space="preserve">The category of diseases, health conditions, or health threats for which the secretary </w:t>
      </w:r>
      <w:r w:rsidR="006A503F" w:rsidRPr="0049605C">
        <w:rPr>
          <w:rFonts w:eastAsia="Times New Roman" w:cstheme="minorHAnsi"/>
          <w:bdr w:val="none" w:sz="0" w:space="0" w:color="auto" w:frame="1"/>
        </w:rPr>
        <w:t>recommends the administration or use of the countermeasure</w:t>
      </w:r>
      <w:r w:rsidR="006816F9" w:rsidRPr="0049605C">
        <w:rPr>
          <w:rFonts w:eastAsia="Times New Roman" w:cstheme="minorHAnsi"/>
          <w:bdr w:val="none" w:sz="0" w:space="0" w:color="auto" w:frame="1"/>
        </w:rPr>
        <w:t>.</w:t>
      </w:r>
      <w:r w:rsidR="006A503F" w:rsidRPr="0049605C">
        <w:rPr>
          <w:rStyle w:val="FootnoteReference"/>
          <w:rFonts w:eastAsia="Times New Roman" w:cstheme="minorHAnsi"/>
          <w:bdr w:val="none" w:sz="0" w:space="0" w:color="auto" w:frame="1"/>
        </w:rPr>
        <w:footnoteReference w:id="12"/>
      </w:r>
    </w:p>
    <w:p w14:paraId="33E05571" w14:textId="45865980" w:rsidR="006A503F" w:rsidRPr="00B3177F" w:rsidRDefault="00B14D9E" w:rsidP="006649BC">
      <w:pPr>
        <w:pStyle w:val="ListParagraph"/>
        <w:numPr>
          <w:ilvl w:val="0"/>
          <w:numId w:val="3"/>
        </w:numPr>
        <w:spacing w:after="120" w:line="360" w:lineRule="auto"/>
        <w:contextualSpacing w:val="0"/>
        <w:textAlignment w:val="baseline"/>
        <w:rPr>
          <w:rFonts w:eastAsia="Times New Roman" w:cstheme="minorHAnsi"/>
          <w:color w:val="000000" w:themeColor="text1"/>
        </w:rPr>
      </w:pPr>
      <w:r w:rsidRPr="00B14D9E">
        <w:rPr>
          <w:rFonts w:eastAsia="Times New Roman" w:cstheme="minorHAnsi"/>
          <w:b/>
          <w:bCs/>
          <w:color w:val="000000" w:themeColor="text1"/>
        </w:rPr>
        <w:t xml:space="preserve">Effective </w:t>
      </w:r>
      <w:r w:rsidR="00A21B75" w:rsidRPr="00B14D9E">
        <w:rPr>
          <w:rFonts w:eastAsia="Times New Roman" w:cstheme="minorHAnsi"/>
          <w:b/>
          <w:bCs/>
          <w:color w:val="000000" w:themeColor="text1"/>
        </w:rPr>
        <w:t>Time Period</w:t>
      </w:r>
      <w:r w:rsidR="00A21B75">
        <w:rPr>
          <w:rFonts w:eastAsia="Times New Roman" w:cstheme="minorHAnsi"/>
          <w:color w:val="000000" w:themeColor="text1"/>
        </w:rPr>
        <w:t xml:space="preserve"> – </w:t>
      </w:r>
      <w:r w:rsidR="006A503F" w:rsidRPr="00A21B75">
        <w:rPr>
          <w:rFonts w:eastAsia="Times New Roman" w:cstheme="minorHAnsi"/>
          <w:color w:val="000000" w:themeColor="text1"/>
        </w:rPr>
        <w:t>T</w:t>
      </w:r>
      <w:r w:rsidR="006A503F" w:rsidRPr="0049605C">
        <w:rPr>
          <w:rFonts w:eastAsia="Times New Roman" w:cstheme="minorHAnsi"/>
        </w:rPr>
        <w:t>he effective time period(s) of the declaration may be designated by dates, milestones, or other descriptive events such as</w:t>
      </w:r>
      <w:r w:rsidR="00B3177F" w:rsidRPr="0049605C">
        <w:rPr>
          <w:rFonts w:eastAsia="Times New Roman" w:cstheme="minorHAnsi"/>
        </w:rPr>
        <w:t>,</w:t>
      </w:r>
      <w:r w:rsidR="006A503F" w:rsidRPr="0049605C">
        <w:rPr>
          <w:rFonts w:eastAsia="Times New Roman" w:cstheme="minorHAnsi"/>
        </w:rPr>
        <w:t xml:space="preserve"> </w:t>
      </w:r>
      <w:r w:rsidR="007E24BA" w:rsidRPr="0049605C">
        <w:rPr>
          <w:rFonts w:eastAsia="Times New Roman" w:cstheme="minorHAnsi"/>
        </w:rPr>
        <w:t>among other things, the development or distribution of a covered countermeasure</w:t>
      </w:r>
      <w:r w:rsidR="006816F9" w:rsidRPr="0049605C">
        <w:rPr>
          <w:rFonts w:eastAsia="Times New Roman" w:cstheme="minorHAnsi"/>
        </w:rPr>
        <w:t>.</w:t>
      </w:r>
      <w:r w:rsidR="007E24BA" w:rsidRPr="0049605C">
        <w:rPr>
          <w:rStyle w:val="FootnoteReference"/>
          <w:rFonts w:eastAsia="Times New Roman" w:cstheme="minorHAnsi"/>
        </w:rPr>
        <w:footnoteReference w:id="13"/>
      </w:r>
      <w:r w:rsidR="00B3177F" w:rsidRPr="0049605C">
        <w:rPr>
          <w:rFonts w:eastAsia="Times New Roman" w:cstheme="minorHAnsi"/>
        </w:rPr>
        <w:t xml:space="preserve"> The act provides the secretary with flexibility to designate different effective time periods for different covered persons to address logistical, practical</w:t>
      </w:r>
      <w:r w:rsidR="0049605C">
        <w:rPr>
          <w:rFonts w:eastAsia="Times New Roman" w:cstheme="minorHAnsi"/>
        </w:rPr>
        <w:t>,</w:t>
      </w:r>
      <w:r w:rsidR="00B3177F" w:rsidRPr="0049605C">
        <w:rPr>
          <w:rFonts w:eastAsia="Times New Roman" w:cstheme="minorHAnsi"/>
        </w:rPr>
        <w:t xml:space="preserve"> or other differences in responsibilities.</w:t>
      </w:r>
      <w:r w:rsidR="00B3177F" w:rsidRPr="0049605C">
        <w:rPr>
          <w:rStyle w:val="FootnoteReference"/>
          <w:rFonts w:eastAsia="Times New Roman" w:cstheme="minorHAnsi"/>
        </w:rPr>
        <w:footnoteReference w:id="14"/>
      </w:r>
      <w:r w:rsidR="00B3177F" w:rsidRPr="0049605C">
        <w:rPr>
          <w:rFonts w:eastAsia="Times New Roman" w:cstheme="minorHAnsi"/>
        </w:rPr>
        <w:t xml:space="preserve"> The secretary is also empowered to determine another date after the specified end date listed in the declaration to allow for a reasonable period for the manufacturer of a countermeasure to arrange for disposition of the covered countermeasure, including the return of </w:t>
      </w:r>
      <w:r w:rsidR="0049605C">
        <w:rPr>
          <w:rFonts w:eastAsia="Times New Roman" w:cstheme="minorHAnsi"/>
        </w:rPr>
        <w:t>the</w:t>
      </w:r>
      <w:r w:rsidR="00B3177F" w:rsidRPr="0049605C">
        <w:rPr>
          <w:rFonts w:eastAsia="Times New Roman" w:cstheme="minorHAnsi"/>
        </w:rPr>
        <w:t xml:space="preserve"> product to the manufacturer, and for covered persons </w:t>
      </w:r>
      <w:r w:rsidR="00B3177F" w:rsidRPr="0049605C">
        <w:rPr>
          <w:rFonts w:eastAsia="Times New Roman" w:cstheme="minorHAnsi"/>
        </w:rPr>
        <w:lastRenderedPageBreak/>
        <w:t>to limit administration or use of the covered countermeasure.</w:t>
      </w:r>
      <w:r w:rsidR="00B3177F" w:rsidRPr="0049605C">
        <w:rPr>
          <w:rStyle w:val="FootnoteReference"/>
          <w:rFonts w:eastAsia="Times New Roman" w:cstheme="minorHAnsi"/>
        </w:rPr>
        <w:footnoteReference w:id="15"/>
      </w:r>
      <w:r w:rsidR="00C3406A" w:rsidRPr="0049605C">
        <w:rPr>
          <w:rFonts w:eastAsia="Times New Roman" w:cstheme="minorHAnsi"/>
        </w:rPr>
        <w:t xml:space="preserve"> Finally, if a covered countermeasure included in the strategic national stockpile</w:t>
      </w:r>
      <w:r w:rsidR="0049605C">
        <w:rPr>
          <w:rFonts w:eastAsia="Times New Roman" w:cstheme="minorHAnsi"/>
        </w:rPr>
        <w:t xml:space="preserve"> (SNS) was also the subject of a </w:t>
      </w:r>
      <w:r w:rsidR="0049605C" w:rsidRPr="0049605C">
        <w:rPr>
          <w:rFonts w:eastAsia="Times New Roman" w:cstheme="minorHAnsi"/>
        </w:rPr>
        <w:t xml:space="preserve">PREP Act declaration </w:t>
      </w:r>
      <w:r w:rsidR="00C3406A" w:rsidRPr="0049605C">
        <w:rPr>
          <w:rFonts w:eastAsia="Times New Roman" w:cstheme="minorHAnsi"/>
        </w:rPr>
        <w:t xml:space="preserve">at the time it was obtained for the SNS, the declaration’s effective period should include a </w:t>
      </w:r>
      <w:r w:rsidR="0049605C">
        <w:rPr>
          <w:rFonts w:eastAsia="Times New Roman" w:cstheme="minorHAnsi"/>
        </w:rPr>
        <w:t xml:space="preserve">time </w:t>
      </w:r>
      <w:r w:rsidR="00C3406A" w:rsidRPr="0049605C">
        <w:rPr>
          <w:rFonts w:eastAsia="Times New Roman" w:cstheme="minorHAnsi"/>
        </w:rPr>
        <w:t>period when the countermeasure is used pursuant to a release from the stockpile.</w:t>
      </w:r>
      <w:r w:rsidR="00C3406A" w:rsidRPr="0049605C">
        <w:rPr>
          <w:rStyle w:val="FootnoteReference"/>
          <w:rFonts w:eastAsia="Times New Roman" w:cstheme="minorHAnsi"/>
        </w:rPr>
        <w:footnoteReference w:id="16"/>
      </w:r>
    </w:p>
    <w:p w14:paraId="790C9F4C" w14:textId="625D3873" w:rsidR="001222A2" w:rsidRPr="00A21B75" w:rsidRDefault="00B14D9E" w:rsidP="006649BC">
      <w:pPr>
        <w:pStyle w:val="ListParagraph"/>
        <w:numPr>
          <w:ilvl w:val="0"/>
          <w:numId w:val="3"/>
        </w:numPr>
        <w:spacing w:after="120" w:line="360" w:lineRule="auto"/>
        <w:contextualSpacing w:val="0"/>
        <w:textAlignment w:val="baseline"/>
        <w:rPr>
          <w:rFonts w:eastAsia="Times New Roman" w:cstheme="minorHAnsi"/>
          <w:color w:val="000000" w:themeColor="text1"/>
        </w:rPr>
      </w:pPr>
      <w:r w:rsidRPr="00EB42F8">
        <w:rPr>
          <w:rFonts w:eastAsia="Times New Roman" w:cstheme="minorHAnsi"/>
          <w:b/>
          <w:bCs/>
          <w:color w:val="000000" w:themeColor="text1"/>
        </w:rPr>
        <w:t>Population Cove</w:t>
      </w:r>
      <w:r w:rsidR="00EB42F8" w:rsidRPr="00EB42F8">
        <w:rPr>
          <w:rFonts w:eastAsia="Times New Roman" w:cstheme="minorHAnsi"/>
          <w:b/>
          <w:bCs/>
          <w:color w:val="000000" w:themeColor="text1"/>
        </w:rPr>
        <w:t>red</w:t>
      </w:r>
      <w:r w:rsidR="00EB42F8">
        <w:rPr>
          <w:rFonts w:eastAsia="Times New Roman" w:cstheme="minorHAnsi"/>
          <w:color w:val="000000" w:themeColor="text1"/>
        </w:rPr>
        <w:t xml:space="preserve"> – </w:t>
      </w:r>
      <w:r w:rsidR="001222A2" w:rsidRPr="0049605C">
        <w:rPr>
          <w:rFonts w:eastAsia="Times New Roman" w:cstheme="minorHAnsi"/>
        </w:rPr>
        <w:t>The population</w:t>
      </w:r>
      <w:r w:rsidR="00F307B5" w:rsidRPr="0049605C">
        <w:rPr>
          <w:rFonts w:eastAsia="Times New Roman" w:cstheme="minorHAnsi"/>
        </w:rPr>
        <w:t>(s)</w:t>
      </w:r>
      <w:r w:rsidR="001222A2" w:rsidRPr="0049605C">
        <w:rPr>
          <w:rFonts w:eastAsia="Times New Roman" w:cstheme="minorHAnsi"/>
        </w:rPr>
        <w:t xml:space="preserve"> of individuals receiving the countermeasure</w:t>
      </w:r>
      <w:r w:rsidR="00F307B5" w:rsidRPr="0049605C">
        <w:rPr>
          <w:rFonts w:eastAsia="Times New Roman" w:cstheme="minorHAnsi"/>
        </w:rPr>
        <w:t>, including specifying that the declaration ap</w:t>
      </w:r>
      <w:r w:rsidR="00F307B5" w:rsidRPr="0049605C">
        <w:rPr>
          <w:rFonts w:eastAsia="Times New Roman" w:cstheme="minorHAnsi"/>
          <w:bdr w:val="none" w:sz="0" w:space="0" w:color="auto" w:frame="1"/>
        </w:rPr>
        <w:t>plies without geographic limitation to all individuals</w:t>
      </w:r>
      <w:r w:rsidR="0049605C">
        <w:rPr>
          <w:rFonts w:eastAsia="Times New Roman" w:cstheme="minorHAnsi"/>
          <w:bdr w:val="none" w:sz="0" w:space="0" w:color="auto" w:frame="1"/>
        </w:rPr>
        <w:t>.</w:t>
      </w:r>
      <w:r w:rsidR="00F307B5" w:rsidRPr="0049605C">
        <w:rPr>
          <w:rStyle w:val="FootnoteReference"/>
          <w:rFonts w:eastAsia="Times New Roman" w:cstheme="minorHAnsi"/>
          <w:bdr w:val="none" w:sz="0" w:space="0" w:color="auto" w:frame="1"/>
        </w:rPr>
        <w:footnoteReference w:id="17"/>
      </w:r>
    </w:p>
    <w:p w14:paraId="7448301A" w14:textId="53637D24" w:rsidR="001222A2" w:rsidRPr="0049605C" w:rsidRDefault="00EB42F8" w:rsidP="006649BC">
      <w:pPr>
        <w:pStyle w:val="ListParagraph"/>
        <w:numPr>
          <w:ilvl w:val="0"/>
          <w:numId w:val="3"/>
        </w:numPr>
        <w:spacing w:after="120" w:line="360" w:lineRule="auto"/>
        <w:contextualSpacing w:val="0"/>
        <w:textAlignment w:val="baseline"/>
        <w:rPr>
          <w:rFonts w:eastAsia="Times New Roman" w:cstheme="minorHAnsi"/>
        </w:rPr>
      </w:pPr>
      <w:r w:rsidRPr="00EB42F8">
        <w:rPr>
          <w:rFonts w:eastAsia="Times New Roman" w:cstheme="minorHAnsi"/>
          <w:b/>
          <w:bCs/>
          <w:color w:val="000000" w:themeColor="text1"/>
        </w:rPr>
        <w:t>Geographic Area Covered</w:t>
      </w:r>
      <w:r>
        <w:rPr>
          <w:rFonts w:eastAsia="Times New Roman" w:cstheme="minorHAnsi"/>
          <w:color w:val="000000" w:themeColor="text1"/>
        </w:rPr>
        <w:t xml:space="preserve"> – </w:t>
      </w:r>
      <w:r w:rsidRPr="0049605C">
        <w:rPr>
          <w:rFonts w:eastAsia="Times New Roman" w:cstheme="minorHAnsi"/>
        </w:rPr>
        <w:t>Any li</w:t>
      </w:r>
      <w:r w:rsidR="001222A2" w:rsidRPr="0049605C">
        <w:rPr>
          <w:rFonts w:eastAsia="Times New Roman" w:cstheme="minorHAnsi"/>
        </w:rPr>
        <w:t>mitations</w:t>
      </w:r>
      <w:r w:rsidR="00F307B5" w:rsidRPr="0049605C">
        <w:rPr>
          <w:rFonts w:eastAsia="Times New Roman" w:cstheme="minorHAnsi"/>
        </w:rPr>
        <w:t xml:space="preserve"> </w:t>
      </w:r>
      <w:r w:rsidR="001222A2" w:rsidRPr="0049605C">
        <w:rPr>
          <w:rFonts w:eastAsia="Times New Roman" w:cstheme="minorHAnsi"/>
        </w:rPr>
        <w:t>on the geographic area</w:t>
      </w:r>
      <w:r w:rsidR="00F307B5" w:rsidRPr="0049605C">
        <w:rPr>
          <w:rFonts w:eastAsia="Times New Roman" w:cstheme="minorHAnsi"/>
        </w:rPr>
        <w:t>s(s)</w:t>
      </w:r>
      <w:r w:rsidR="001222A2" w:rsidRPr="0049605C">
        <w:rPr>
          <w:rFonts w:eastAsia="Times New Roman" w:cstheme="minorHAnsi"/>
        </w:rPr>
        <w:t xml:space="preserve"> for which immunity is in effect</w:t>
      </w:r>
      <w:r w:rsidR="00F307B5" w:rsidRPr="0049605C">
        <w:rPr>
          <w:rFonts w:eastAsia="Times New Roman" w:cstheme="minorHAnsi"/>
        </w:rPr>
        <w:t>, including specifying that the declaration ap</w:t>
      </w:r>
      <w:r w:rsidR="00F307B5" w:rsidRPr="0049605C">
        <w:rPr>
          <w:rFonts w:eastAsia="Times New Roman" w:cstheme="minorHAnsi"/>
          <w:bdr w:val="none" w:sz="0" w:space="0" w:color="auto" w:frame="1"/>
        </w:rPr>
        <w:t>plies without geographic limitation.</w:t>
      </w:r>
      <w:r w:rsidR="00F307B5" w:rsidRPr="0049605C">
        <w:rPr>
          <w:rStyle w:val="FootnoteReference"/>
          <w:rFonts w:eastAsia="Times New Roman" w:cstheme="minorHAnsi"/>
          <w:bdr w:val="none" w:sz="0" w:space="0" w:color="auto" w:frame="1"/>
        </w:rPr>
        <w:footnoteReference w:id="18"/>
      </w:r>
      <w:r w:rsidR="00F307B5" w:rsidRPr="0049605C">
        <w:rPr>
          <w:rFonts w:eastAsia="Times New Roman" w:cstheme="minorHAnsi"/>
          <w:bdr w:val="none" w:sz="0" w:space="0" w:color="auto" w:frame="1"/>
        </w:rPr>
        <w:t xml:space="preserve"> </w:t>
      </w:r>
      <w:r w:rsidR="00D10EC0" w:rsidRPr="0049605C">
        <w:rPr>
          <w:rFonts w:eastAsia="Times New Roman" w:cstheme="minorHAnsi"/>
          <w:bdr w:val="none" w:sz="0" w:space="0" w:color="auto" w:frame="1"/>
        </w:rPr>
        <w:t>Regarding the covered population(s), the secretary may also determine if the declaration applies only to individuals physically present in the covered geographic area</w:t>
      </w:r>
      <w:r w:rsidR="0049605C">
        <w:rPr>
          <w:rFonts w:eastAsia="Times New Roman" w:cstheme="minorHAnsi"/>
          <w:bdr w:val="none" w:sz="0" w:space="0" w:color="auto" w:frame="1"/>
        </w:rPr>
        <w:t>(</w:t>
      </w:r>
      <w:r w:rsidR="00D10EC0" w:rsidRPr="0049605C">
        <w:rPr>
          <w:rFonts w:eastAsia="Times New Roman" w:cstheme="minorHAnsi"/>
          <w:bdr w:val="none" w:sz="0" w:space="0" w:color="auto" w:frame="1"/>
        </w:rPr>
        <w:t>s</w:t>
      </w:r>
      <w:r w:rsidR="0049605C">
        <w:rPr>
          <w:rFonts w:eastAsia="Times New Roman" w:cstheme="minorHAnsi"/>
          <w:bdr w:val="none" w:sz="0" w:space="0" w:color="auto" w:frame="1"/>
        </w:rPr>
        <w:t>)</w:t>
      </w:r>
      <w:r w:rsidR="00D10EC0" w:rsidRPr="0049605C">
        <w:rPr>
          <w:rFonts w:eastAsia="Times New Roman" w:cstheme="minorHAnsi"/>
          <w:bdr w:val="none" w:sz="0" w:space="0" w:color="auto" w:frame="1"/>
        </w:rPr>
        <w:t xml:space="preserve"> or if it also applies to individuals who have a connection to the area(s) as described in the declaration</w:t>
      </w:r>
      <w:r w:rsidR="0049605C">
        <w:rPr>
          <w:rFonts w:eastAsia="Times New Roman" w:cstheme="minorHAnsi"/>
          <w:bdr w:val="none" w:sz="0" w:space="0" w:color="auto" w:frame="1"/>
        </w:rPr>
        <w:t>.</w:t>
      </w:r>
      <w:r w:rsidR="00D10EC0" w:rsidRPr="0049605C">
        <w:rPr>
          <w:rStyle w:val="FootnoteReference"/>
          <w:rFonts w:eastAsia="Times New Roman" w:cstheme="minorHAnsi"/>
          <w:bdr w:val="none" w:sz="0" w:space="0" w:color="auto" w:frame="1"/>
        </w:rPr>
        <w:footnoteReference w:id="19"/>
      </w:r>
    </w:p>
    <w:p w14:paraId="7EE513EE" w14:textId="0122891B" w:rsidR="00A21B75" w:rsidRDefault="00EB42F8" w:rsidP="004A6C9E">
      <w:pPr>
        <w:pStyle w:val="ListParagraph"/>
        <w:numPr>
          <w:ilvl w:val="0"/>
          <w:numId w:val="3"/>
        </w:numPr>
        <w:spacing w:line="360" w:lineRule="auto"/>
        <w:contextualSpacing w:val="0"/>
        <w:textAlignment w:val="baseline"/>
        <w:rPr>
          <w:rFonts w:eastAsia="Times New Roman" w:cstheme="minorHAnsi"/>
          <w:color w:val="000000" w:themeColor="text1"/>
        </w:rPr>
      </w:pPr>
      <w:r w:rsidRPr="00EB42F8">
        <w:rPr>
          <w:rFonts w:eastAsia="Times New Roman" w:cstheme="minorHAnsi"/>
          <w:b/>
          <w:bCs/>
          <w:color w:val="000000" w:themeColor="text1"/>
        </w:rPr>
        <w:t>Means of Distribution</w:t>
      </w:r>
      <w:r>
        <w:rPr>
          <w:rFonts w:eastAsia="Times New Roman" w:cstheme="minorHAnsi"/>
          <w:color w:val="000000" w:themeColor="text1"/>
        </w:rPr>
        <w:t xml:space="preserve"> –</w:t>
      </w:r>
      <w:r w:rsidR="0049605C" w:rsidRPr="0049605C">
        <w:rPr>
          <w:rFonts w:eastAsia="Times New Roman" w:cstheme="minorHAnsi"/>
        </w:rPr>
        <w:t>T</w:t>
      </w:r>
      <w:r w:rsidRPr="0049605C">
        <w:rPr>
          <w:rFonts w:eastAsia="Times New Roman" w:cstheme="minorHAnsi"/>
        </w:rPr>
        <w:t xml:space="preserve">he </w:t>
      </w:r>
      <w:r w:rsidR="0049605C" w:rsidRPr="0049605C">
        <w:rPr>
          <w:rFonts w:eastAsia="Times New Roman" w:cstheme="minorHAnsi"/>
        </w:rPr>
        <w:t>HHS S</w:t>
      </w:r>
      <w:r w:rsidRPr="0049605C">
        <w:rPr>
          <w:rFonts w:eastAsia="Times New Roman" w:cstheme="minorHAnsi"/>
        </w:rPr>
        <w:t>ecretary</w:t>
      </w:r>
      <w:r w:rsidR="00A21B75" w:rsidRPr="0049605C">
        <w:rPr>
          <w:rFonts w:eastAsia="Times New Roman" w:cstheme="minorHAnsi"/>
        </w:rPr>
        <w:t xml:space="preserve"> </w:t>
      </w:r>
      <w:r w:rsidR="0049605C" w:rsidRPr="0049605C">
        <w:rPr>
          <w:rFonts w:eastAsia="Times New Roman" w:cstheme="minorHAnsi"/>
        </w:rPr>
        <w:t xml:space="preserve">must determine </w:t>
      </w:r>
      <w:r w:rsidR="00A21B75" w:rsidRPr="0049605C">
        <w:rPr>
          <w:rFonts w:eastAsia="Times New Roman" w:cstheme="minorHAnsi"/>
        </w:rPr>
        <w:t>if the act’s immunity provisions are effective only for a specific means of distribution for obtaining the countermeasure and what those means of distribution are.</w:t>
      </w:r>
      <w:r w:rsidR="00A21B75" w:rsidRPr="0049605C">
        <w:rPr>
          <w:rStyle w:val="FootnoteReference"/>
          <w:rFonts w:eastAsia="Times New Roman" w:cstheme="minorHAnsi"/>
        </w:rPr>
        <w:footnoteReference w:id="20"/>
      </w:r>
      <w:r w:rsidR="00A21B75" w:rsidRPr="0049605C">
        <w:rPr>
          <w:rFonts w:eastAsia="Times New Roman" w:cstheme="minorHAnsi"/>
        </w:rPr>
        <w:t xml:space="preserve"> </w:t>
      </w:r>
    </w:p>
    <w:p w14:paraId="71FACB09" w14:textId="77777777" w:rsidR="003D5131" w:rsidRPr="003D5131" w:rsidRDefault="003D5131" w:rsidP="004A6C9E">
      <w:pPr>
        <w:spacing w:line="360" w:lineRule="auto"/>
        <w:textAlignment w:val="baseline"/>
        <w:rPr>
          <w:rFonts w:eastAsia="Times New Roman" w:cstheme="minorHAnsi"/>
          <w:color w:val="000000" w:themeColor="text1"/>
        </w:rPr>
      </w:pPr>
    </w:p>
    <w:p w14:paraId="6E4B1311" w14:textId="28660A1F" w:rsidR="007963A4" w:rsidRDefault="007963A4" w:rsidP="002B5A65">
      <w:pPr>
        <w:spacing w:line="360" w:lineRule="auto"/>
        <w:rPr>
          <w:rFonts w:eastAsia="Times New Roman" w:cstheme="minorHAnsi"/>
          <w:color w:val="000000" w:themeColor="text1"/>
        </w:rPr>
      </w:pPr>
      <w:r>
        <w:rPr>
          <w:rFonts w:eastAsia="Times New Roman" w:cstheme="minorHAnsi"/>
          <w:color w:val="000000" w:themeColor="text1"/>
        </w:rPr>
        <w:t xml:space="preserve">The secretary is authorized to amend a PREP Act declaration by publishing the amendment in the </w:t>
      </w:r>
      <w:r w:rsidRPr="007963A4">
        <w:rPr>
          <w:rFonts w:eastAsia="Times New Roman" w:cstheme="minorHAnsi"/>
          <w:i/>
          <w:iCs/>
          <w:color w:val="000000" w:themeColor="text1"/>
        </w:rPr>
        <w:t>Federal Register</w:t>
      </w:r>
      <w:r>
        <w:rPr>
          <w:rFonts w:eastAsia="Times New Roman" w:cstheme="minorHAnsi"/>
          <w:color w:val="000000" w:themeColor="text1"/>
        </w:rPr>
        <w:t>.</w:t>
      </w:r>
      <w:r>
        <w:rPr>
          <w:rStyle w:val="FootnoteReference"/>
          <w:rFonts w:eastAsia="Times New Roman" w:cstheme="minorHAnsi"/>
          <w:color w:val="000000" w:themeColor="text1"/>
        </w:rPr>
        <w:footnoteReference w:id="21"/>
      </w:r>
      <w:r>
        <w:rPr>
          <w:rFonts w:eastAsia="Times New Roman" w:cstheme="minorHAnsi"/>
          <w:color w:val="000000" w:themeColor="text1"/>
        </w:rPr>
        <w:t xml:space="preserve"> However, the amendment cannot retroactively limit the applicability of </w:t>
      </w:r>
      <w:r w:rsidR="00355E75">
        <w:rPr>
          <w:rFonts w:eastAsia="Times New Roman" w:cstheme="minorHAnsi"/>
          <w:color w:val="000000" w:themeColor="text1"/>
        </w:rPr>
        <w:t>the PREP Act’s immunity provisions regarding the administration or use of the covered countermeasure.</w:t>
      </w:r>
      <w:r w:rsidR="00355E75">
        <w:rPr>
          <w:rStyle w:val="FootnoteReference"/>
          <w:rFonts w:eastAsia="Times New Roman" w:cstheme="minorHAnsi"/>
          <w:color w:val="000000" w:themeColor="text1"/>
        </w:rPr>
        <w:footnoteReference w:id="22"/>
      </w:r>
      <w:r w:rsidR="00DE48BC">
        <w:rPr>
          <w:rFonts w:eastAsia="Times New Roman" w:cstheme="minorHAnsi"/>
          <w:color w:val="000000" w:themeColor="text1"/>
        </w:rPr>
        <w:t xml:space="preserve"> The secretary is required to report to Congress within 30 days of making a PREP declaration or amending </w:t>
      </w:r>
      <w:r w:rsidR="0049605C">
        <w:rPr>
          <w:rFonts w:eastAsia="Times New Roman" w:cstheme="minorHAnsi"/>
          <w:color w:val="000000" w:themeColor="text1"/>
        </w:rPr>
        <w:t>one</w:t>
      </w:r>
      <w:r w:rsidR="00DE48BC">
        <w:rPr>
          <w:rFonts w:eastAsia="Times New Roman" w:cstheme="minorHAnsi"/>
          <w:color w:val="000000" w:themeColor="text1"/>
        </w:rPr>
        <w:t>.</w:t>
      </w:r>
      <w:r w:rsidR="00DE48BC">
        <w:rPr>
          <w:rStyle w:val="FootnoteReference"/>
          <w:rFonts w:eastAsia="Times New Roman" w:cstheme="minorHAnsi"/>
          <w:color w:val="000000" w:themeColor="text1"/>
        </w:rPr>
        <w:footnoteReference w:id="23"/>
      </w:r>
    </w:p>
    <w:p w14:paraId="2306167F" w14:textId="221D13F4" w:rsidR="00DE48BC" w:rsidRDefault="00DE48BC" w:rsidP="002B5A65">
      <w:pPr>
        <w:spacing w:line="360" w:lineRule="auto"/>
        <w:rPr>
          <w:rFonts w:eastAsia="Times New Roman" w:cstheme="minorHAnsi"/>
          <w:color w:val="000000" w:themeColor="text1"/>
        </w:rPr>
      </w:pPr>
    </w:p>
    <w:p w14:paraId="69888B83" w14:textId="4D796768" w:rsidR="00DE48BC" w:rsidRDefault="00355E75" w:rsidP="00DE48BC">
      <w:pPr>
        <w:spacing w:line="360" w:lineRule="auto"/>
      </w:pPr>
      <w:r>
        <w:t xml:space="preserve">It is </w:t>
      </w:r>
      <w:r w:rsidR="006D7A2B">
        <w:t xml:space="preserve">also </w:t>
      </w:r>
      <w:r>
        <w:t>important to note that the PREP Act expressly limits judicial review by federal or state courts of any action by the secretary in making the declaration.</w:t>
      </w:r>
      <w:r>
        <w:rPr>
          <w:rStyle w:val="FootnoteReference"/>
        </w:rPr>
        <w:footnoteReference w:id="24"/>
      </w:r>
      <w:r>
        <w:t xml:space="preserve"> It also preempts state law during the effective </w:t>
      </w:r>
      <w:r>
        <w:lastRenderedPageBreak/>
        <w:t>period of the declaration or at any time conduct was undertaken in accordance with the declaration.</w:t>
      </w:r>
      <w:r w:rsidR="00FD2A67">
        <w:rPr>
          <w:rStyle w:val="FootnoteReference"/>
        </w:rPr>
        <w:footnoteReference w:id="25"/>
      </w:r>
      <w:r>
        <w:t xml:space="preserve"> Specifically, no state or political subdivision can create or enforce a law that differs or conflicts with the PREP Act</w:t>
      </w:r>
      <w:r w:rsidR="00DE48BC">
        <w:t xml:space="preserve"> and that relates to the covered countermeasures.</w:t>
      </w:r>
      <w:r w:rsidR="00DE48BC">
        <w:rPr>
          <w:rStyle w:val="FootnoteReference"/>
        </w:rPr>
        <w:footnoteReference w:id="26"/>
      </w:r>
      <w:r w:rsidR="00FD2A67">
        <w:t xml:space="preserve"> </w:t>
      </w:r>
      <w:r w:rsidR="00110CD8">
        <w:t xml:space="preserve">This </w:t>
      </w:r>
      <w:r w:rsidR="0026797C">
        <w:t>position was again reiterated in the May 19, 2020</w:t>
      </w:r>
      <w:r w:rsidR="00F40826">
        <w:t>,</w:t>
      </w:r>
      <w:r w:rsidR="0026797C">
        <w:t xml:space="preserve"> </w:t>
      </w:r>
      <w:r w:rsidR="006B0E02">
        <w:t xml:space="preserve">HHS </w:t>
      </w:r>
      <w:r w:rsidR="0026797C">
        <w:t>OGC ad</w:t>
      </w:r>
      <w:r w:rsidR="00F40826">
        <w:t xml:space="preserve">visory opinion concluding that state </w:t>
      </w:r>
      <w:r w:rsidR="001D0387">
        <w:t>l</w:t>
      </w:r>
      <w:r w:rsidR="00F40826">
        <w:t>aws could not pre</w:t>
      </w:r>
      <w:r w:rsidR="0066490F">
        <w:t xml:space="preserve">empt </w:t>
      </w:r>
      <w:r w:rsidR="00895167">
        <w:t xml:space="preserve">the </w:t>
      </w:r>
      <w:r w:rsidR="003147E1">
        <w:t xml:space="preserve">PREP Act </w:t>
      </w:r>
      <w:r w:rsidR="00895167">
        <w:t xml:space="preserve">or the HHS Secretary’s declaration </w:t>
      </w:r>
      <w:r w:rsidR="00DD4682">
        <w:t xml:space="preserve">relating to </w:t>
      </w:r>
      <w:r w:rsidR="001D0387">
        <w:t>pharmaci</w:t>
      </w:r>
      <w:r w:rsidR="003147E1">
        <w:t>es</w:t>
      </w:r>
      <w:r w:rsidR="00DD4682">
        <w:t xml:space="preserve"> </w:t>
      </w:r>
      <w:r w:rsidR="003147E1">
        <w:t>ordering and administering COVID-19 tests</w:t>
      </w:r>
      <w:r w:rsidR="00DD4682">
        <w:t>.</w:t>
      </w:r>
      <w:r w:rsidR="00DD4682">
        <w:rPr>
          <w:rStyle w:val="FootnoteReference"/>
        </w:rPr>
        <w:footnoteReference w:id="27"/>
      </w:r>
    </w:p>
    <w:p w14:paraId="0D78E13B" w14:textId="77777777" w:rsidR="0049605C" w:rsidRDefault="0049605C" w:rsidP="007963A4">
      <w:pPr>
        <w:spacing w:line="360" w:lineRule="auto"/>
        <w:rPr>
          <w:rFonts w:eastAsia="Times New Roman" w:cstheme="minorHAnsi"/>
          <w:b/>
          <w:bCs/>
          <w:color w:val="000000" w:themeColor="text1"/>
        </w:rPr>
      </w:pPr>
    </w:p>
    <w:p w14:paraId="4BB8BD6D" w14:textId="375686A9" w:rsidR="007963A4" w:rsidRPr="0027575E" w:rsidRDefault="007963A4" w:rsidP="0049605C">
      <w:pPr>
        <w:keepNext/>
        <w:keepLines/>
        <w:spacing w:line="360" w:lineRule="auto"/>
        <w:rPr>
          <w:rFonts w:eastAsia="Times New Roman" w:cstheme="minorHAnsi"/>
          <w:b/>
          <w:bCs/>
          <w:color w:val="000000" w:themeColor="text1"/>
          <w:sz w:val="24"/>
          <w:szCs w:val="24"/>
        </w:rPr>
      </w:pPr>
      <w:r w:rsidRPr="0027575E">
        <w:rPr>
          <w:rFonts w:eastAsia="Times New Roman" w:cstheme="minorHAnsi"/>
          <w:b/>
          <w:bCs/>
          <w:color w:val="000000" w:themeColor="text1"/>
          <w:sz w:val="24"/>
          <w:szCs w:val="24"/>
        </w:rPr>
        <w:t>Liability Protections</w:t>
      </w:r>
    </w:p>
    <w:p w14:paraId="2E1FFE38" w14:textId="6EDA8F40" w:rsidR="0022166D" w:rsidRDefault="0022166D" w:rsidP="00945BA9">
      <w:pPr>
        <w:spacing w:after="120" w:line="360" w:lineRule="auto"/>
      </w:pPr>
      <w:r w:rsidRPr="00547FAC">
        <w:t xml:space="preserve">The PREP Act confers immunity from liability on </w:t>
      </w:r>
      <w:r w:rsidR="00C87D51">
        <w:t>covered</w:t>
      </w:r>
      <w:r w:rsidRPr="00547FAC">
        <w:t xml:space="preserve"> persons for certain activities related to covered countermeasures</w:t>
      </w:r>
      <w:r w:rsidR="00C87D51">
        <w:t xml:space="preserve"> for which a PREP Act declaration has been issued.</w:t>
      </w:r>
      <w:r w:rsidR="00C87D51">
        <w:rPr>
          <w:rStyle w:val="FootnoteReference"/>
        </w:rPr>
        <w:footnoteReference w:id="28"/>
      </w:r>
      <w:r w:rsidR="00C87D51">
        <w:t xml:space="preserve"> </w:t>
      </w:r>
      <w:r w:rsidR="00A14602">
        <w:t xml:space="preserve">The act creates a rebuttable presumption that </w:t>
      </w:r>
      <w:r w:rsidR="00A14602" w:rsidRPr="00A14602">
        <w:t>that any administration or use</w:t>
      </w:r>
      <w:r w:rsidR="00B37EA8">
        <w:t xml:space="preserve"> </w:t>
      </w:r>
      <w:r w:rsidR="00B37EA8" w:rsidRPr="00A14602">
        <w:t>of a covered countermeasure</w:t>
      </w:r>
      <w:r w:rsidR="00A14602" w:rsidRPr="00A14602">
        <w:t xml:space="preserve"> during the effective period </w:t>
      </w:r>
      <w:r w:rsidR="00A14602">
        <w:t>of a PREP Act d</w:t>
      </w:r>
      <w:r w:rsidR="00A14602" w:rsidRPr="00A14602">
        <w:t>eclaration</w:t>
      </w:r>
      <w:r w:rsidR="00B37EA8">
        <w:t xml:space="preserve"> was for the </w:t>
      </w:r>
      <w:r w:rsidR="00A14602" w:rsidRPr="00A14602">
        <w:t xml:space="preserve">category </w:t>
      </w:r>
      <w:r w:rsidR="00B37EA8">
        <w:t xml:space="preserve">of </w:t>
      </w:r>
      <w:r w:rsidR="00A14602" w:rsidRPr="00A14602">
        <w:t xml:space="preserve">diseases, </w:t>
      </w:r>
      <w:r w:rsidR="00B37EA8">
        <w:t>c</w:t>
      </w:r>
      <w:r w:rsidR="00A14602" w:rsidRPr="00A14602">
        <w:t xml:space="preserve">onditions, or threats to health </w:t>
      </w:r>
      <w:r w:rsidR="00B37EA8">
        <w:t xml:space="preserve">for which the </w:t>
      </w:r>
      <w:r w:rsidR="00A14602" w:rsidRPr="00A14602">
        <w:t>declaration was issued.</w:t>
      </w:r>
      <w:r w:rsidR="00716026">
        <w:rPr>
          <w:rStyle w:val="FootnoteReference"/>
        </w:rPr>
        <w:footnoteReference w:id="29"/>
      </w:r>
    </w:p>
    <w:p w14:paraId="60395FD9" w14:textId="2D92A7E6" w:rsidR="000B2FD1" w:rsidRPr="00DD0E5D" w:rsidRDefault="0022166D" w:rsidP="00945BA9">
      <w:pPr>
        <w:pStyle w:val="ListParagraph"/>
        <w:numPr>
          <w:ilvl w:val="0"/>
          <w:numId w:val="2"/>
        </w:numPr>
        <w:spacing w:after="120" w:line="360" w:lineRule="auto"/>
        <w:contextualSpacing w:val="0"/>
        <w:textAlignment w:val="baseline"/>
        <w:rPr>
          <w:rFonts w:eastAsia="Times New Roman" w:cs="Arial"/>
          <w:color w:val="000000" w:themeColor="text1"/>
          <w:bdr w:val="none" w:sz="0" w:space="0" w:color="auto" w:frame="1"/>
        </w:rPr>
      </w:pPr>
      <w:r w:rsidRPr="00DD0E5D">
        <w:rPr>
          <w:rFonts w:eastAsia="Times New Roman" w:cs="Arial"/>
          <w:b/>
          <w:bCs/>
          <w:color w:val="000000" w:themeColor="text1"/>
          <w:bdr w:val="none" w:sz="0" w:space="0" w:color="auto" w:frame="1"/>
        </w:rPr>
        <w:t>Persons Covered—</w:t>
      </w:r>
      <w:r w:rsidRPr="00DD0E5D">
        <w:rPr>
          <w:rFonts w:eastAsia="Times New Roman" w:cs="Arial"/>
          <w:color w:val="000000" w:themeColor="text1"/>
        </w:rPr>
        <w:t xml:space="preserve">PREP Act </w:t>
      </w:r>
      <w:r w:rsidR="0049605C" w:rsidRPr="00DD0E5D">
        <w:rPr>
          <w:rFonts w:eastAsia="Times New Roman" w:cs="Arial"/>
          <w:color w:val="000000" w:themeColor="text1"/>
        </w:rPr>
        <w:t xml:space="preserve">immunity </w:t>
      </w:r>
      <w:r w:rsidRPr="00DD0E5D">
        <w:rPr>
          <w:rFonts w:eastAsia="Times New Roman" w:cs="Arial"/>
          <w:color w:val="000000" w:themeColor="text1"/>
        </w:rPr>
        <w:t>covers individual persons and entities.</w:t>
      </w:r>
      <w:r w:rsidR="00CE49E9">
        <w:rPr>
          <w:rStyle w:val="FootnoteReference"/>
          <w:rFonts w:eastAsia="Times New Roman" w:cs="Arial"/>
          <w:color w:val="000000" w:themeColor="text1"/>
        </w:rPr>
        <w:footnoteReference w:id="30"/>
      </w:r>
      <w:r w:rsidRPr="00DD0E5D">
        <w:rPr>
          <w:rFonts w:eastAsia="Times New Roman" w:cs="Arial"/>
          <w:color w:val="000000" w:themeColor="text1"/>
        </w:rPr>
        <w:t xml:space="preserve"> Covered persons include </w:t>
      </w:r>
      <w:r w:rsidR="000B2FD1" w:rsidRPr="00DD0E5D">
        <w:rPr>
          <w:rFonts w:eastAsia="Times New Roman" w:cs="Arial"/>
          <w:color w:val="000000" w:themeColor="text1"/>
        </w:rPr>
        <w:t xml:space="preserve">the U.S. government, </w:t>
      </w:r>
      <w:r w:rsidRPr="00DD0E5D">
        <w:rPr>
          <w:rFonts w:eastAsia="Times New Roman" w:cs="Arial"/>
          <w:color w:val="000000" w:themeColor="text1"/>
        </w:rPr>
        <w:t>manufacturers, distributors, program planners</w:t>
      </w:r>
      <w:r w:rsidR="006E5FBA" w:rsidRPr="00DD0E5D">
        <w:rPr>
          <w:rFonts w:eastAsia="Times New Roman" w:cs="Arial"/>
          <w:color w:val="000000" w:themeColor="text1"/>
        </w:rPr>
        <w:t xml:space="preserve"> (i.e., </w:t>
      </w:r>
      <w:r w:rsidR="0049605C" w:rsidRPr="00DD0E5D">
        <w:rPr>
          <w:rFonts w:eastAsia="Times New Roman" w:cs="Arial"/>
          <w:color w:val="000000" w:themeColor="text1"/>
        </w:rPr>
        <w:t xml:space="preserve">state, tribal, local and territorial entities and </w:t>
      </w:r>
      <w:r w:rsidR="006E5FBA" w:rsidRPr="00DD0E5D">
        <w:rPr>
          <w:rFonts w:eastAsia="Times New Roman" w:cs="Arial"/>
          <w:color w:val="000000" w:themeColor="text1"/>
        </w:rPr>
        <w:t>individuals involved in planning or administering programs for the distribution of countermeasures)</w:t>
      </w:r>
      <w:r w:rsidR="006E5FBA">
        <w:rPr>
          <w:rStyle w:val="FootnoteReference"/>
          <w:rFonts w:eastAsia="Times New Roman" w:cs="Arial"/>
          <w:color w:val="000000" w:themeColor="text1"/>
        </w:rPr>
        <w:footnoteReference w:id="31"/>
      </w:r>
      <w:r w:rsidRPr="00DD0E5D">
        <w:rPr>
          <w:rFonts w:eastAsia="Times New Roman" w:cs="Arial"/>
          <w:color w:val="000000" w:themeColor="text1"/>
        </w:rPr>
        <w:t xml:space="preserve">, and qualified persons who prescribe, administer, or dispense </w:t>
      </w:r>
      <w:r w:rsidRPr="00DD0E5D">
        <w:rPr>
          <w:rFonts w:eastAsia="Times New Roman" w:cs="Arial"/>
          <w:color w:val="000000" w:themeColor="text1"/>
        </w:rPr>
        <w:lastRenderedPageBreak/>
        <w:t>countermeasures (i.e., healthcare and other providers).</w:t>
      </w:r>
      <w:r w:rsidR="000B2FD1">
        <w:rPr>
          <w:rStyle w:val="FootnoteReference"/>
          <w:rFonts w:eastAsia="Times New Roman" w:cs="Arial"/>
          <w:color w:val="000000" w:themeColor="text1"/>
        </w:rPr>
        <w:footnoteReference w:id="32"/>
      </w:r>
      <w:r w:rsidRPr="00DD0E5D">
        <w:rPr>
          <w:rFonts w:eastAsia="Times New Roman" w:cs="Arial"/>
          <w:color w:val="000000" w:themeColor="text1"/>
        </w:rPr>
        <w:t xml:space="preserve"> U.S. officials, agents, </w:t>
      </w:r>
      <w:r w:rsidR="000B2FD1" w:rsidRPr="00DD0E5D">
        <w:rPr>
          <w:rFonts w:eastAsia="Times New Roman" w:cs="Arial"/>
          <w:color w:val="000000" w:themeColor="text1"/>
        </w:rPr>
        <w:t>or</w:t>
      </w:r>
      <w:r w:rsidRPr="00DD0E5D">
        <w:rPr>
          <w:rFonts w:eastAsia="Times New Roman" w:cs="Arial"/>
          <w:color w:val="000000" w:themeColor="text1"/>
        </w:rPr>
        <w:t xml:space="preserve"> employees of any of these entities or persons are also covered persons.</w:t>
      </w:r>
      <w:r w:rsidR="000B2FD1">
        <w:rPr>
          <w:rStyle w:val="FootnoteReference"/>
          <w:rFonts w:eastAsia="Times New Roman" w:cs="Arial"/>
          <w:color w:val="000000" w:themeColor="text1"/>
        </w:rPr>
        <w:footnoteReference w:id="33"/>
      </w:r>
      <w:r w:rsidR="000B2FD1" w:rsidRPr="00DD0E5D">
        <w:rPr>
          <w:rFonts w:eastAsia="Times New Roman" w:cs="Arial"/>
          <w:color w:val="000000" w:themeColor="text1"/>
        </w:rPr>
        <w:t xml:space="preserve"> </w:t>
      </w:r>
      <w:bookmarkStart w:id="7" w:name="_Hlk47559691"/>
      <w:r w:rsidR="00805BCA" w:rsidRPr="00DD0E5D">
        <w:rPr>
          <w:rFonts w:eastAsia="Times New Roman" w:cs="Arial"/>
          <w:color w:val="000000" w:themeColor="text1"/>
        </w:rPr>
        <w:t xml:space="preserve">The </w:t>
      </w:r>
      <w:r w:rsidR="00525BE5" w:rsidRPr="00DD0E5D">
        <w:rPr>
          <w:rFonts w:eastAsia="Times New Roman" w:cs="Arial"/>
          <w:color w:val="000000" w:themeColor="text1"/>
        </w:rPr>
        <w:t xml:space="preserve">April 2020 HHS OGC PREP ACT/COVID-19 advisory opinion </w:t>
      </w:r>
      <w:r w:rsidR="0053728F" w:rsidRPr="00DD0E5D">
        <w:rPr>
          <w:rFonts w:eastAsia="Times New Roman" w:cs="Arial"/>
          <w:color w:val="000000" w:themeColor="text1"/>
        </w:rPr>
        <w:t xml:space="preserve">notes that </w:t>
      </w:r>
      <w:r w:rsidR="00DD0E5D" w:rsidRPr="00DD0E5D">
        <w:rPr>
          <w:rFonts w:eastAsia="Times New Roman" w:cs="Arial"/>
          <w:color w:val="000000" w:themeColor="text1"/>
        </w:rPr>
        <w:t>“…</w:t>
      </w:r>
      <w:r w:rsidR="00EF68DF" w:rsidRPr="00DD0E5D">
        <w:rPr>
          <w:rFonts w:eastAsia="Times New Roman" w:cs="Arial"/>
          <w:color w:val="000000" w:themeColor="text1"/>
        </w:rPr>
        <w:t>a person who complies with all other requirements of the</w:t>
      </w:r>
      <w:r w:rsidR="00DD0E5D" w:rsidRPr="00DD0E5D">
        <w:rPr>
          <w:rFonts w:eastAsia="Times New Roman" w:cs="Arial"/>
          <w:color w:val="000000" w:themeColor="text1"/>
        </w:rPr>
        <w:t xml:space="preserve"> </w:t>
      </w:r>
      <w:r w:rsidR="00EF68DF" w:rsidRPr="00DD0E5D">
        <w:rPr>
          <w:rFonts w:eastAsia="Times New Roman" w:cs="Arial"/>
          <w:color w:val="000000" w:themeColor="text1"/>
        </w:rPr>
        <w:t>PREP Act and the conditions of the Secretary’s declaration will not</w:t>
      </w:r>
      <w:r w:rsidR="00DD0E5D" w:rsidRPr="00DD0E5D">
        <w:rPr>
          <w:rFonts w:eastAsia="Times New Roman" w:cs="Arial"/>
          <w:color w:val="000000" w:themeColor="text1"/>
        </w:rPr>
        <w:t xml:space="preserve"> </w:t>
      </w:r>
      <w:r w:rsidR="00EF68DF" w:rsidRPr="00DD0E5D">
        <w:rPr>
          <w:rFonts w:eastAsia="Times New Roman" w:cs="Arial"/>
          <w:color w:val="000000" w:themeColor="text1"/>
        </w:rPr>
        <w:t>lose PREP Act immunity—even if the person at issue is not a covered</w:t>
      </w:r>
      <w:r w:rsidR="00DD0E5D" w:rsidRPr="00DD0E5D">
        <w:rPr>
          <w:rFonts w:eastAsia="Times New Roman" w:cs="Arial"/>
          <w:color w:val="000000" w:themeColor="text1"/>
        </w:rPr>
        <w:t xml:space="preserve"> </w:t>
      </w:r>
      <w:r w:rsidR="00EF68DF" w:rsidRPr="00DD0E5D">
        <w:rPr>
          <w:rFonts w:eastAsia="Times New Roman" w:cs="Arial"/>
          <w:color w:val="000000" w:themeColor="text1"/>
        </w:rPr>
        <w:t>person—if the entity or individual reasonably could have believed that</w:t>
      </w:r>
      <w:r w:rsidR="00DD0E5D" w:rsidRPr="00DD0E5D">
        <w:rPr>
          <w:rFonts w:eastAsia="Times New Roman" w:cs="Arial"/>
          <w:color w:val="000000" w:themeColor="text1"/>
        </w:rPr>
        <w:t xml:space="preserve"> </w:t>
      </w:r>
      <w:r w:rsidR="00EF68DF" w:rsidRPr="00DD0E5D">
        <w:rPr>
          <w:rFonts w:eastAsia="Times New Roman" w:cs="Arial"/>
          <w:color w:val="000000" w:themeColor="text1"/>
        </w:rPr>
        <w:t>the person was a covered person</w:t>
      </w:r>
      <w:r w:rsidR="00C008FA">
        <w:rPr>
          <w:rFonts w:eastAsia="Times New Roman" w:cs="Arial"/>
          <w:color w:val="000000" w:themeColor="text1"/>
        </w:rPr>
        <w:t>”.</w:t>
      </w:r>
      <w:r w:rsidR="00C008FA">
        <w:rPr>
          <w:rStyle w:val="FootnoteReference"/>
          <w:rFonts w:eastAsia="Times New Roman" w:cs="Arial"/>
          <w:color w:val="000000" w:themeColor="text1"/>
        </w:rPr>
        <w:footnoteReference w:id="34"/>
      </w:r>
      <w:r w:rsidR="003C6D9D">
        <w:rPr>
          <w:rFonts w:eastAsia="Times New Roman" w:cs="Arial"/>
          <w:color w:val="000000" w:themeColor="text1"/>
        </w:rPr>
        <w:t xml:space="preserve"> HHS OGC further observes that “…</w:t>
      </w:r>
      <w:r w:rsidR="003C6D9D" w:rsidRPr="003C6D9D">
        <w:rPr>
          <w:rFonts w:eastAsia="Times New Roman" w:cs="Arial"/>
          <w:color w:val="000000" w:themeColor="text1"/>
        </w:rPr>
        <w:t>covered persons should take, and document, reasonable precautions under the current emergent circumstances to facilitate the safe use or administration of covered countermeasures and to make those documents publicly and easily available.</w:t>
      </w:r>
      <w:r w:rsidR="003C6D9D">
        <w:rPr>
          <w:rFonts w:eastAsia="Times New Roman" w:cs="Arial"/>
          <w:color w:val="000000" w:themeColor="text1"/>
        </w:rPr>
        <w:t>”</w:t>
      </w:r>
      <w:r w:rsidR="003C6D9D">
        <w:rPr>
          <w:rStyle w:val="FootnoteReference"/>
          <w:rFonts w:eastAsia="Times New Roman" w:cs="Arial"/>
          <w:color w:val="000000" w:themeColor="text1"/>
        </w:rPr>
        <w:footnoteReference w:id="35"/>
      </w:r>
    </w:p>
    <w:bookmarkEnd w:id="7"/>
    <w:p w14:paraId="6F7B66F9" w14:textId="436E0B81" w:rsidR="00CE49E9" w:rsidRPr="0063004C" w:rsidRDefault="00CE49E9" w:rsidP="0063004C">
      <w:pPr>
        <w:pStyle w:val="ListParagraph"/>
        <w:numPr>
          <w:ilvl w:val="0"/>
          <w:numId w:val="2"/>
        </w:numPr>
        <w:spacing w:after="120" w:line="360" w:lineRule="auto"/>
        <w:contextualSpacing w:val="0"/>
        <w:textAlignment w:val="baseline"/>
        <w:rPr>
          <w:rFonts w:eastAsia="Times New Roman" w:cs="Arial"/>
          <w:color w:val="000000" w:themeColor="text1"/>
          <w:bdr w:val="none" w:sz="0" w:space="0" w:color="auto" w:frame="1"/>
        </w:rPr>
      </w:pPr>
      <w:r w:rsidRPr="00547FAC">
        <w:rPr>
          <w:rFonts w:eastAsia="Times New Roman" w:cs="Arial"/>
          <w:b/>
          <w:bCs/>
          <w:color w:val="000000" w:themeColor="text1"/>
          <w:bdr w:val="none" w:sz="0" w:space="0" w:color="auto" w:frame="1"/>
        </w:rPr>
        <w:t>Countermeasures Covered—</w:t>
      </w:r>
      <w:r w:rsidRPr="00547FAC">
        <w:rPr>
          <w:rFonts w:eastAsia="Times New Roman" w:cs="Arial"/>
          <w:color w:val="000000" w:themeColor="text1"/>
        </w:rPr>
        <w:t xml:space="preserve">Countermeasures can </w:t>
      </w:r>
      <w:r w:rsidR="003C6D9D">
        <w:rPr>
          <w:rFonts w:eastAsia="Times New Roman" w:cs="Arial"/>
          <w:color w:val="000000" w:themeColor="text1"/>
        </w:rPr>
        <w:t>in</w:t>
      </w:r>
      <w:r w:rsidRPr="00547FAC">
        <w:rPr>
          <w:rFonts w:eastAsia="Times New Roman" w:cs="Arial"/>
          <w:color w:val="000000" w:themeColor="text1"/>
        </w:rPr>
        <w:t xml:space="preserve">clude </w:t>
      </w:r>
      <w:r w:rsidR="00FC2C63">
        <w:rPr>
          <w:rFonts w:eastAsia="Times New Roman" w:cs="Arial"/>
          <w:color w:val="000000" w:themeColor="text1"/>
        </w:rPr>
        <w:t xml:space="preserve">drugs, biological products (e.g., </w:t>
      </w:r>
      <w:r w:rsidRPr="00547FAC">
        <w:rPr>
          <w:rFonts w:eastAsia="Times New Roman" w:cs="Arial"/>
          <w:color w:val="000000" w:themeColor="text1"/>
        </w:rPr>
        <w:t>vaccines</w:t>
      </w:r>
      <w:r w:rsidR="00FC2C63">
        <w:rPr>
          <w:rFonts w:eastAsia="Times New Roman" w:cs="Arial"/>
          <w:color w:val="000000" w:themeColor="text1"/>
        </w:rPr>
        <w:t>)</w:t>
      </w:r>
      <w:r w:rsidRPr="00547FAC">
        <w:rPr>
          <w:rFonts w:eastAsia="Times New Roman" w:cs="Arial"/>
          <w:color w:val="000000" w:themeColor="text1"/>
        </w:rPr>
        <w:t>, or medical devices to be used against chemical, biological, radiological, and nuclear (CBRN) agents of terrorism, epidemics, and pandemics.</w:t>
      </w:r>
      <w:r w:rsidR="00FC2C63">
        <w:rPr>
          <w:rFonts w:eastAsia="Times New Roman" w:cs="Arial"/>
          <w:color w:val="000000" w:themeColor="text1"/>
        </w:rPr>
        <w:t xml:space="preserve"> Covered countermeasures also include qualified pandemic or epidemic products and security countermeasures as defined in the act.</w:t>
      </w:r>
      <w:r w:rsidR="00FC2C63">
        <w:rPr>
          <w:rStyle w:val="FootnoteReference"/>
          <w:rFonts w:eastAsia="Times New Roman" w:cs="Arial"/>
          <w:color w:val="000000" w:themeColor="text1"/>
        </w:rPr>
        <w:footnoteReference w:id="36"/>
      </w:r>
      <w:r w:rsidR="00FC2C63">
        <w:rPr>
          <w:rFonts w:eastAsia="Times New Roman" w:cs="Arial"/>
          <w:color w:val="000000" w:themeColor="text1"/>
        </w:rPr>
        <w:t xml:space="preserve"> </w:t>
      </w:r>
      <w:r w:rsidR="00FC2C63">
        <w:rPr>
          <w:rFonts w:eastAsia="Times New Roman" w:cs="Arial"/>
          <w:color w:val="000000" w:themeColor="text1"/>
          <w:bdr w:val="none" w:sz="0" w:space="0" w:color="auto" w:frame="1"/>
        </w:rPr>
        <w:t>A qualified pandemic or epidemic product is a drug, biological product, or device to diagnose, prevent, treat, cure or limit the harm of a pandemic or epidemic.</w:t>
      </w:r>
      <w:r w:rsidR="00FC2C63">
        <w:rPr>
          <w:rStyle w:val="FootnoteReference"/>
          <w:rFonts w:eastAsia="Times New Roman" w:cs="Arial"/>
          <w:color w:val="000000" w:themeColor="text1"/>
          <w:bdr w:val="none" w:sz="0" w:space="0" w:color="auto" w:frame="1"/>
        </w:rPr>
        <w:footnoteReference w:id="37"/>
      </w:r>
      <w:r w:rsidR="007D34E3">
        <w:rPr>
          <w:rFonts w:eastAsia="Times New Roman" w:cs="Arial"/>
          <w:color w:val="000000" w:themeColor="text1"/>
          <w:bdr w:val="none" w:sz="0" w:space="0" w:color="auto" w:frame="1"/>
        </w:rPr>
        <w:t xml:space="preserve"> A security countermeasure covers drugs, devices, or products that </w:t>
      </w:r>
      <w:r w:rsidR="007D34E3" w:rsidRPr="007D34E3">
        <w:rPr>
          <w:rFonts w:eastAsia="Times New Roman" w:cs="Arial"/>
          <w:color w:val="000000" w:themeColor="text1"/>
          <w:bdr w:val="none" w:sz="0" w:space="0" w:color="auto" w:frame="1"/>
        </w:rPr>
        <w:t>diagnose, mitigate, prevent, or treat harm from any biological, chemical, radiological, or nuclear agent identified as a material threat</w:t>
      </w:r>
      <w:r w:rsidR="007D34E3">
        <w:rPr>
          <w:rFonts w:eastAsia="Times New Roman" w:cs="Arial"/>
          <w:color w:val="000000" w:themeColor="text1"/>
          <w:bdr w:val="none" w:sz="0" w:space="0" w:color="auto" w:frame="1"/>
        </w:rPr>
        <w:t>.</w:t>
      </w:r>
      <w:r w:rsidR="007D34E3">
        <w:rPr>
          <w:rStyle w:val="FootnoteReference"/>
          <w:rFonts w:eastAsia="Times New Roman" w:cs="Arial"/>
          <w:color w:val="000000" w:themeColor="text1"/>
          <w:bdr w:val="none" w:sz="0" w:space="0" w:color="auto" w:frame="1"/>
        </w:rPr>
        <w:footnoteReference w:id="38"/>
      </w:r>
      <w:r w:rsidR="001B6E36">
        <w:rPr>
          <w:rFonts w:eastAsia="Times New Roman" w:cs="Arial"/>
          <w:color w:val="000000" w:themeColor="text1"/>
          <w:bdr w:val="none" w:sz="0" w:space="0" w:color="auto" w:frame="1"/>
        </w:rPr>
        <w:t xml:space="preserve"> </w:t>
      </w:r>
      <w:r w:rsidR="0063004C" w:rsidRPr="0063004C">
        <w:rPr>
          <w:rFonts w:eastAsia="Times New Roman" w:cs="Arial"/>
          <w:color w:val="000000" w:themeColor="text1"/>
          <w:bdr w:val="none" w:sz="0" w:space="0" w:color="auto" w:frame="1"/>
        </w:rPr>
        <w:t xml:space="preserve">The CARES Act amended the PREP Act to add respiratory protective devices to the list of covered countermeasures if they are approved by NIOSH and the HHS secretary determines they are a priority for use during a public health </w:t>
      </w:r>
      <w:r w:rsidR="0063004C" w:rsidRPr="0063004C">
        <w:rPr>
          <w:rFonts w:eastAsia="Times New Roman" w:cs="Arial"/>
          <w:color w:val="000000" w:themeColor="text1"/>
          <w:bdr w:val="none" w:sz="0" w:space="0" w:color="auto" w:frame="1"/>
        </w:rPr>
        <w:lastRenderedPageBreak/>
        <w:t>emergency declared by the Secretary under section 319 of the Public Health Service Act.</w:t>
      </w:r>
      <w:r w:rsidR="0063004C" w:rsidRPr="0063004C">
        <w:rPr>
          <w:rFonts w:eastAsia="Times New Roman" w:cs="Arial"/>
          <w:color w:val="000000" w:themeColor="text1"/>
          <w:bdr w:val="none" w:sz="0" w:space="0" w:color="auto" w:frame="1"/>
          <w:vertAlign w:val="superscript"/>
        </w:rPr>
        <w:footnoteReference w:id="39"/>
      </w:r>
      <w:r w:rsidR="0063004C">
        <w:rPr>
          <w:rFonts w:eastAsia="Times New Roman" w:cs="Arial"/>
          <w:color w:val="000000" w:themeColor="text1"/>
          <w:bdr w:val="none" w:sz="0" w:space="0" w:color="auto" w:frame="1"/>
        </w:rPr>
        <w:t xml:space="preserve"> Additionally, t</w:t>
      </w:r>
      <w:r w:rsidR="001B6E36" w:rsidRPr="0063004C">
        <w:rPr>
          <w:rFonts w:eastAsia="Times New Roman" w:cs="Arial"/>
          <w:color w:val="000000" w:themeColor="text1"/>
          <w:bdr w:val="none" w:sz="0" w:space="0" w:color="auto" w:frame="1"/>
        </w:rPr>
        <w:t xml:space="preserve">he </w:t>
      </w:r>
      <w:r w:rsidR="001B6E36" w:rsidRPr="0063004C">
        <w:rPr>
          <w:rFonts w:eastAsia="Times New Roman" w:cs="Arial"/>
          <w:color w:val="000000" w:themeColor="text1"/>
        </w:rPr>
        <w:t xml:space="preserve">HHS OGC PREP ACT/COVID-19 advisory opinion </w:t>
      </w:r>
      <w:r w:rsidR="002052A8" w:rsidRPr="0063004C">
        <w:rPr>
          <w:rFonts w:eastAsia="Times New Roman" w:cs="Arial"/>
          <w:color w:val="000000" w:themeColor="text1"/>
        </w:rPr>
        <w:t>states</w:t>
      </w:r>
      <w:r w:rsidR="001B6E36" w:rsidRPr="0063004C">
        <w:rPr>
          <w:rFonts w:eastAsia="Times New Roman" w:cs="Arial"/>
          <w:color w:val="000000" w:themeColor="text1"/>
        </w:rPr>
        <w:t xml:space="preserve"> that</w:t>
      </w:r>
      <w:r w:rsidR="002052A8" w:rsidRPr="0063004C">
        <w:rPr>
          <w:rFonts w:eastAsia="Times New Roman" w:cs="Arial"/>
          <w:color w:val="000000" w:themeColor="text1"/>
        </w:rPr>
        <w:t xml:space="preserve"> “…</w:t>
      </w:r>
      <w:r w:rsidR="00FC739D" w:rsidRPr="0063004C">
        <w:rPr>
          <w:rFonts w:eastAsia="Times New Roman" w:cs="Arial"/>
          <w:color w:val="000000" w:themeColor="text1"/>
        </w:rPr>
        <w:t>an entity or individual who complies with all other requirements of the PREP Act and the conditions of the Secretary’s declaration will not lose PREP Act immunity—even if the medical product at issue is not a covered countermeasure—if that entity or individual reasonably could have believed that the product was a covered countermeasure”.</w:t>
      </w:r>
      <w:r w:rsidR="00FC739D">
        <w:rPr>
          <w:rStyle w:val="FootnoteReference"/>
          <w:rFonts w:eastAsia="Times New Roman" w:cs="Arial"/>
          <w:color w:val="000000" w:themeColor="text1"/>
        </w:rPr>
        <w:footnoteReference w:id="40"/>
      </w:r>
    </w:p>
    <w:p w14:paraId="792CB367" w14:textId="6BFEB6B9" w:rsidR="003E47DA" w:rsidRDefault="00DD5556" w:rsidP="00FC739D">
      <w:pPr>
        <w:pStyle w:val="ListParagraph"/>
        <w:numPr>
          <w:ilvl w:val="0"/>
          <w:numId w:val="2"/>
        </w:numPr>
        <w:spacing w:after="120" w:line="360" w:lineRule="auto"/>
        <w:contextualSpacing w:val="0"/>
        <w:textAlignment w:val="baseline"/>
        <w:rPr>
          <w:rFonts w:eastAsia="Times New Roman" w:cs="Arial"/>
          <w:color w:val="000000" w:themeColor="text1"/>
          <w:bdr w:val="none" w:sz="0" w:space="0" w:color="auto" w:frame="1"/>
        </w:rPr>
      </w:pPr>
      <w:r>
        <w:rPr>
          <w:rFonts w:eastAsia="Times New Roman" w:cs="Arial"/>
          <w:b/>
          <w:bCs/>
          <w:color w:val="000000" w:themeColor="text1"/>
          <w:bdr w:val="none" w:sz="0" w:space="0" w:color="auto" w:frame="1"/>
        </w:rPr>
        <w:t xml:space="preserve">Time Period, Threats, and </w:t>
      </w:r>
      <w:r w:rsidR="003E47DA">
        <w:rPr>
          <w:rFonts w:eastAsia="Times New Roman" w:cs="Arial"/>
          <w:b/>
          <w:bCs/>
          <w:color w:val="000000" w:themeColor="text1"/>
          <w:bdr w:val="none" w:sz="0" w:space="0" w:color="auto" w:frame="1"/>
        </w:rPr>
        <w:t>Locations</w:t>
      </w:r>
      <w:r w:rsidR="0022166D" w:rsidRPr="00547FAC">
        <w:rPr>
          <w:rFonts w:eastAsia="Times New Roman" w:cs="Arial"/>
          <w:b/>
          <w:bCs/>
          <w:color w:val="000000" w:themeColor="text1"/>
          <w:bdr w:val="none" w:sz="0" w:space="0" w:color="auto" w:frame="1"/>
        </w:rPr>
        <w:t xml:space="preserve"> Covered</w:t>
      </w:r>
      <w:r>
        <w:rPr>
          <w:rFonts w:eastAsia="Times New Roman" w:cs="Arial"/>
          <w:b/>
          <w:bCs/>
          <w:color w:val="000000" w:themeColor="text1"/>
          <w:bdr w:val="none" w:sz="0" w:space="0" w:color="auto" w:frame="1"/>
        </w:rPr>
        <w:t xml:space="preserve"> </w:t>
      </w:r>
      <w:r w:rsidR="0022166D" w:rsidRPr="00DD5556">
        <w:rPr>
          <w:rFonts w:eastAsia="Times New Roman" w:cs="Arial"/>
          <w:color w:val="000000" w:themeColor="text1"/>
          <w:bdr w:val="none" w:sz="0" w:space="0" w:color="auto" w:frame="1"/>
        </w:rPr>
        <w:t>—</w:t>
      </w:r>
      <w:r>
        <w:rPr>
          <w:rFonts w:eastAsia="Times New Roman" w:cs="Arial"/>
          <w:color w:val="000000" w:themeColor="text1"/>
          <w:bdr w:val="none" w:sz="0" w:space="0" w:color="auto" w:frame="1"/>
        </w:rPr>
        <w:t xml:space="preserve">To be covered by PREP Act immunity, a covered </w:t>
      </w:r>
      <w:r w:rsidRPr="00DD5556">
        <w:rPr>
          <w:rFonts w:eastAsia="Times New Roman" w:cs="Arial"/>
          <w:color w:val="000000" w:themeColor="text1"/>
          <w:bdr w:val="none" w:sz="0" w:space="0" w:color="auto" w:frame="1"/>
        </w:rPr>
        <w:t xml:space="preserve">countermeasure </w:t>
      </w:r>
      <w:r>
        <w:rPr>
          <w:rFonts w:eastAsia="Times New Roman" w:cs="Arial"/>
          <w:color w:val="000000" w:themeColor="text1"/>
          <w:bdr w:val="none" w:sz="0" w:space="0" w:color="auto" w:frame="1"/>
        </w:rPr>
        <w:t xml:space="preserve">must be </w:t>
      </w:r>
      <w:r w:rsidRPr="00DD5556">
        <w:rPr>
          <w:rFonts w:eastAsia="Times New Roman" w:cs="Arial"/>
          <w:color w:val="000000" w:themeColor="text1"/>
          <w:bdr w:val="none" w:sz="0" w:space="0" w:color="auto" w:frame="1"/>
        </w:rPr>
        <w:t>administered or used during the effective period of the declaration</w:t>
      </w:r>
      <w:r>
        <w:rPr>
          <w:rFonts w:eastAsia="Times New Roman" w:cs="Arial"/>
          <w:color w:val="000000" w:themeColor="text1"/>
          <w:bdr w:val="none" w:sz="0" w:space="0" w:color="auto" w:frame="1"/>
        </w:rPr>
        <w:t xml:space="preserve"> for that countermeasure.</w:t>
      </w:r>
      <w:r>
        <w:rPr>
          <w:rStyle w:val="FootnoteReference"/>
          <w:rFonts w:eastAsia="Times New Roman" w:cs="Arial"/>
          <w:color w:val="000000" w:themeColor="text1"/>
          <w:bdr w:val="none" w:sz="0" w:space="0" w:color="auto" w:frame="1"/>
        </w:rPr>
        <w:footnoteReference w:id="41"/>
      </w:r>
      <w:r>
        <w:rPr>
          <w:rFonts w:eastAsia="Times New Roman" w:cs="Arial"/>
          <w:color w:val="000000" w:themeColor="text1"/>
          <w:bdr w:val="none" w:sz="0" w:space="0" w:color="auto" w:frame="1"/>
        </w:rPr>
        <w:t xml:space="preserve"> The </w:t>
      </w:r>
      <w:r w:rsidRPr="00DD5556">
        <w:rPr>
          <w:rFonts w:eastAsia="Times New Roman" w:cs="Arial"/>
          <w:color w:val="000000" w:themeColor="text1"/>
          <w:bdr w:val="none" w:sz="0" w:space="0" w:color="auto" w:frame="1"/>
        </w:rPr>
        <w:t xml:space="preserve">countermeasure </w:t>
      </w:r>
      <w:r>
        <w:rPr>
          <w:rFonts w:eastAsia="Times New Roman" w:cs="Arial"/>
          <w:color w:val="000000" w:themeColor="text1"/>
          <w:bdr w:val="none" w:sz="0" w:space="0" w:color="auto" w:frame="1"/>
        </w:rPr>
        <w:t xml:space="preserve">must be </w:t>
      </w:r>
      <w:r w:rsidRPr="00DD5556">
        <w:rPr>
          <w:rFonts w:eastAsia="Times New Roman" w:cs="Arial"/>
          <w:color w:val="000000" w:themeColor="text1"/>
          <w:bdr w:val="none" w:sz="0" w:space="0" w:color="auto" w:frame="1"/>
        </w:rPr>
        <w:t xml:space="preserve">administered or used for the category </w:t>
      </w:r>
      <w:r w:rsidR="001F0D95">
        <w:rPr>
          <w:rFonts w:eastAsia="Times New Roman" w:cs="Arial"/>
          <w:color w:val="000000" w:themeColor="text1"/>
          <w:bdr w:val="none" w:sz="0" w:space="0" w:color="auto" w:frame="1"/>
        </w:rPr>
        <w:t xml:space="preserve">of </w:t>
      </w:r>
      <w:r w:rsidRPr="00DD5556">
        <w:rPr>
          <w:rFonts w:eastAsia="Times New Roman" w:cs="Arial"/>
          <w:color w:val="000000" w:themeColor="text1"/>
          <w:bdr w:val="none" w:sz="0" w:space="0" w:color="auto" w:frame="1"/>
        </w:rPr>
        <w:t>diseases, conditions, or threats to health specified in the declaration</w:t>
      </w:r>
      <w:r>
        <w:rPr>
          <w:rFonts w:eastAsia="Times New Roman" w:cs="Arial"/>
          <w:color w:val="000000" w:themeColor="text1"/>
          <w:bdr w:val="none" w:sz="0" w:space="0" w:color="auto" w:frame="1"/>
        </w:rPr>
        <w:t>.</w:t>
      </w:r>
      <w:r>
        <w:rPr>
          <w:rStyle w:val="FootnoteReference"/>
          <w:rFonts w:eastAsia="Times New Roman" w:cs="Arial"/>
          <w:color w:val="000000" w:themeColor="text1"/>
          <w:bdr w:val="none" w:sz="0" w:space="0" w:color="auto" w:frame="1"/>
        </w:rPr>
        <w:footnoteReference w:id="42"/>
      </w:r>
      <w:r w:rsidRPr="00DD5556">
        <w:rPr>
          <w:rFonts w:eastAsia="Times New Roman" w:cs="Arial"/>
          <w:color w:val="000000" w:themeColor="text1"/>
          <w:bdr w:val="none" w:sz="0" w:space="0" w:color="auto" w:frame="1"/>
        </w:rPr>
        <w:t xml:space="preserve"> </w:t>
      </w:r>
      <w:r w:rsidR="003E47DA">
        <w:rPr>
          <w:rFonts w:eastAsia="Times New Roman" w:cs="Arial"/>
          <w:color w:val="000000" w:themeColor="text1"/>
          <w:bdr w:val="none" w:sz="0" w:space="0" w:color="auto" w:frame="1"/>
        </w:rPr>
        <w:t xml:space="preserve">Additionally, for </w:t>
      </w:r>
      <w:r w:rsidR="003E47DA" w:rsidRPr="003E47DA">
        <w:rPr>
          <w:rFonts w:eastAsia="Times New Roman" w:cs="Arial"/>
          <w:color w:val="000000" w:themeColor="text1"/>
          <w:bdr w:val="none" w:sz="0" w:space="0" w:color="auto" w:frame="1"/>
        </w:rPr>
        <w:t>program planner</w:t>
      </w:r>
      <w:r w:rsidR="003E47DA">
        <w:rPr>
          <w:rFonts w:eastAsia="Times New Roman" w:cs="Arial"/>
          <w:color w:val="000000" w:themeColor="text1"/>
          <w:bdr w:val="none" w:sz="0" w:space="0" w:color="auto" w:frame="1"/>
        </w:rPr>
        <w:t>s</w:t>
      </w:r>
      <w:r w:rsidR="003E47DA" w:rsidRPr="003E47DA">
        <w:rPr>
          <w:rFonts w:eastAsia="Times New Roman" w:cs="Arial"/>
          <w:color w:val="000000" w:themeColor="text1"/>
          <w:bdr w:val="none" w:sz="0" w:space="0" w:color="auto" w:frame="1"/>
        </w:rPr>
        <w:t xml:space="preserve"> or qualified person</w:t>
      </w:r>
      <w:r w:rsidR="00375B9C">
        <w:rPr>
          <w:rFonts w:eastAsia="Times New Roman" w:cs="Arial"/>
          <w:color w:val="000000" w:themeColor="text1"/>
          <w:bdr w:val="none" w:sz="0" w:space="0" w:color="auto" w:frame="1"/>
        </w:rPr>
        <w:t xml:space="preserve"> to be covered by immunity</w:t>
      </w:r>
      <w:r w:rsidR="003E47DA" w:rsidRPr="003E47DA">
        <w:rPr>
          <w:rFonts w:eastAsia="Times New Roman" w:cs="Arial"/>
          <w:color w:val="000000" w:themeColor="text1"/>
          <w:bdr w:val="none" w:sz="0" w:space="0" w:color="auto" w:frame="1"/>
        </w:rPr>
        <w:t xml:space="preserve">, the countermeasure </w:t>
      </w:r>
      <w:r w:rsidR="003E47DA">
        <w:rPr>
          <w:rFonts w:eastAsia="Times New Roman" w:cs="Arial"/>
          <w:color w:val="000000" w:themeColor="text1"/>
          <w:bdr w:val="none" w:sz="0" w:space="0" w:color="auto" w:frame="1"/>
        </w:rPr>
        <w:t xml:space="preserve">must be </w:t>
      </w:r>
      <w:r w:rsidR="003E47DA" w:rsidRPr="003E47DA">
        <w:rPr>
          <w:rFonts w:eastAsia="Times New Roman" w:cs="Arial"/>
          <w:color w:val="000000" w:themeColor="text1"/>
          <w:bdr w:val="none" w:sz="0" w:space="0" w:color="auto" w:frame="1"/>
        </w:rPr>
        <w:t>administered to or used by an individual w</w:t>
      </w:r>
      <w:r w:rsidR="003E47DA">
        <w:rPr>
          <w:rFonts w:eastAsia="Times New Roman" w:cs="Arial"/>
          <w:color w:val="000000" w:themeColor="text1"/>
          <w:bdr w:val="none" w:sz="0" w:space="0" w:color="auto" w:frame="1"/>
        </w:rPr>
        <w:t xml:space="preserve">ho is in the population specified by the declaration and who is </w:t>
      </w:r>
      <w:r w:rsidR="003E47DA" w:rsidRPr="003E47DA">
        <w:rPr>
          <w:rFonts w:eastAsia="Times New Roman" w:cs="Arial"/>
          <w:color w:val="000000" w:themeColor="text1"/>
          <w:bdr w:val="none" w:sz="0" w:space="0" w:color="auto" w:frame="1"/>
        </w:rPr>
        <w:t xml:space="preserve">physically present in </w:t>
      </w:r>
      <w:r w:rsidR="003E47DA">
        <w:rPr>
          <w:rFonts w:eastAsia="Times New Roman" w:cs="Arial"/>
          <w:color w:val="000000" w:themeColor="text1"/>
          <w:bdr w:val="none" w:sz="0" w:space="0" w:color="auto" w:frame="1"/>
        </w:rPr>
        <w:t>the</w:t>
      </w:r>
      <w:r w:rsidR="003E47DA" w:rsidRPr="003E47DA">
        <w:rPr>
          <w:rFonts w:eastAsia="Times New Roman" w:cs="Arial"/>
          <w:color w:val="000000" w:themeColor="text1"/>
          <w:bdr w:val="none" w:sz="0" w:space="0" w:color="auto" w:frame="1"/>
        </w:rPr>
        <w:t xml:space="preserve"> geographic area specified by the declaration or had a connection to such area specified in the declaration</w:t>
      </w:r>
      <w:r w:rsidR="003E47DA">
        <w:rPr>
          <w:rFonts w:eastAsia="Times New Roman" w:cs="Arial"/>
          <w:color w:val="000000" w:themeColor="text1"/>
          <w:bdr w:val="none" w:sz="0" w:space="0" w:color="auto" w:frame="1"/>
        </w:rPr>
        <w:t xml:space="preserve"> at the time of administration</w:t>
      </w:r>
      <w:r w:rsidR="003E47DA" w:rsidRPr="003E47DA">
        <w:rPr>
          <w:rFonts w:eastAsia="Times New Roman" w:cs="Arial"/>
          <w:color w:val="000000" w:themeColor="text1"/>
          <w:bdr w:val="none" w:sz="0" w:space="0" w:color="auto" w:frame="1"/>
        </w:rPr>
        <w:t>.</w:t>
      </w:r>
      <w:r w:rsidR="003E47DA">
        <w:rPr>
          <w:rStyle w:val="FootnoteReference"/>
          <w:rFonts w:eastAsia="Times New Roman" w:cs="Arial"/>
          <w:color w:val="000000" w:themeColor="text1"/>
          <w:bdr w:val="none" w:sz="0" w:space="0" w:color="auto" w:frame="1"/>
        </w:rPr>
        <w:footnoteReference w:id="43"/>
      </w:r>
      <w:r w:rsidR="00375B9C">
        <w:rPr>
          <w:rFonts w:eastAsia="Times New Roman" w:cs="Arial"/>
          <w:color w:val="000000" w:themeColor="text1"/>
          <w:bdr w:val="none" w:sz="0" w:space="0" w:color="auto" w:frame="1"/>
        </w:rPr>
        <w:t xml:space="preserve"> This geographic restriction does not apply in the case of </w:t>
      </w:r>
      <w:r w:rsidR="00375B9C" w:rsidRPr="00375B9C">
        <w:rPr>
          <w:rFonts w:eastAsia="Times New Roman" w:cs="Arial"/>
          <w:color w:val="000000" w:themeColor="text1"/>
          <w:bdr w:val="none" w:sz="0" w:space="0" w:color="auto" w:frame="1"/>
        </w:rPr>
        <w:t>manufacturer</w:t>
      </w:r>
      <w:r w:rsidR="00375B9C">
        <w:rPr>
          <w:rFonts w:eastAsia="Times New Roman" w:cs="Arial"/>
          <w:color w:val="000000" w:themeColor="text1"/>
          <w:bdr w:val="none" w:sz="0" w:space="0" w:color="auto" w:frame="1"/>
        </w:rPr>
        <w:t>s</w:t>
      </w:r>
      <w:r w:rsidR="00375B9C" w:rsidRPr="00375B9C">
        <w:rPr>
          <w:rFonts w:eastAsia="Times New Roman" w:cs="Arial"/>
          <w:color w:val="000000" w:themeColor="text1"/>
          <w:bdr w:val="none" w:sz="0" w:space="0" w:color="auto" w:frame="1"/>
        </w:rPr>
        <w:t xml:space="preserve"> or distributor</w:t>
      </w:r>
      <w:r w:rsidR="00375B9C">
        <w:rPr>
          <w:rFonts w:eastAsia="Times New Roman" w:cs="Arial"/>
          <w:color w:val="000000" w:themeColor="text1"/>
          <w:bdr w:val="none" w:sz="0" w:space="0" w:color="auto" w:frame="1"/>
        </w:rPr>
        <w:t>s</w:t>
      </w:r>
      <w:r w:rsidR="00375B9C" w:rsidRPr="00375B9C">
        <w:rPr>
          <w:rFonts w:eastAsia="Times New Roman" w:cs="Arial"/>
          <w:color w:val="000000" w:themeColor="text1"/>
          <w:bdr w:val="none" w:sz="0" w:space="0" w:color="auto" w:frame="1"/>
        </w:rPr>
        <w:t xml:space="preserve"> of </w:t>
      </w:r>
      <w:r w:rsidR="00375B9C">
        <w:rPr>
          <w:rFonts w:eastAsia="Times New Roman" w:cs="Arial"/>
          <w:color w:val="000000" w:themeColor="text1"/>
          <w:bdr w:val="none" w:sz="0" w:space="0" w:color="auto" w:frame="1"/>
        </w:rPr>
        <w:t>a</w:t>
      </w:r>
      <w:r w:rsidR="00375B9C" w:rsidRPr="00375B9C">
        <w:rPr>
          <w:rFonts w:eastAsia="Times New Roman" w:cs="Arial"/>
          <w:color w:val="000000" w:themeColor="text1"/>
          <w:bdr w:val="none" w:sz="0" w:space="0" w:color="auto" w:frame="1"/>
        </w:rPr>
        <w:t xml:space="preserve"> covered countermeasure</w:t>
      </w:r>
      <w:r w:rsidR="00375B9C">
        <w:rPr>
          <w:rFonts w:eastAsia="Times New Roman" w:cs="Arial"/>
          <w:color w:val="000000" w:themeColor="text1"/>
          <w:bdr w:val="none" w:sz="0" w:space="0" w:color="auto" w:frame="1"/>
        </w:rPr>
        <w:t>, who are covered regardless of the location of administration or use.</w:t>
      </w:r>
      <w:r w:rsidR="00375B9C">
        <w:rPr>
          <w:rStyle w:val="FootnoteReference"/>
          <w:rFonts w:eastAsia="Times New Roman" w:cs="Arial"/>
          <w:color w:val="000000" w:themeColor="text1"/>
          <w:bdr w:val="none" w:sz="0" w:space="0" w:color="auto" w:frame="1"/>
        </w:rPr>
        <w:footnoteReference w:id="44"/>
      </w:r>
    </w:p>
    <w:p w14:paraId="6BE73197" w14:textId="176148B3" w:rsidR="0022166D" w:rsidRDefault="003E47DA" w:rsidP="00FC739D">
      <w:pPr>
        <w:pStyle w:val="ListParagraph"/>
        <w:numPr>
          <w:ilvl w:val="0"/>
          <w:numId w:val="2"/>
        </w:numPr>
        <w:spacing w:after="120" w:line="360" w:lineRule="auto"/>
        <w:contextualSpacing w:val="0"/>
        <w:textAlignment w:val="baseline"/>
        <w:rPr>
          <w:rFonts w:eastAsia="Times New Roman" w:cs="Arial"/>
          <w:color w:val="000000" w:themeColor="text1"/>
        </w:rPr>
      </w:pPr>
      <w:r w:rsidRPr="00547FAC">
        <w:rPr>
          <w:rFonts w:eastAsia="Times New Roman" w:cs="Arial"/>
          <w:b/>
          <w:bCs/>
          <w:color w:val="000000" w:themeColor="text1"/>
          <w:bdr w:val="none" w:sz="0" w:space="0" w:color="auto" w:frame="1"/>
        </w:rPr>
        <w:t>Activities Covered</w:t>
      </w:r>
      <w:r>
        <w:rPr>
          <w:rFonts w:eastAsia="Times New Roman" w:cs="Arial"/>
          <w:b/>
          <w:bCs/>
          <w:color w:val="000000" w:themeColor="text1"/>
          <w:bdr w:val="none" w:sz="0" w:space="0" w:color="auto" w:frame="1"/>
        </w:rPr>
        <w:t xml:space="preserve"> </w:t>
      </w:r>
      <w:r w:rsidRPr="00DD5556">
        <w:rPr>
          <w:rFonts w:eastAsia="Times New Roman" w:cs="Arial"/>
          <w:color w:val="000000" w:themeColor="text1"/>
          <w:bdr w:val="none" w:sz="0" w:space="0" w:color="auto" w:frame="1"/>
        </w:rPr>
        <w:t>—</w:t>
      </w:r>
      <w:r>
        <w:rPr>
          <w:rFonts w:eastAsia="Times New Roman" w:cs="Arial"/>
          <w:color w:val="000000" w:themeColor="text1"/>
          <w:bdr w:val="none" w:sz="0" w:space="0" w:color="auto" w:frame="1"/>
        </w:rPr>
        <w:t xml:space="preserve"> </w:t>
      </w:r>
      <w:r w:rsidR="0022166D" w:rsidRPr="003E47DA">
        <w:rPr>
          <w:rFonts w:eastAsia="Times New Roman" w:cs="Arial"/>
          <w:color w:val="000000" w:themeColor="text1"/>
        </w:rPr>
        <w:t>Immunity applies to the development, manufacture, testing, distribution, administration, and use of countermeasures.</w:t>
      </w:r>
      <w:r w:rsidR="006935C1">
        <w:rPr>
          <w:rFonts w:eastAsia="Times New Roman" w:cs="Arial"/>
          <w:color w:val="000000" w:themeColor="text1"/>
        </w:rPr>
        <w:t xml:space="preserve"> The act covers a countermeasure regardless of whether it was acquired by donation, commercial sale, or other means of distribution, unless the declaration states that coverage only applies to countermeasures obtained through a particular means of distribution.</w:t>
      </w:r>
      <w:r w:rsidR="006935C1">
        <w:rPr>
          <w:rStyle w:val="FootnoteReference"/>
          <w:rFonts w:eastAsia="Times New Roman" w:cs="Arial"/>
          <w:color w:val="000000" w:themeColor="text1"/>
        </w:rPr>
        <w:footnoteReference w:id="45"/>
      </w:r>
    </w:p>
    <w:p w14:paraId="44F1B44D" w14:textId="6447BD45" w:rsidR="0022166D" w:rsidRPr="00547FAC" w:rsidRDefault="0022166D" w:rsidP="002B5A65">
      <w:pPr>
        <w:pStyle w:val="ListParagraph"/>
        <w:numPr>
          <w:ilvl w:val="0"/>
          <w:numId w:val="2"/>
        </w:numPr>
        <w:spacing w:line="360" w:lineRule="auto"/>
        <w:textAlignment w:val="baseline"/>
        <w:rPr>
          <w:rFonts w:eastAsia="Times New Roman" w:cs="Arial"/>
          <w:color w:val="000000" w:themeColor="text1"/>
        </w:rPr>
      </w:pPr>
      <w:r w:rsidRPr="00547FAC">
        <w:rPr>
          <w:rFonts w:eastAsia="Times New Roman" w:cs="Arial"/>
          <w:b/>
          <w:bCs/>
          <w:color w:val="000000" w:themeColor="text1"/>
          <w:bdr w:val="none" w:sz="0" w:space="0" w:color="auto" w:frame="1"/>
        </w:rPr>
        <w:t>Claims Covered—</w:t>
      </w:r>
      <w:r w:rsidRPr="00547FAC">
        <w:rPr>
          <w:rFonts w:eastAsia="Times New Roman" w:cs="Arial"/>
          <w:color w:val="000000" w:themeColor="text1"/>
        </w:rPr>
        <w:t>The act provides immunity from liability except for willful misconduct.</w:t>
      </w:r>
      <w:r w:rsidR="006D7A2B">
        <w:rPr>
          <w:rStyle w:val="FootnoteReference"/>
          <w:rFonts w:eastAsia="Times New Roman" w:cs="Arial"/>
          <w:color w:val="000000" w:themeColor="text1"/>
        </w:rPr>
        <w:footnoteReference w:id="46"/>
      </w:r>
      <w:r w:rsidRPr="00547FAC">
        <w:rPr>
          <w:rFonts w:eastAsia="Times New Roman" w:cs="Arial"/>
          <w:color w:val="000000" w:themeColor="text1"/>
        </w:rPr>
        <w:t xml:space="preserve"> PREP Act immunity covers claims for death and physical, mental, or emotional injury, illness, or disability and </w:t>
      </w:r>
      <w:r w:rsidRPr="00547FAC">
        <w:rPr>
          <w:rFonts w:eastAsia="Times New Roman" w:cs="Arial"/>
          <w:color w:val="000000" w:themeColor="text1"/>
        </w:rPr>
        <w:lastRenderedPageBreak/>
        <w:t>the fear of these conditions.</w:t>
      </w:r>
      <w:r w:rsidR="00C87D51">
        <w:rPr>
          <w:rStyle w:val="FootnoteReference"/>
          <w:rFonts w:eastAsia="Times New Roman" w:cs="Arial"/>
          <w:color w:val="000000" w:themeColor="text1"/>
        </w:rPr>
        <w:footnoteReference w:id="47"/>
      </w:r>
      <w:r w:rsidRPr="00547FAC">
        <w:rPr>
          <w:rFonts w:eastAsia="Times New Roman" w:cs="Arial"/>
          <w:color w:val="000000" w:themeColor="text1"/>
        </w:rPr>
        <w:t xml:space="preserve"> Liability protections also extend to claims made for medical monitoring as well as loss or damage to property, including business interruption.</w:t>
      </w:r>
      <w:r w:rsidR="00DD5556">
        <w:rPr>
          <w:rStyle w:val="FootnoteReference"/>
          <w:rFonts w:eastAsia="Times New Roman" w:cs="Arial"/>
          <w:color w:val="000000" w:themeColor="text1"/>
        </w:rPr>
        <w:footnoteReference w:id="48"/>
      </w:r>
      <w:r w:rsidRPr="00547FAC">
        <w:rPr>
          <w:rFonts w:eastAsia="Times New Roman" w:cs="Arial"/>
          <w:color w:val="000000" w:themeColor="text1"/>
        </w:rPr>
        <w:t xml:space="preserve"> Claims that have a causal relationship to the development, distribution, administration, or use of the covered countermeasures are included within the scope of PREP Act liability protections.</w:t>
      </w:r>
      <w:r w:rsidR="00D9230D" w:rsidRPr="00547FAC">
        <w:rPr>
          <w:rFonts w:eastAsia="Times New Roman" w:cs="Arial"/>
          <w:color w:val="000000" w:themeColor="text1"/>
          <w:bdr w:val="none" w:sz="0" w:space="0" w:color="auto" w:frame="1"/>
          <w:vertAlign w:val="superscript"/>
        </w:rPr>
        <w:t xml:space="preserve"> </w:t>
      </w:r>
      <w:r w:rsidR="00D9230D" w:rsidRPr="00547FAC">
        <w:rPr>
          <w:rStyle w:val="FootnoteReference"/>
          <w:rFonts w:eastAsia="Times New Roman" w:cs="Arial"/>
          <w:color w:val="000000" w:themeColor="text1"/>
          <w:bdr w:val="none" w:sz="0" w:space="0" w:color="auto" w:frame="1"/>
        </w:rPr>
        <w:footnoteReference w:id="49"/>
      </w:r>
      <w:r w:rsidR="003E47DA">
        <w:rPr>
          <w:rFonts w:eastAsia="Times New Roman" w:cs="Arial"/>
          <w:color w:val="000000" w:themeColor="text1"/>
          <w:bdr w:val="none" w:sz="0" w:space="0" w:color="auto" w:frame="1"/>
          <w:vertAlign w:val="superscript"/>
        </w:rPr>
        <w:t xml:space="preserve"> </w:t>
      </w:r>
      <w:r w:rsidR="003E47DA">
        <w:rPr>
          <w:rFonts w:eastAsia="Times New Roman" w:cs="Arial"/>
          <w:color w:val="000000" w:themeColor="text1"/>
          <w:bdr w:val="none" w:sz="0" w:space="0" w:color="auto" w:frame="1"/>
        </w:rPr>
        <w:t xml:space="preserve"> </w:t>
      </w:r>
    </w:p>
    <w:p w14:paraId="666AE588" w14:textId="2DF48FC3" w:rsidR="003E47DA" w:rsidRDefault="003E47DA" w:rsidP="002B5A65">
      <w:pPr>
        <w:spacing w:line="360" w:lineRule="auto"/>
        <w:textAlignment w:val="baseline"/>
        <w:rPr>
          <w:rFonts w:eastAsia="Times New Roman" w:cs="Arial"/>
          <w:color w:val="000000" w:themeColor="text1"/>
        </w:rPr>
      </w:pPr>
    </w:p>
    <w:p w14:paraId="2B5F2FC6" w14:textId="480B2393" w:rsidR="0022166D" w:rsidRPr="0027575E" w:rsidRDefault="006D7A2B" w:rsidP="002B5A65">
      <w:pPr>
        <w:spacing w:line="360" w:lineRule="auto"/>
        <w:rPr>
          <w:rFonts w:eastAsia="Times New Roman" w:cs="Arial"/>
          <w:b/>
          <w:bCs/>
          <w:color w:val="000000" w:themeColor="text1"/>
          <w:sz w:val="24"/>
          <w:szCs w:val="24"/>
        </w:rPr>
      </w:pPr>
      <w:r w:rsidRPr="0027575E">
        <w:rPr>
          <w:rFonts w:eastAsia="Times New Roman" w:cs="Arial"/>
          <w:b/>
          <w:bCs/>
          <w:color w:val="000000" w:themeColor="text1"/>
          <w:sz w:val="24"/>
          <w:szCs w:val="24"/>
        </w:rPr>
        <w:t>Limitations on Immunity</w:t>
      </w:r>
    </w:p>
    <w:p w14:paraId="7DB89938" w14:textId="215B1382" w:rsidR="0022166D" w:rsidRDefault="0022166D" w:rsidP="004A7AC5">
      <w:pPr>
        <w:spacing w:line="360" w:lineRule="auto"/>
      </w:pPr>
      <w:r w:rsidRPr="00547FAC">
        <w:t xml:space="preserve">A PREP Act declaration by the HHS </w:t>
      </w:r>
      <w:r w:rsidR="0049605C">
        <w:t>S</w:t>
      </w:r>
      <w:r w:rsidRPr="00547FAC">
        <w:t>ecretary only provides immunity from liability for the persons, activities, and countermeasures specified in the declaration; it does not automatically protect everyone involved in any kind of medical response to an emergency. The act’s liability protections do not apply where the liability arose from willful misconduct.</w:t>
      </w:r>
      <w:r w:rsidR="00791647">
        <w:rPr>
          <w:rStyle w:val="FootnoteReference"/>
        </w:rPr>
        <w:footnoteReference w:id="50"/>
      </w:r>
      <w:r w:rsidRPr="00547FAC">
        <w:t xml:space="preserve"> </w:t>
      </w:r>
      <w:r w:rsidR="000272F4" w:rsidRPr="000272F4">
        <w:t>The PREP Act defines “willful misconduct” as an act or failure to act that is taken: 1) intentionally to achieve a wrongful purpose; 2) knowingly without legal or factual justification; and 3) in disregard of a known or obvious risk that is so great as to make it highly probable that the harm will outweigh the benefit.</w:t>
      </w:r>
      <w:r w:rsidR="000272F4">
        <w:rPr>
          <w:rStyle w:val="FootnoteReference"/>
        </w:rPr>
        <w:footnoteReference w:id="51"/>
      </w:r>
      <w:r w:rsidR="000272F4">
        <w:t xml:space="preserve"> </w:t>
      </w:r>
      <w:r w:rsidRPr="00547FAC">
        <w:t>The PREP Act does not confer any other immunities or liability protections.</w:t>
      </w:r>
    </w:p>
    <w:p w14:paraId="4C839D10" w14:textId="702D40DB" w:rsidR="00590898" w:rsidRDefault="00590898" w:rsidP="00590898">
      <w:pPr>
        <w:spacing w:line="360" w:lineRule="auto"/>
      </w:pPr>
    </w:p>
    <w:p w14:paraId="131E0DCB" w14:textId="649438D8" w:rsidR="00590898" w:rsidRDefault="00590898" w:rsidP="00590898">
      <w:pPr>
        <w:spacing w:line="360" w:lineRule="auto"/>
      </w:pPr>
      <w:r>
        <w:t xml:space="preserve">The PREP Act contains detailed provisions for suing to challenge the claims of immunity by a covered person. The act rests exclusive federal jurisdiction in the United States District Court for the District of </w:t>
      </w:r>
      <w:r w:rsidR="000272F4">
        <w:t>Columbia but</w:t>
      </w:r>
      <w:r>
        <w:t xml:space="preserve"> allows for the choice of law governing substantive issues to be the state in which the alleged willful misconduct occurred, unless such law is inconsistent with or preempted by federal law.</w:t>
      </w:r>
      <w:r w:rsidRPr="00590898">
        <w:rPr>
          <w:rStyle w:val="FootnoteReference"/>
        </w:rPr>
        <w:t xml:space="preserve"> </w:t>
      </w:r>
      <w:r>
        <w:rPr>
          <w:rStyle w:val="FootnoteReference"/>
        </w:rPr>
        <w:footnoteReference w:id="52"/>
      </w:r>
    </w:p>
    <w:p w14:paraId="69059357" w14:textId="77777777" w:rsidR="00001127" w:rsidRDefault="00001127" w:rsidP="001222A2">
      <w:pPr>
        <w:spacing w:line="360" w:lineRule="auto"/>
        <w:rPr>
          <w:rFonts w:eastAsia="Times New Roman" w:cs="Arial"/>
          <w:b/>
          <w:bCs/>
          <w:color w:val="000000" w:themeColor="text1"/>
        </w:rPr>
      </w:pPr>
    </w:p>
    <w:p w14:paraId="57A85B81" w14:textId="33052FBF" w:rsidR="001222A2" w:rsidRPr="0027575E" w:rsidRDefault="001222A2" w:rsidP="001222A2">
      <w:pPr>
        <w:spacing w:line="360" w:lineRule="auto"/>
        <w:rPr>
          <w:rFonts w:eastAsia="Times New Roman" w:cs="Arial"/>
          <w:b/>
          <w:bCs/>
          <w:color w:val="000000" w:themeColor="text1"/>
          <w:sz w:val="24"/>
          <w:szCs w:val="24"/>
        </w:rPr>
      </w:pPr>
      <w:r w:rsidRPr="0027575E">
        <w:rPr>
          <w:rFonts w:eastAsia="Times New Roman" w:cs="Arial"/>
          <w:b/>
          <w:bCs/>
          <w:color w:val="000000" w:themeColor="text1"/>
          <w:sz w:val="24"/>
          <w:szCs w:val="24"/>
        </w:rPr>
        <w:t>Compensation Fund</w:t>
      </w:r>
    </w:p>
    <w:p w14:paraId="351A2FCD" w14:textId="3C2CA631" w:rsidR="0022166D" w:rsidRPr="00547FAC" w:rsidRDefault="001222A2" w:rsidP="004A7AC5">
      <w:pPr>
        <w:spacing w:line="360" w:lineRule="auto"/>
      </w:pPr>
      <w:r w:rsidRPr="00547FAC">
        <w:t>The PREP Act authorizes an emergency fund in the U.S. Treasury to provide compensation for injuries directly caused by administration or use of a countermeasure covered by the secretary’s declaration.</w:t>
      </w:r>
      <w:r w:rsidR="00CC3789">
        <w:rPr>
          <w:rStyle w:val="FootnoteReference"/>
        </w:rPr>
        <w:footnoteReference w:id="53"/>
      </w:r>
      <w:r w:rsidRPr="00547FAC">
        <w:t xml:space="preserve"> </w:t>
      </w:r>
      <w:r w:rsidRPr="00547FAC">
        <w:lastRenderedPageBreak/>
        <w:t xml:space="preserve">The </w:t>
      </w:r>
      <w:r w:rsidRPr="00547FAC">
        <w:rPr>
          <w:bdr w:val="none" w:sz="0" w:space="0" w:color="auto" w:frame="1"/>
        </w:rPr>
        <w:t xml:space="preserve">Countermeasures Injury Compensation Program (CICP) </w:t>
      </w:r>
      <w:r w:rsidRPr="00547FAC">
        <w:t>is administered by the Health Resources and Services Administration (HRSA).</w:t>
      </w:r>
      <w:r w:rsidR="0049605C">
        <w:rPr>
          <w:rStyle w:val="FootnoteReference"/>
        </w:rPr>
        <w:footnoteReference w:id="54"/>
      </w:r>
      <w:r w:rsidR="0022166D" w:rsidRPr="00547FAC">
        <w:t xml:space="preserve"> Claims must be filed within one year of administration or use of a covered countermeasure.</w:t>
      </w:r>
      <w:r w:rsidR="009648B4">
        <w:rPr>
          <w:rStyle w:val="FootnoteReference"/>
        </w:rPr>
        <w:footnoteReference w:id="55"/>
      </w:r>
      <w:r w:rsidR="0022166D" w:rsidRPr="00547FAC">
        <w:t xml:space="preserve"> Eligible countermeasures include certain influenza vaccines, antivirals, respiratory protection and support devices, and anything to identify, prevent, or treat smallpox, anthrax, botulinum toxin, and acute radiation syndrome.</w:t>
      </w:r>
      <w:r w:rsidR="00D9230D" w:rsidRPr="00547FAC">
        <w:rPr>
          <w:rStyle w:val="FootnoteReference"/>
          <w:rFonts w:eastAsia="Times New Roman" w:cs="Arial"/>
          <w:color w:val="000000" w:themeColor="text1"/>
        </w:rPr>
        <w:footnoteReference w:id="56"/>
      </w:r>
      <w:r w:rsidR="00D9230D" w:rsidRPr="00547FAC">
        <w:t xml:space="preserve"> </w:t>
      </w:r>
      <w:r w:rsidR="0022166D" w:rsidRPr="00547FAC">
        <w:t>Claims for injuries from seasonal influenza vaccine are administered through the</w:t>
      </w:r>
      <w:r w:rsidR="002B5A65" w:rsidRPr="00547FAC">
        <w:t xml:space="preserve"> </w:t>
      </w:r>
      <w:r w:rsidR="0022166D" w:rsidRPr="00547FAC">
        <w:rPr>
          <w:bdr w:val="none" w:sz="0" w:space="0" w:color="auto" w:frame="1"/>
        </w:rPr>
        <w:t>National Vaccine Injury Compensation Program (VICP)</w:t>
      </w:r>
      <w:r w:rsidR="0022166D" w:rsidRPr="00547FAC">
        <w:t>.</w:t>
      </w:r>
      <w:r w:rsidR="009648B4">
        <w:rPr>
          <w:rStyle w:val="FootnoteReference"/>
        </w:rPr>
        <w:footnoteReference w:id="57"/>
      </w:r>
    </w:p>
    <w:p w14:paraId="7750FAB9" w14:textId="17963C29" w:rsidR="001B295F" w:rsidRDefault="001B295F" w:rsidP="004A7AC5">
      <w:pPr>
        <w:spacing w:line="360" w:lineRule="auto"/>
      </w:pPr>
    </w:p>
    <w:p w14:paraId="798EA138" w14:textId="0A288105" w:rsidR="004B7439" w:rsidRPr="00547FAC" w:rsidRDefault="004B7439" w:rsidP="004A7AC5">
      <w:pPr>
        <w:spacing w:line="360" w:lineRule="auto"/>
      </w:pPr>
      <w:r>
        <w:rPr>
          <w:noProof/>
        </w:rPr>
        <mc:AlternateContent>
          <mc:Choice Requires="wps">
            <w:drawing>
              <wp:anchor distT="45720" distB="45720" distL="114300" distR="114300" simplePos="0" relativeHeight="251663360" behindDoc="0" locked="0" layoutInCell="1" allowOverlap="1" wp14:anchorId="4EEA43B4" wp14:editId="2C59EDC0">
                <wp:simplePos x="0" y="0"/>
                <wp:positionH relativeFrom="margin">
                  <wp:align>center</wp:align>
                </wp:positionH>
                <wp:positionV relativeFrom="paragraph">
                  <wp:posOffset>4168140</wp:posOffset>
                </wp:positionV>
                <wp:extent cx="5514340" cy="1404620"/>
                <wp:effectExtent l="0" t="0" r="101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6FCBE79D" w14:textId="4C2E8A32" w:rsidR="004B7439" w:rsidRPr="004C64AD" w:rsidRDefault="004B7439" w:rsidP="004B7439">
                            <w:pPr>
                              <w:rPr>
                                <w:sz w:val="20"/>
                                <w:szCs w:val="20"/>
                              </w:rPr>
                            </w:pPr>
                            <w:r w:rsidRPr="004C64AD">
                              <w:rPr>
                                <w:sz w:val="20"/>
                                <w:szCs w:val="20"/>
                              </w:rPr>
                              <w:t xml:space="preserve">This CSTE project was funded under a cooperative agreement with the Centers for Disease Control and Prevention (NU38OT000297-01-00). The </w:t>
                            </w:r>
                            <w:r w:rsidR="0027575E">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EA43B4" id="_x0000_t202" coordsize="21600,21600" o:spt="202" path="m,l,21600r21600,l21600,xe">
                <v:stroke joinstyle="miter"/>
                <v:path gradientshapeok="t" o:connecttype="rect"/>
              </v:shapetype>
              <v:shape id="_x0000_s1027" type="#_x0000_t202" style="position:absolute;margin-left:0;margin-top:328.2pt;width:434.2pt;height:110.6pt;z-index:25166336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">
                <v:textbox style="mso-fit-shape-to-text:t">
                  <w:txbxContent>
                    <w:p w14:paraId="6FCBE79D" w14:textId="4C2E8A32" w:rsidR="004B7439" w:rsidRPr="004C64AD" w:rsidRDefault="004B7439" w:rsidP="004B7439">
                      <w:pPr>
                        <w:rPr>
                          <w:sz w:val="20"/>
                          <w:szCs w:val="20"/>
                        </w:rPr>
                      </w:pPr>
                      <w:r w:rsidRPr="004C64AD">
                        <w:rPr>
                          <w:sz w:val="20"/>
                          <w:szCs w:val="20"/>
                        </w:rPr>
                        <w:t xml:space="preserve">This CSTE project was funded under a cooperative agreement with the Centers for Disease Control and Prevention (NU38OT000297-01-00). The </w:t>
                      </w:r>
                      <w:r w:rsidR="0027575E">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4B7439" w:rsidRPr="00547FAC" w:rsidSect="005C3E89">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C86AC7" w14:textId="77777777" w:rsidR="00C20721" w:rsidRDefault="00C20721" w:rsidP="0022166D">
      <w:r>
        <w:separator/>
      </w:r>
    </w:p>
  </w:endnote>
  <w:endnote w:type="continuationSeparator" w:id="0">
    <w:p w14:paraId="2A17554F" w14:textId="77777777" w:rsidR="00C20721" w:rsidRDefault="00C20721" w:rsidP="00221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1008064"/>
      <w:docPartObj>
        <w:docPartGallery w:val="Page Numbers (Bottom of Page)"/>
        <w:docPartUnique/>
      </w:docPartObj>
    </w:sdtPr>
    <w:sdtEndPr>
      <w:rPr>
        <w:noProof/>
        <w:sz w:val="20"/>
        <w:szCs w:val="20"/>
      </w:rPr>
    </w:sdtEndPr>
    <w:sdtContent>
      <w:p w14:paraId="684F6C44" w14:textId="77777777" w:rsidR="002A41D3" w:rsidRPr="006B646B" w:rsidRDefault="002A41D3" w:rsidP="002A41D3">
        <w:pPr>
          <w:pStyle w:val="Footer"/>
          <w:jc w:val="center"/>
          <w:rPr>
            <w:sz w:val="20"/>
            <w:szCs w:val="20"/>
          </w:rPr>
        </w:pPr>
        <w:r w:rsidRPr="006B646B">
          <w:rPr>
            <w:sz w:val="20"/>
            <w:szCs w:val="20"/>
          </w:rPr>
          <w:fldChar w:fldCharType="begin"/>
        </w:r>
        <w:r w:rsidRPr="006B646B">
          <w:rPr>
            <w:sz w:val="20"/>
            <w:szCs w:val="20"/>
          </w:rPr>
          <w:instrText xml:space="preserve"> PAGE   \* MERGEFORMAT </w:instrText>
        </w:r>
        <w:r w:rsidRPr="006B646B">
          <w:rPr>
            <w:sz w:val="20"/>
            <w:szCs w:val="20"/>
          </w:rPr>
          <w:fldChar w:fldCharType="separate"/>
        </w:r>
        <w:r w:rsidRPr="006B646B">
          <w:rPr>
            <w:noProof/>
            <w:sz w:val="20"/>
            <w:szCs w:val="20"/>
          </w:rPr>
          <w:t>2</w:t>
        </w:r>
        <w:r w:rsidRPr="006B646B">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A04365" w14:textId="77777777" w:rsidR="00516BA5" w:rsidRDefault="00516BA5" w:rsidP="00516BA5">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64E63513" w14:textId="464651BB" w:rsidR="005C3E89" w:rsidRDefault="00516BA5" w:rsidP="00516BA5">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E439AD" w14:textId="77777777" w:rsidR="00C20721" w:rsidRDefault="00C20721" w:rsidP="0022166D">
      <w:r>
        <w:separator/>
      </w:r>
    </w:p>
  </w:footnote>
  <w:footnote w:type="continuationSeparator" w:id="0">
    <w:p w14:paraId="79F64505" w14:textId="77777777" w:rsidR="00C20721" w:rsidRDefault="00C20721" w:rsidP="0022166D">
      <w:r>
        <w:continuationSeparator/>
      </w:r>
    </w:p>
  </w:footnote>
  <w:footnote w:id="1">
    <w:p w14:paraId="1E23ED4B" w14:textId="1A541D84" w:rsidR="006B646B" w:rsidRPr="006649BC" w:rsidRDefault="006B646B" w:rsidP="006B646B">
      <w:pPr>
        <w:tabs>
          <w:tab w:val="left" w:pos="686"/>
        </w:tabs>
        <w:rPr>
          <w:rFonts w:cstheme="minorHAnsi"/>
          <w:b/>
          <w:bCs/>
          <w:sz w:val="20"/>
          <w:szCs w:val="20"/>
        </w:rPr>
      </w:pPr>
      <w:r w:rsidRPr="006649BC">
        <w:rPr>
          <w:rFonts w:cstheme="minorHAnsi"/>
          <w:b/>
          <w:bCs/>
          <w:sz w:val="20"/>
          <w:szCs w:val="20"/>
          <w:highlight w:val="yellow"/>
        </w:rPr>
        <w:t xml:space="preserve">Footnotes will be streamlined and edited to </w:t>
      </w:r>
      <w:r w:rsidR="00563D2E" w:rsidRPr="006649BC">
        <w:rPr>
          <w:rFonts w:cstheme="minorHAnsi"/>
          <w:b/>
          <w:bCs/>
          <w:sz w:val="20"/>
          <w:szCs w:val="20"/>
          <w:highlight w:val="yellow"/>
        </w:rPr>
        <w:t xml:space="preserve">a </w:t>
      </w:r>
      <w:r w:rsidRPr="006649BC">
        <w:rPr>
          <w:rFonts w:cstheme="minorHAnsi"/>
          <w:b/>
          <w:bCs/>
          <w:sz w:val="20"/>
          <w:szCs w:val="20"/>
          <w:highlight w:val="yellow"/>
        </w:rPr>
        <w:t>style guide once text is finalized</w:t>
      </w:r>
    </w:p>
    <w:p w14:paraId="3519A28F" w14:textId="161AD32C"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Public Readiness and Emergency Preparedness Response Act of 2005, Pub. L. No. 109-148. Codified in the Public Health Service Act at </w:t>
      </w:r>
      <w:bookmarkStart w:id="0" w:name="_Hlk20756798"/>
      <w:r w:rsidRPr="006649BC">
        <w:rPr>
          <w:rFonts w:cstheme="minorHAnsi"/>
        </w:rPr>
        <w:t xml:space="preserve">42 U.S.C. §247d-6d </w:t>
      </w:r>
      <w:bookmarkEnd w:id="0"/>
      <w:r w:rsidRPr="006649BC">
        <w:rPr>
          <w:rFonts w:cstheme="minorHAnsi"/>
        </w:rPr>
        <w:t>and §247d-6e.</w:t>
      </w:r>
    </w:p>
  </w:footnote>
  <w:footnote w:id="2">
    <w:p w14:paraId="3F16B8C5" w14:textId="1BB7B433" w:rsidR="00D918E0" w:rsidRPr="006649BC" w:rsidRDefault="00D918E0">
      <w:pPr>
        <w:pStyle w:val="FootnoteText"/>
        <w:rPr>
          <w:rFonts w:cstheme="minorHAnsi"/>
        </w:rPr>
      </w:pPr>
      <w:r w:rsidRPr="006649BC">
        <w:rPr>
          <w:rStyle w:val="FootnoteReference"/>
          <w:rFonts w:cstheme="minorHAnsi"/>
        </w:rPr>
        <w:footnoteRef/>
      </w:r>
      <w:r w:rsidRPr="006649BC">
        <w:rPr>
          <w:rFonts w:cstheme="minorHAnsi"/>
        </w:rPr>
        <w:t xml:space="preserve"> HHS Office of the Assistant Secretary of Preparedness and Emergency Response. “Public Readiness and Emergency Preparedness Act Questions and Answers” webpage. </w:t>
      </w:r>
      <w:r w:rsidR="0022219A" w:rsidRPr="006649BC">
        <w:rPr>
          <w:rFonts w:cstheme="minorHAnsi"/>
        </w:rPr>
        <w:t xml:space="preserve">Webpage last reviewed September 05, 2019. </w:t>
      </w:r>
      <w:r w:rsidRPr="006649BC">
        <w:rPr>
          <w:rFonts w:cstheme="minorHAnsi"/>
        </w:rPr>
        <w:t xml:space="preserve">Retrieved from </w:t>
      </w:r>
      <w:hyperlink r:id="rId1" w:history="1">
        <w:r w:rsidRPr="006649BC">
          <w:rPr>
            <w:rStyle w:val="Hyperlink"/>
            <w:rFonts w:cstheme="minorHAnsi"/>
          </w:rPr>
          <w:t>https://www.phe.gov/Preparedness/legal/Pages/phe-qa.aspx</w:t>
        </w:r>
      </w:hyperlink>
      <w:r w:rsidRPr="006649BC">
        <w:rPr>
          <w:rFonts w:cstheme="minorHAnsi"/>
        </w:rPr>
        <w:t>.</w:t>
      </w:r>
    </w:p>
  </w:footnote>
  <w:footnote w:id="3">
    <w:p w14:paraId="55AD563D" w14:textId="77777777" w:rsidR="005C6F21" w:rsidRPr="006649BC" w:rsidRDefault="005C6F21" w:rsidP="005C6F21">
      <w:pPr>
        <w:pStyle w:val="FootnoteText"/>
        <w:rPr>
          <w:rFonts w:cstheme="minorHAnsi"/>
        </w:rPr>
      </w:pPr>
      <w:r w:rsidRPr="006649BC">
        <w:rPr>
          <w:rStyle w:val="FootnoteReference"/>
          <w:rFonts w:cstheme="minorHAnsi"/>
        </w:rPr>
        <w:footnoteRef/>
      </w:r>
      <w:r w:rsidRPr="006649BC">
        <w:rPr>
          <w:rFonts w:cstheme="minorHAnsi"/>
        </w:rPr>
        <w:t xml:space="preserve"> HHS Office of the Assistant Secretary of Preparedness and Emergency Response. “Public Readiness and Emergency Preparedness Act Questions and Answers” webpage. Webpage last reviewed September 05, 2019. Retrieved from </w:t>
      </w:r>
      <w:hyperlink r:id="rId2" w:history="1">
        <w:r w:rsidRPr="006649BC">
          <w:rPr>
            <w:rStyle w:val="Hyperlink"/>
            <w:rFonts w:cstheme="minorHAnsi"/>
          </w:rPr>
          <w:t>https://www.phe.gov/Preparedness/legal/Pages/phe-qa.aspx</w:t>
        </w:r>
      </w:hyperlink>
      <w:r w:rsidRPr="006649BC">
        <w:rPr>
          <w:rFonts w:cstheme="minorHAnsi"/>
        </w:rPr>
        <w:t>.</w:t>
      </w:r>
    </w:p>
  </w:footnote>
  <w:footnote w:id="4">
    <w:p w14:paraId="376EE9D8" w14:textId="3B23B833" w:rsidR="003403DA" w:rsidRPr="006649BC" w:rsidRDefault="003403DA" w:rsidP="003403DA">
      <w:pPr>
        <w:pStyle w:val="FootnoteText"/>
        <w:rPr>
          <w:rFonts w:cstheme="minorHAnsi"/>
        </w:rPr>
      </w:pPr>
      <w:r w:rsidRPr="006649BC">
        <w:rPr>
          <w:rStyle w:val="FootnoteReference"/>
          <w:rFonts w:cstheme="minorHAnsi"/>
        </w:rPr>
        <w:footnoteRef/>
      </w:r>
      <w:r w:rsidRPr="006649BC">
        <w:rPr>
          <w:rFonts w:cstheme="minorHAnsi"/>
        </w:rPr>
        <w:t xml:space="preserve"> Pub. L. No. 116-136. </w:t>
      </w:r>
      <w:r w:rsidR="000F36E8" w:rsidRPr="006649BC">
        <w:rPr>
          <w:rFonts w:cstheme="minorHAnsi"/>
        </w:rPr>
        <w:t>For a summary of the CARES Act, see ASTHO</w:t>
      </w:r>
      <w:r w:rsidR="003E7579" w:rsidRPr="006649BC">
        <w:rPr>
          <w:rFonts w:cstheme="minorHAnsi"/>
        </w:rPr>
        <w:t xml:space="preserve"> Legislative Alert (</w:t>
      </w:r>
      <w:r w:rsidR="008448C2" w:rsidRPr="006649BC">
        <w:rPr>
          <w:rFonts w:cstheme="minorHAnsi"/>
        </w:rPr>
        <w:t xml:space="preserve">April 3, 2020). Retrieved from </w:t>
      </w:r>
      <w:hyperlink r:id="rId3" w:history="1">
        <w:r w:rsidR="008448C2" w:rsidRPr="006649BC">
          <w:rPr>
            <w:rStyle w:val="Hyperlink"/>
            <w:rFonts w:cstheme="minorHAnsi"/>
          </w:rPr>
          <w:t>https://astho.informz.net/informzdataservice/onlineversion/ind/bWFpbGluZ2luc3RhbmNlaWQ9MjkyNDgzMiZzdWJzY3JpYmVyaWQ9Mzg3NTk0OTU1</w:t>
        </w:r>
      </w:hyperlink>
      <w:r w:rsidR="008448C2" w:rsidRPr="006649BC">
        <w:rPr>
          <w:rFonts w:cstheme="minorHAnsi"/>
        </w:rPr>
        <w:t>.</w:t>
      </w:r>
    </w:p>
  </w:footnote>
  <w:footnote w:id="5">
    <w:p w14:paraId="0F96083A" w14:textId="00F993E0"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w:t>
      </w:r>
      <w:r w:rsidR="00BF37BE" w:rsidRPr="006649BC">
        <w:rPr>
          <w:rFonts w:cstheme="minorHAnsi"/>
        </w:rPr>
        <w:t xml:space="preserve">The current declarations related to countermeasures for COVID-19; Ebola vaccines and therapeutics; nerve agents and certain insecticides; </w:t>
      </w:r>
      <w:r w:rsidR="00316C91" w:rsidRPr="006649BC">
        <w:rPr>
          <w:rFonts w:cstheme="minorHAnsi"/>
        </w:rPr>
        <w:t>Z</w:t>
      </w:r>
      <w:r w:rsidR="00BF37BE" w:rsidRPr="006649BC">
        <w:rPr>
          <w:rFonts w:cstheme="minorHAnsi"/>
        </w:rPr>
        <w:t xml:space="preserve">ika virus; pandemic influenza/H1N1; anthrax; acute radiation syndrome; botulinum toxin; and smallpox. </w:t>
      </w:r>
      <w:r w:rsidR="00BF37BE" w:rsidRPr="006649BC">
        <w:rPr>
          <w:rFonts w:cstheme="minorHAnsi"/>
          <w:i/>
          <w:iCs/>
        </w:rPr>
        <w:t>See</w:t>
      </w:r>
      <w:r w:rsidR="00BF37BE" w:rsidRPr="006649BC">
        <w:rPr>
          <w:rFonts w:cstheme="minorHAnsi"/>
        </w:rPr>
        <w:t xml:space="preserve"> </w:t>
      </w:r>
      <w:r w:rsidR="00BB6B46" w:rsidRPr="006649BC">
        <w:rPr>
          <w:rFonts w:cstheme="minorHAnsi"/>
        </w:rPr>
        <w:t xml:space="preserve">HHS Office of the Assistant Secretary of Preparedness and Emergency Response. “Public Readiness and Emergency Preparedness Act” website. </w:t>
      </w:r>
      <w:r w:rsidR="00EB367C" w:rsidRPr="006649BC">
        <w:rPr>
          <w:rFonts w:cstheme="minorHAnsi"/>
        </w:rPr>
        <w:t xml:space="preserve">Webpage last reviewed April 15, 2020. </w:t>
      </w:r>
      <w:r w:rsidR="00BB6B46" w:rsidRPr="006649BC">
        <w:rPr>
          <w:rFonts w:cstheme="minorHAnsi"/>
        </w:rPr>
        <w:t xml:space="preserve">Retrieved from </w:t>
      </w:r>
      <w:hyperlink r:id="rId4" w:history="1">
        <w:r w:rsidR="00BB6B46" w:rsidRPr="006649BC">
          <w:rPr>
            <w:rStyle w:val="Hyperlink"/>
            <w:rFonts w:cstheme="minorHAnsi"/>
          </w:rPr>
          <w:t>https://www.phe.gov/Preparedness/legal/prepact/Pages/default.aspx</w:t>
        </w:r>
      </w:hyperlink>
      <w:r w:rsidR="00BB6B46" w:rsidRPr="006649BC">
        <w:rPr>
          <w:rFonts w:cstheme="minorHAnsi"/>
        </w:rPr>
        <w:t>.</w:t>
      </w:r>
      <w:r w:rsidR="00956120" w:rsidRPr="006649BC">
        <w:rPr>
          <w:rFonts w:cstheme="minorHAnsi"/>
        </w:rPr>
        <w:t xml:space="preserve"> </w:t>
      </w:r>
    </w:p>
  </w:footnote>
  <w:footnote w:id="6">
    <w:p w14:paraId="480C720D" w14:textId="7CB57AD7" w:rsidR="000311D2" w:rsidRPr="006649BC" w:rsidRDefault="000311D2">
      <w:pPr>
        <w:pStyle w:val="FootnoteText"/>
        <w:rPr>
          <w:rFonts w:cstheme="minorHAnsi"/>
        </w:rPr>
      </w:pPr>
      <w:r w:rsidRPr="006649BC">
        <w:rPr>
          <w:rStyle w:val="FootnoteReference"/>
          <w:rFonts w:cstheme="minorHAnsi"/>
        </w:rPr>
        <w:footnoteRef/>
      </w:r>
      <w:r w:rsidRPr="006649BC">
        <w:rPr>
          <w:rFonts w:cstheme="minorHAnsi"/>
        </w:rPr>
        <w:t xml:space="preserve"> </w:t>
      </w:r>
      <w:bookmarkStart w:id="2" w:name="_Hlk42250786"/>
      <w:r w:rsidR="003B4868" w:rsidRPr="006649BC">
        <w:rPr>
          <w:rFonts w:cstheme="minorHAnsi"/>
        </w:rPr>
        <w:t xml:space="preserve">HHS Office of General Counsel. </w:t>
      </w:r>
      <w:r w:rsidR="00CC0E4B" w:rsidRPr="006649BC">
        <w:rPr>
          <w:rFonts w:cstheme="minorHAnsi"/>
        </w:rPr>
        <w:t xml:space="preserve">Advisory Opinion on The Public Readiness and Emergency Preparedness Act and The March 10, 2020 Declaration Under the Act. April 14, 2020. Retrieved from </w:t>
      </w:r>
      <w:bookmarkEnd w:id="2"/>
      <w:r w:rsidR="00C20721" w:rsidRPr="006649BC">
        <w:rPr>
          <w:rFonts w:cstheme="minorHAnsi"/>
        </w:rPr>
        <w:fldChar w:fldCharType="begin"/>
      </w:r>
      <w:r w:rsidR="00C20721" w:rsidRPr="006649BC">
        <w:rPr>
          <w:rFonts w:cstheme="minorHAnsi"/>
        </w:rPr>
        <w:instrText xml:space="preserve"> HYPERLINK "https://www.hhs.gov/sites/default/files/prep-act-advisory-opinion-april-14-2020.pdf" </w:instrText>
      </w:r>
      <w:r w:rsidR="00C20721" w:rsidRPr="006649BC">
        <w:rPr>
          <w:rFonts w:cstheme="minorHAnsi"/>
        </w:rPr>
        <w:fldChar w:fldCharType="separate"/>
      </w:r>
      <w:r w:rsidR="002C19FF" w:rsidRPr="006649BC">
        <w:rPr>
          <w:rStyle w:val="Hyperlink"/>
          <w:rFonts w:cstheme="minorHAnsi"/>
        </w:rPr>
        <w:t>https://www.hhs.gov/sites/default/files/prep-act-advisory-opinion-april-14-2020.pdf</w:t>
      </w:r>
      <w:r w:rsidR="00C20721" w:rsidRPr="006649BC">
        <w:rPr>
          <w:rStyle w:val="Hyperlink"/>
          <w:rFonts w:cstheme="minorHAnsi"/>
        </w:rPr>
        <w:fldChar w:fldCharType="end"/>
      </w:r>
      <w:r w:rsidR="002C19FF" w:rsidRPr="006649BC">
        <w:rPr>
          <w:rFonts w:cstheme="minorHAnsi"/>
        </w:rPr>
        <w:t xml:space="preserve">. </w:t>
      </w:r>
    </w:p>
  </w:footnote>
  <w:footnote w:id="7">
    <w:p w14:paraId="130A0847" w14:textId="554AE45C" w:rsidR="00BB327B" w:rsidRPr="006649BC" w:rsidRDefault="00BB327B" w:rsidP="00AC60E7">
      <w:pPr>
        <w:pStyle w:val="FootnoteText"/>
        <w:rPr>
          <w:rFonts w:cstheme="minorHAnsi"/>
        </w:rPr>
      </w:pPr>
      <w:r w:rsidRPr="006649BC">
        <w:rPr>
          <w:rStyle w:val="FootnoteReference"/>
          <w:rFonts w:cstheme="minorHAnsi"/>
        </w:rPr>
        <w:footnoteRef/>
      </w:r>
      <w:r w:rsidRPr="006649BC">
        <w:rPr>
          <w:rFonts w:cstheme="minorHAnsi"/>
        </w:rPr>
        <w:t xml:space="preserve"> </w:t>
      </w:r>
      <w:r w:rsidR="00D13355" w:rsidRPr="006649BC">
        <w:rPr>
          <w:rFonts w:cstheme="minorHAnsi"/>
        </w:rPr>
        <w:t xml:space="preserve">HHS Office of General Counsel. Advisory Opinion on The Public Readiness and Emergency Preparedness Act and The March 10, 2020 Declaration Under the Act. April 14, 2020. </w:t>
      </w:r>
      <w:r w:rsidR="002C19FF" w:rsidRPr="006649BC">
        <w:rPr>
          <w:rFonts w:cstheme="minorHAnsi"/>
        </w:rPr>
        <w:t xml:space="preserve">Retrieved from </w:t>
      </w:r>
      <w:hyperlink r:id="rId5" w:history="1">
        <w:r w:rsidR="002C19FF" w:rsidRPr="006649BC">
          <w:rPr>
            <w:rStyle w:val="Hyperlink"/>
            <w:rFonts w:cstheme="minorHAnsi"/>
          </w:rPr>
          <w:t>https://www.hhs.gov/sites/default/files/prep-act-advisory-opinion-april-14-2020.pdf</w:t>
        </w:r>
      </w:hyperlink>
      <w:r w:rsidR="002C19FF" w:rsidRPr="006649BC">
        <w:rPr>
          <w:rFonts w:cstheme="minorHAnsi"/>
        </w:rPr>
        <w:t xml:space="preserve">. </w:t>
      </w:r>
    </w:p>
  </w:footnote>
  <w:footnote w:id="8">
    <w:p w14:paraId="5C4A6854" w14:textId="32F78A5C" w:rsidR="00051A4A" w:rsidRPr="006649BC" w:rsidRDefault="00051A4A">
      <w:pPr>
        <w:pStyle w:val="FootnoteText"/>
        <w:rPr>
          <w:rFonts w:cstheme="minorHAnsi"/>
        </w:rPr>
      </w:pPr>
      <w:r w:rsidRPr="006649BC">
        <w:rPr>
          <w:rStyle w:val="FootnoteReference"/>
          <w:rFonts w:cstheme="minorHAnsi"/>
        </w:rPr>
        <w:footnoteRef/>
      </w:r>
      <w:r w:rsidRPr="006649BC">
        <w:rPr>
          <w:rFonts w:cstheme="minorHAnsi"/>
        </w:rPr>
        <w:t xml:space="preserve"> </w:t>
      </w:r>
      <w:r w:rsidR="00D13355" w:rsidRPr="006649BC">
        <w:rPr>
          <w:rFonts w:cstheme="minorHAnsi"/>
        </w:rPr>
        <w:t xml:space="preserve">HHS Office of General Counsel. Advisory Opinion 20-02 On the Public Readiness and Emergency Preparedness Act and the Secretary’s Declaration Under the Act. May 19, 2020. </w:t>
      </w:r>
      <w:r w:rsidRPr="006649BC">
        <w:rPr>
          <w:rFonts w:cstheme="minorHAnsi"/>
        </w:rPr>
        <w:t>Retrieved from</w:t>
      </w:r>
      <w:r w:rsidR="009E3816" w:rsidRPr="006649BC">
        <w:rPr>
          <w:rFonts w:cstheme="minorHAnsi"/>
        </w:rPr>
        <w:t xml:space="preserve"> </w:t>
      </w:r>
      <w:hyperlink r:id="rId6" w:history="1">
        <w:r w:rsidR="009E3816" w:rsidRPr="006649BC">
          <w:rPr>
            <w:rStyle w:val="Hyperlink"/>
            <w:rFonts w:cstheme="minorHAnsi"/>
          </w:rPr>
          <w:t>https://www.hhs.gov/sites/default/files/advisory-opinion-20-02-hhs-ogc-prep-act.pdf</w:t>
        </w:r>
      </w:hyperlink>
      <w:r w:rsidR="009E3816" w:rsidRPr="006649BC">
        <w:rPr>
          <w:rFonts w:cstheme="minorHAnsi"/>
        </w:rPr>
        <w:t>.</w:t>
      </w:r>
    </w:p>
  </w:footnote>
  <w:footnote w:id="9">
    <w:p w14:paraId="209E4AC2" w14:textId="1882F9A2" w:rsidR="009E3816" w:rsidRPr="006649BC" w:rsidRDefault="009E3816">
      <w:pPr>
        <w:pStyle w:val="FootnoteText"/>
        <w:rPr>
          <w:rFonts w:cstheme="minorHAnsi"/>
        </w:rPr>
      </w:pPr>
      <w:r w:rsidRPr="006649BC">
        <w:rPr>
          <w:rStyle w:val="FootnoteReference"/>
          <w:rFonts w:cstheme="minorHAnsi"/>
        </w:rPr>
        <w:footnoteRef/>
      </w:r>
      <w:r w:rsidRPr="006649BC">
        <w:rPr>
          <w:rFonts w:cstheme="minorHAnsi"/>
        </w:rPr>
        <w:t xml:space="preserve"> </w:t>
      </w:r>
      <w:bookmarkStart w:id="3" w:name="_Hlk42251344"/>
      <w:r w:rsidR="005F35D9" w:rsidRPr="006649BC">
        <w:rPr>
          <w:rFonts w:cstheme="minorHAnsi"/>
        </w:rPr>
        <w:t xml:space="preserve">HHS Office of General Counsel. Advisory Opinion 20-02 On the Public Readiness and Emergency Preparedness Act and the Secretary’s Declaration Under the Act. May 19, 2020. Retrieved from </w:t>
      </w:r>
      <w:hyperlink r:id="rId7" w:history="1">
        <w:r w:rsidR="005F35D9" w:rsidRPr="006649BC">
          <w:rPr>
            <w:rStyle w:val="Hyperlink"/>
            <w:rFonts w:cstheme="minorHAnsi"/>
          </w:rPr>
          <w:t>https://www.hhs.gov/sites/default/files/advisory-opinion-20-02-hhs-ogc-prep-act.pdf</w:t>
        </w:r>
      </w:hyperlink>
      <w:r w:rsidR="005F35D9" w:rsidRPr="006649BC">
        <w:rPr>
          <w:rFonts w:cstheme="minorHAnsi"/>
        </w:rPr>
        <w:t>.</w:t>
      </w:r>
      <w:bookmarkEnd w:id="3"/>
    </w:p>
  </w:footnote>
  <w:footnote w:id="10">
    <w:p w14:paraId="1CD9128A" w14:textId="5D61CF62" w:rsidR="002A41D3" w:rsidRPr="006649BC" w:rsidRDefault="002A41D3" w:rsidP="00C309A2">
      <w:pPr>
        <w:pStyle w:val="FootnoteText"/>
        <w:rPr>
          <w:rFonts w:cstheme="minorHAnsi"/>
        </w:rPr>
      </w:pPr>
      <w:r w:rsidRPr="006649BC">
        <w:rPr>
          <w:rStyle w:val="FootnoteReference"/>
          <w:rFonts w:cstheme="minorHAnsi"/>
        </w:rPr>
        <w:footnoteRef/>
      </w:r>
      <w:r w:rsidRPr="006649BC">
        <w:rPr>
          <w:rFonts w:cstheme="minorHAnsi"/>
        </w:rPr>
        <w:t xml:space="preserve"> </w:t>
      </w:r>
      <w:bookmarkStart w:id="4" w:name="_Hlk20757964"/>
      <w:r w:rsidRPr="006649BC">
        <w:rPr>
          <w:rFonts w:cstheme="minorHAnsi"/>
        </w:rPr>
        <w:t>42 U.S.C. §247d-6d(b)(</w:t>
      </w:r>
      <w:bookmarkEnd w:id="4"/>
      <w:r w:rsidRPr="006649BC">
        <w:rPr>
          <w:rFonts w:cstheme="minorHAnsi"/>
        </w:rPr>
        <w:t>1).</w:t>
      </w:r>
    </w:p>
  </w:footnote>
  <w:footnote w:id="11">
    <w:p w14:paraId="22C7876E" w14:textId="13BCA7CA"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§247d-6d(b)(1).</w:t>
      </w:r>
    </w:p>
  </w:footnote>
  <w:footnote w:id="12">
    <w:p w14:paraId="467043CA" w14:textId="67F39D69"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w:t>
      </w:r>
      <w:bookmarkStart w:id="5" w:name="_Hlk20816815"/>
      <w:r w:rsidRPr="006649BC">
        <w:rPr>
          <w:rFonts w:cstheme="minorHAnsi"/>
        </w:rPr>
        <w:t>42 U.S.C. §247d-6d(b)(2)(a).</w:t>
      </w:r>
      <w:bookmarkEnd w:id="5"/>
    </w:p>
  </w:footnote>
  <w:footnote w:id="13">
    <w:p w14:paraId="1D65D83A" w14:textId="15FADF41"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§247d-6d(b)(2)(B) references the factors listed in 42 U.S.C. §247d-6d(b)(6) as examples of other descriptive events the secretary may consider when specifying a time period(s) for a PREP act declaration: </w:t>
      </w:r>
    </w:p>
    <w:p w14:paraId="1E36B0CD" w14:textId="6DA781F0" w:rsidR="002A41D3" w:rsidRPr="006649BC" w:rsidRDefault="002A41D3" w:rsidP="007E24BA">
      <w:pPr>
        <w:pStyle w:val="FootnoteText"/>
        <w:ind w:left="288" w:right="576"/>
        <w:rPr>
          <w:rFonts w:cstheme="minorHAnsi"/>
        </w:rPr>
      </w:pPr>
      <w:r w:rsidRPr="006649BC">
        <w:rPr>
          <w:rFonts w:cstheme="minorHAnsi"/>
        </w:rPr>
        <w:t>(6) Factors to be considered. In deciding whether and under what circumstances or conditions to issue a declaration under paragraph (1) with respect to a covered countermeasure, the Secretary shall consider the desirability of encouraging the design, development, clinical testing or investigation, manufacture, labeling, distribution, formulation, packaging, marketing, promotion, sale, purchase, donation, dispensing, prescribing, administration, licensing, and use of such countermeasure.</w:t>
      </w:r>
    </w:p>
  </w:footnote>
  <w:footnote w:id="14">
    <w:p w14:paraId="5CC281EF" w14:textId="5C0B99C0"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§247d-6d(b)(3)(A).</w:t>
      </w:r>
    </w:p>
  </w:footnote>
  <w:footnote w:id="15">
    <w:p w14:paraId="37A14899" w14:textId="2311B4D9"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§247d-6d(b)(3)(B).</w:t>
      </w:r>
    </w:p>
  </w:footnote>
  <w:footnote w:id="16">
    <w:p w14:paraId="4871A200" w14:textId="54AB3A6D"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§247d-6d(b)(3)(C).</w:t>
      </w:r>
    </w:p>
  </w:footnote>
  <w:footnote w:id="17">
    <w:p w14:paraId="406AB204" w14:textId="16EA5B14"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§247d-6d(b)(2)(C).</w:t>
      </w:r>
    </w:p>
  </w:footnote>
  <w:footnote w:id="18">
    <w:p w14:paraId="12914D42" w14:textId="2DF1F6C1"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§247d-6d(b)(2)(D).</w:t>
      </w:r>
    </w:p>
  </w:footnote>
  <w:footnote w:id="19">
    <w:p w14:paraId="6C12A1B3" w14:textId="6BB87EDF"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§247d-6d(b)(2)(D).</w:t>
      </w:r>
    </w:p>
  </w:footnote>
  <w:footnote w:id="20">
    <w:p w14:paraId="7288FC2B" w14:textId="277316CC"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§247d-6d(b)(2)(E).</w:t>
      </w:r>
    </w:p>
  </w:footnote>
  <w:footnote w:id="21">
    <w:p w14:paraId="7EF0CF4A" w14:textId="60564DF2"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§247d-6d(b)(4).</w:t>
      </w:r>
    </w:p>
  </w:footnote>
  <w:footnote w:id="22">
    <w:p w14:paraId="7F140F9C" w14:textId="69F92A88"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§247d-6d(b)(4).</w:t>
      </w:r>
    </w:p>
  </w:footnote>
  <w:footnote w:id="23">
    <w:p w14:paraId="548CA0E5" w14:textId="7F4526B4"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§247d-6d(b)(9).</w:t>
      </w:r>
    </w:p>
  </w:footnote>
  <w:footnote w:id="24">
    <w:p w14:paraId="11481967" w14:textId="16E199A5"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§247d-6d(b)(7).</w:t>
      </w:r>
    </w:p>
  </w:footnote>
  <w:footnote w:id="25">
    <w:p w14:paraId="7BAB99DA" w14:textId="469250E2" w:rsidR="00FD2A67" w:rsidRPr="006649BC" w:rsidRDefault="00FD2A67">
      <w:pPr>
        <w:pStyle w:val="FootnoteText"/>
        <w:rPr>
          <w:rFonts w:cstheme="minorHAnsi"/>
        </w:rPr>
      </w:pPr>
      <w:r w:rsidRPr="006649BC">
        <w:rPr>
          <w:rStyle w:val="FootnoteReference"/>
          <w:rFonts w:cstheme="minorHAnsi"/>
        </w:rPr>
        <w:footnoteRef/>
      </w:r>
      <w:r w:rsidRPr="006649BC">
        <w:rPr>
          <w:rFonts w:cstheme="minorHAnsi"/>
        </w:rPr>
        <w:t xml:space="preserve"> The PREP Act’s preemption provisions have been addressed by </w:t>
      </w:r>
      <w:r w:rsidR="001F092F" w:rsidRPr="006649BC">
        <w:rPr>
          <w:rFonts w:cstheme="minorHAnsi"/>
        </w:rPr>
        <w:t>a 2012 st</w:t>
      </w:r>
      <w:r w:rsidRPr="006649BC">
        <w:rPr>
          <w:rFonts w:cstheme="minorHAnsi"/>
        </w:rPr>
        <w:t xml:space="preserve">ate appellate court </w:t>
      </w:r>
      <w:r w:rsidR="001F092F" w:rsidRPr="006649BC">
        <w:rPr>
          <w:rFonts w:cstheme="minorHAnsi"/>
        </w:rPr>
        <w:t xml:space="preserve">decision </w:t>
      </w:r>
      <w:r w:rsidRPr="006649BC">
        <w:rPr>
          <w:rFonts w:cstheme="minorHAnsi"/>
        </w:rPr>
        <w:t xml:space="preserve">in </w:t>
      </w:r>
      <w:r w:rsidRPr="006649BC">
        <w:rPr>
          <w:rFonts w:cstheme="minorHAnsi"/>
          <w:i/>
          <w:iCs/>
        </w:rPr>
        <w:t>Parker v St. Lawrence County Pub. Health Dept.</w:t>
      </w:r>
      <w:r w:rsidRPr="006649BC">
        <w:rPr>
          <w:rFonts w:cstheme="minorHAnsi"/>
        </w:rPr>
        <w:t xml:space="preserve"> (102 A.D.3d 140). The St. Lawrence County, New York, Public Health Department was sued by a parent who</w:t>
      </w:r>
      <w:r w:rsidR="002E61C1" w:rsidRPr="006649BC">
        <w:rPr>
          <w:rFonts w:cstheme="minorHAnsi"/>
        </w:rPr>
        <w:t>se</w:t>
      </w:r>
      <w:r w:rsidRPr="006649BC">
        <w:rPr>
          <w:rFonts w:cstheme="minorHAnsi"/>
        </w:rPr>
        <w:t xml:space="preserve"> child was administered an H1N1 </w:t>
      </w:r>
      <w:r w:rsidR="002E61C1" w:rsidRPr="006649BC">
        <w:rPr>
          <w:rFonts w:cstheme="minorHAnsi"/>
        </w:rPr>
        <w:t xml:space="preserve">influenza vaccine </w:t>
      </w:r>
      <w:r w:rsidR="000272F4" w:rsidRPr="006649BC">
        <w:rPr>
          <w:rFonts w:cstheme="minorHAnsi"/>
        </w:rPr>
        <w:t xml:space="preserve">in a school-based event </w:t>
      </w:r>
      <w:r w:rsidR="002E61C1" w:rsidRPr="006649BC">
        <w:rPr>
          <w:rFonts w:cstheme="minorHAnsi"/>
        </w:rPr>
        <w:t xml:space="preserve">during an influenza pandemic despite the parent not completing a consent form. The plaintiff parent sued the county alleging negligence and battery. The county </w:t>
      </w:r>
      <w:r w:rsidR="008A6866" w:rsidRPr="006649BC">
        <w:rPr>
          <w:rFonts w:cstheme="minorHAnsi"/>
        </w:rPr>
        <w:t xml:space="preserve">moved to dismiss the action, arguing that the </w:t>
      </w:r>
      <w:r w:rsidR="002E61C1" w:rsidRPr="006649BC">
        <w:rPr>
          <w:rFonts w:cstheme="minorHAnsi"/>
        </w:rPr>
        <w:t>plaintiff</w:t>
      </w:r>
      <w:r w:rsidR="008A6866" w:rsidRPr="006649BC">
        <w:rPr>
          <w:rFonts w:cstheme="minorHAnsi"/>
        </w:rPr>
        <w:t xml:space="preserve"> lacked subject matter jurisdiction because the action was preempted by the federal</w:t>
      </w:r>
      <w:r w:rsidR="002E61C1" w:rsidRPr="006649BC">
        <w:rPr>
          <w:rFonts w:cstheme="minorHAnsi"/>
        </w:rPr>
        <w:t xml:space="preserve"> PREP Act</w:t>
      </w:r>
      <w:r w:rsidR="008A6866" w:rsidRPr="006649BC">
        <w:rPr>
          <w:rFonts w:cstheme="minorHAnsi"/>
        </w:rPr>
        <w:t xml:space="preserve">. The trial court denied the county’s motion finding that PREP Act protections do not extend to situations in which a governmental entity administers a drug without consent. On appeal, the appellate court </w:t>
      </w:r>
      <w:r w:rsidR="000272F4" w:rsidRPr="006649BC">
        <w:rPr>
          <w:rFonts w:cstheme="minorHAnsi"/>
        </w:rPr>
        <w:t xml:space="preserve">overturned the lower court holding </w:t>
      </w:r>
      <w:r w:rsidR="008A6866" w:rsidRPr="006649BC">
        <w:rPr>
          <w:rFonts w:cstheme="minorHAnsi"/>
        </w:rPr>
        <w:t>that the parent’s claim arose out of, and was causally related to, the administration of a covered countermeasure under the PREP Act and were therefore preempted by the Act.</w:t>
      </w:r>
    </w:p>
  </w:footnote>
  <w:footnote w:id="26">
    <w:p w14:paraId="7F6474C3" w14:textId="67D01A8B"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w:t>
      </w:r>
      <w:bookmarkStart w:id="6" w:name="_Hlk20830018"/>
      <w:r w:rsidRPr="006649BC">
        <w:rPr>
          <w:rFonts w:cstheme="minorHAnsi"/>
        </w:rPr>
        <w:t>42 U.S.C. §247d-6d(b)(</w:t>
      </w:r>
      <w:bookmarkEnd w:id="6"/>
      <w:r w:rsidRPr="006649BC">
        <w:rPr>
          <w:rFonts w:cstheme="minorHAnsi"/>
        </w:rPr>
        <w:t>8).</w:t>
      </w:r>
    </w:p>
  </w:footnote>
  <w:footnote w:id="27">
    <w:p w14:paraId="497AE81A" w14:textId="786125BB" w:rsidR="00DD4682" w:rsidRPr="006649BC" w:rsidRDefault="00DD4682">
      <w:pPr>
        <w:pStyle w:val="FootnoteText"/>
        <w:rPr>
          <w:rFonts w:cstheme="minorHAnsi"/>
        </w:rPr>
      </w:pPr>
      <w:r w:rsidRPr="006649BC">
        <w:rPr>
          <w:rStyle w:val="FootnoteReference"/>
          <w:rFonts w:cstheme="minorHAnsi"/>
        </w:rPr>
        <w:footnoteRef/>
      </w:r>
      <w:r w:rsidRPr="006649BC">
        <w:rPr>
          <w:rFonts w:cstheme="minorHAnsi"/>
        </w:rPr>
        <w:t xml:space="preserve"> HHS Office of General Counsel. Advisory Opinion 20-02 On the Public Readiness and Emergency Preparedness Act and the Secretary’s Declaration Under the Act. May 19, 2020. Retrieved from </w:t>
      </w:r>
      <w:hyperlink r:id="rId8" w:history="1">
        <w:r w:rsidRPr="006649BC">
          <w:rPr>
            <w:rStyle w:val="Hyperlink"/>
            <w:rFonts w:cstheme="minorHAnsi"/>
          </w:rPr>
          <w:t>https://www.hhs.gov/sites/default/files/advisory-opinion-20-02-hhs-ogc-prep-act.pdf</w:t>
        </w:r>
      </w:hyperlink>
      <w:r w:rsidRPr="006649BC">
        <w:rPr>
          <w:rFonts w:cstheme="minorHAnsi"/>
        </w:rPr>
        <w:t>.</w:t>
      </w:r>
    </w:p>
  </w:footnote>
  <w:footnote w:id="28">
    <w:p w14:paraId="78306B5F" w14:textId="608FE11D"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§247d-6d(a)(1).</w:t>
      </w:r>
    </w:p>
  </w:footnote>
  <w:footnote w:id="29">
    <w:p w14:paraId="51B674CC" w14:textId="2698792C"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§247d-6d(a)(6).</w:t>
      </w:r>
    </w:p>
  </w:footnote>
  <w:footnote w:id="30">
    <w:p w14:paraId="354BD613" w14:textId="6CEA0311"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w:t>
      </w:r>
      <w:proofErr w:type="spellStart"/>
      <w:r w:rsidRPr="006649BC">
        <w:rPr>
          <w:rFonts w:cstheme="minorHAnsi"/>
        </w:rPr>
        <w:t>i</w:t>
      </w:r>
      <w:proofErr w:type="spellEnd"/>
      <w:r w:rsidRPr="006649BC">
        <w:rPr>
          <w:rFonts w:cstheme="minorHAnsi"/>
        </w:rPr>
        <w:t>)(2).</w:t>
      </w:r>
    </w:p>
  </w:footnote>
  <w:footnote w:id="31">
    <w:p w14:paraId="2C112B8C" w14:textId="77777777" w:rsidR="002A41D3" w:rsidRPr="006649BC" w:rsidRDefault="002A41D3" w:rsidP="006E5FBA">
      <w:pPr>
        <w:pStyle w:val="FootnoteText"/>
        <w:rPr>
          <w:rFonts w:cstheme="minorHAnsi"/>
        </w:rPr>
      </w:pPr>
      <w:r w:rsidRPr="006649BC">
        <w:rPr>
          <w:rStyle w:val="FootnoteReference"/>
          <w:rFonts w:cstheme="minorHAnsi"/>
        </w:rPr>
        <w:footnoteRef/>
      </w:r>
      <w:r w:rsidRPr="006649BC">
        <w:rPr>
          <w:rFonts w:cstheme="minorHAnsi"/>
        </w:rPr>
        <w:t xml:space="preserve"> The act specifically defines the term ‘program planner’ as: </w:t>
      </w:r>
    </w:p>
    <w:p w14:paraId="2970408B" w14:textId="73A2C22B" w:rsidR="002A41D3" w:rsidRPr="006649BC" w:rsidRDefault="002A41D3" w:rsidP="006E5FBA">
      <w:pPr>
        <w:pStyle w:val="FootnoteText"/>
        <w:ind w:left="432" w:right="432"/>
        <w:rPr>
          <w:rFonts w:cstheme="minorHAnsi"/>
        </w:rPr>
      </w:pPr>
      <w:r w:rsidRPr="006649BC">
        <w:rPr>
          <w:rFonts w:cstheme="minorHAnsi"/>
        </w:rPr>
        <w:t>[A] State or local government, including an Indian tribe, a person employed by the State or local government, or other person who supervised or administered a program with respect to the administration, dispensing, distribution, provision, or use of a security countermeasure or a qualified pandemic or epidemic product, including a person who has established requirements, provided policy guidance, or supplied technical or scientific advice or assistance or provides a facility to administer or use a covered countermeasure in accordance with a declaration under [the Act]. 42 U.S.C. §247d-6d(</w:t>
      </w:r>
      <w:proofErr w:type="spellStart"/>
      <w:r w:rsidRPr="006649BC">
        <w:rPr>
          <w:rFonts w:cstheme="minorHAnsi"/>
        </w:rPr>
        <w:t>i</w:t>
      </w:r>
      <w:proofErr w:type="spellEnd"/>
      <w:r w:rsidRPr="006649BC">
        <w:rPr>
          <w:rFonts w:cstheme="minorHAnsi"/>
        </w:rPr>
        <w:t>)(6).</w:t>
      </w:r>
    </w:p>
  </w:footnote>
  <w:footnote w:id="32">
    <w:p w14:paraId="051E7459" w14:textId="639B93CF"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w:t>
      </w:r>
      <w:proofErr w:type="spellStart"/>
      <w:r w:rsidRPr="006649BC">
        <w:rPr>
          <w:rFonts w:cstheme="minorHAnsi"/>
        </w:rPr>
        <w:t>i</w:t>
      </w:r>
      <w:proofErr w:type="spellEnd"/>
      <w:r w:rsidRPr="006649BC">
        <w:rPr>
          <w:rFonts w:cstheme="minorHAnsi"/>
        </w:rPr>
        <w:t>)(2). The act also defines “distributor”, “manufacturer”, “person”, and “qualified person” at 42 U.S.C. §247d-6d(</w:t>
      </w:r>
      <w:proofErr w:type="spellStart"/>
      <w:r w:rsidRPr="006649BC">
        <w:rPr>
          <w:rFonts w:cstheme="minorHAnsi"/>
        </w:rPr>
        <w:t>i</w:t>
      </w:r>
      <w:proofErr w:type="spellEnd"/>
      <w:r w:rsidRPr="006649BC">
        <w:rPr>
          <w:rFonts w:cstheme="minorHAnsi"/>
        </w:rPr>
        <w:t>)(3) - §247d-6d(</w:t>
      </w:r>
      <w:proofErr w:type="spellStart"/>
      <w:r w:rsidRPr="006649BC">
        <w:rPr>
          <w:rFonts w:cstheme="minorHAnsi"/>
        </w:rPr>
        <w:t>i</w:t>
      </w:r>
      <w:proofErr w:type="spellEnd"/>
      <w:r w:rsidRPr="006649BC">
        <w:rPr>
          <w:rFonts w:cstheme="minorHAnsi"/>
        </w:rPr>
        <w:t>)(5) and §247d-6d(</w:t>
      </w:r>
      <w:proofErr w:type="spellStart"/>
      <w:r w:rsidRPr="006649BC">
        <w:rPr>
          <w:rFonts w:cstheme="minorHAnsi"/>
        </w:rPr>
        <w:t>i</w:t>
      </w:r>
      <w:proofErr w:type="spellEnd"/>
      <w:r w:rsidRPr="006649BC">
        <w:rPr>
          <w:rFonts w:cstheme="minorHAnsi"/>
        </w:rPr>
        <w:t>)(8).</w:t>
      </w:r>
    </w:p>
  </w:footnote>
  <w:footnote w:id="33">
    <w:p w14:paraId="32B773DA" w14:textId="345DBB1F"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w:t>
      </w:r>
      <w:proofErr w:type="spellStart"/>
      <w:r w:rsidRPr="006649BC">
        <w:rPr>
          <w:rFonts w:cstheme="minorHAnsi"/>
        </w:rPr>
        <w:t>i</w:t>
      </w:r>
      <w:proofErr w:type="spellEnd"/>
      <w:r w:rsidRPr="006649BC">
        <w:rPr>
          <w:rFonts w:cstheme="minorHAnsi"/>
        </w:rPr>
        <w:t>)(2).</w:t>
      </w:r>
    </w:p>
  </w:footnote>
  <w:footnote w:id="34">
    <w:p w14:paraId="4A166637" w14:textId="540023F0" w:rsidR="00C008FA" w:rsidRPr="006649BC" w:rsidRDefault="00C008FA">
      <w:pPr>
        <w:pStyle w:val="FootnoteText"/>
        <w:rPr>
          <w:rFonts w:cstheme="minorHAnsi"/>
        </w:rPr>
      </w:pPr>
      <w:r w:rsidRPr="006649BC">
        <w:rPr>
          <w:rStyle w:val="FootnoteReference"/>
          <w:rFonts w:cstheme="minorHAnsi"/>
        </w:rPr>
        <w:footnoteRef/>
      </w:r>
      <w:r w:rsidRPr="006649BC">
        <w:rPr>
          <w:rFonts w:cstheme="minorHAnsi"/>
        </w:rPr>
        <w:t xml:space="preserve"> </w:t>
      </w:r>
      <w:bookmarkStart w:id="8" w:name="_Hlk39063385"/>
      <w:r w:rsidR="00945BA9" w:rsidRPr="006649BC">
        <w:rPr>
          <w:rFonts w:cstheme="minorHAnsi"/>
        </w:rPr>
        <w:t xml:space="preserve">HHS Office of General Counsel. Advisory Opinion on The Public Readiness and Emergency Preparedness Act and The March 10, 2020 Declaration Under the Act. April 14, 2020. Retrieved from </w:t>
      </w:r>
      <w:hyperlink r:id="rId9" w:history="1">
        <w:r w:rsidR="00945BA9" w:rsidRPr="006649BC">
          <w:rPr>
            <w:rStyle w:val="Hyperlink"/>
            <w:rFonts w:cstheme="minorHAnsi"/>
          </w:rPr>
          <w:t>https://www.hhs.gov/sites/default/files/prep-act-advisory-opinion-april-14-2020.pdf</w:t>
        </w:r>
      </w:hyperlink>
      <w:r w:rsidR="00945BA9" w:rsidRPr="006649BC">
        <w:rPr>
          <w:rFonts w:cstheme="minorHAnsi"/>
        </w:rPr>
        <w:t>.</w:t>
      </w:r>
      <w:bookmarkEnd w:id="8"/>
    </w:p>
  </w:footnote>
  <w:footnote w:id="35">
    <w:p w14:paraId="6E3FE2FE" w14:textId="663752AA" w:rsidR="003C6D9D" w:rsidRPr="006649BC" w:rsidRDefault="003C6D9D">
      <w:pPr>
        <w:pStyle w:val="FootnoteText"/>
        <w:rPr>
          <w:rFonts w:cstheme="minorHAnsi"/>
        </w:rPr>
      </w:pPr>
      <w:r w:rsidRPr="006649BC">
        <w:rPr>
          <w:rStyle w:val="FootnoteReference"/>
          <w:rFonts w:cstheme="minorHAnsi"/>
        </w:rPr>
        <w:footnoteRef/>
      </w:r>
      <w:r w:rsidRPr="006649BC">
        <w:rPr>
          <w:rFonts w:cstheme="minorHAnsi"/>
        </w:rPr>
        <w:t xml:space="preserve"> HHS Office of General Counsel. Advisory Opinion on The Public Readiness and Emergency Preparedness Act and The March 10, 2020 Declaration Under the Act. April 14, 2020. Retrieved from </w:t>
      </w:r>
      <w:hyperlink r:id="rId10" w:history="1">
        <w:r w:rsidRPr="006649BC">
          <w:rPr>
            <w:rStyle w:val="Hyperlink"/>
            <w:rFonts w:cstheme="minorHAnsi"/>
          </w:rPr>
          <w:t>https://www.hhs.gov/sites/default/files/prep-act-advisory-opinion-april-14-2020.pdf</w:t>
        </w:r>
      </w:hyperlink>
      <w:r w:rsidRPr="006649BC">
        <w:rPr>
          <w:rFonts w:cstheme="minorHAnsi"/>
        </w:rPr>
        <w:t>.</w:t>
      </w:r>
    </w:p>
  </w:footnote>
  <w:footnote w:id="36">
    <w:p w14:paraId="0647D047" w14:textId="6A24B289"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w:t>
      </w:r>
      <w:proofErr w:type="spellStart"/>
      <w:r w:rsidRPr="006649BC">
        <w:rPr>
          <w:rFonts w:cstheme="minorHAnsi"/>
        </w:rPr>
        <w:t>i</w:t>
      </w:r>
      <w:proofErr w:type="spellEnd"/>
      <w:r w:rsidRPr="006649BC">
        <w:rPr>
          <w:rFonts w:cstheme="minorHAnsi"/>
        </w:rPr>
        <w:t xml:space="preserve">)(1). </w:t>
      </w:r>
    </w:p>
  </w:footnote>
  <w:footnote w:id="37">
    <w:p w14:paraId="571B936D" w14:textId="02D8AFC3"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w:t>
      </w:r>
      <w:proofErr w:type="spellStart"/>
      <w:r w:rsidRPr="006649BC">
        <w:rPr>
          <w:rFonts w:cstheme="minorHAnsi"/>
        </w:rPr>
        <w:t>i</w:t>
      </w:r>
      <w:proofErr w:type="spellEnd"/>
      <w:r w:rsidRPr="006649BC">
        <w:rPr>
          <w:rFonts w:cstheme="minorHAnsi"/>
        </w:rPr>
        <w:t>)(7)(A)(</w:t>
      </w:r>
      <w:proofErr w:type="spellStart"/>
      <w:r w:rsidRPr="006649BC">
        <w:rPr>
          <w:rFonts w:cstheme="minorHAnsi"/>
        </w:rPr>
        <w:t>i</w:t>
      </w:r>
      <w:proofErr w:type="spellEnd"/>
      <w:r w:rsidRPr="006649BC">
        <w:rPr>
          <w:rFonts w:cstheme="minorHAnsi"/>
        </w:rPr>
        <w:t>). This definition also includes products that address serious or life-threatening conditions caused by pandemic or epidemic products defined in 42 U.S.C. §247d-6d(</w:t>
      </w:r>
      <w:proofErr w:type="spellStart"/>
      <w:r w:rsidRPr="006649BC">
        <w:rPr>
          <w:rFonts w:cstheme="minorHAnsi"/>
        </w:rPr>
        <w:t>i</w:t>
      </w:r>
      <w:proofErr w:type="spellEnd"/>
      <w:r w:rsidRPr="006649BC">
        <w:rPr>
          <w:rFonts w:cstheme="minorHAnsi"/>
        </w:rPr>
        <w:t>)(7)(A)(</w:t>
      </w:r>
      <w:proofErr w:type="spellStart"/>
      <w:r w:rsidRPr="006649BC">
        <w:rPr>
          <w:rFonts w:cstheme="minorHAnsi"/>
        </w:rPr>
        <w:t>i</w:t>
      </w:r>
      <w:proofErr w:type="spellEnd"/>
      <w:r w:rsidRPr="006649BC">
        <w:rPr>
          <w:rFonts w:cstheme="minorHAnsi"/>
        </w:rPr>
        <w:t>), as well as products to enhance the effectiveness of pandemic or epidemic products or those addressing conditions arising from their use. 42 U.S.C. §247d-6d(</w:t>
      </w:r>
      <w:proofErr w:type="spellStart"/>
      <w:r w:rsidRPr="006649BC">
        <w:rPr>
          <w:rFonts w:cstheme="minorHAnsi"/>
        </w:rPr>
        <w:t>i</w:t>
      </w:r>
      <w:proofErr w:type="spellEnd"/>
      <w:r w:rsidRPr="006649BC">
        <w:rPr>
          <w:rFonts w:cstheme="minorHAnsi"/>
        </w:rPr>
        <w:t>)(7)(A)(ii) – (iii).</w:t>
      </w:r>
    </w:p>
  </w:footnote>
  <w:footnote w:id="38">
    <w:p w14:paraId="65196326" w14:textId="7766FFC4"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w:t>
      </w:r>
      <w:proofErr w:type="spellStart"/>
      <w:r w:rsidRPr="006649BC">
        <w:rPr>
          <w:rFonts w:cstheme="minorHAnsi"/>
        </w:rPr>
        <w:t>i</w:t>
      </w:r>
      <w:proofErr w:type="spellEnd"/>
      <w:r w:rsidRPr="006649BC">
        <w:rPr>
          <w:rFonts w:cstheme="minorHAnsi"/>
        </w:rPr>
        <w:t>)(9). The act adopts the same definition of “security countermeasures” as is contained in 319F-2(c)(1)(B) [42 U.S.C. §247d-6b(c)(1)(B)].</w:t>
      </w:r>
    </w:p>
  </w:footnote>
  <w:footnote w:id="39">
    <w:p w14:paraId="6807A496" w14:textId="3864E582" w:rsidR="0063004C" w:rsidRPr="006649BC" w:rsidRDefault="0063004C" w:rsidP="0063004C">
      <w:pPr>
        <w:pStyle w:val="FootnoteText"/>
        <w:rPr>
          <w:rFonts w:cstheme="minorHAnsi"/>
        </w:rPr>
      </w:pPr>
      <w:r w:rsidRPr="006649BC">
        <w:rPr>
          <w:rStyle w:val="FootnoteReference"/>
          <w:rFonts w:cstheme="minorHAnsi"/>
        </w:rPr>
        <w:footnoteRef/>
      </w:r>
      <w:r w:rsidRPr="006649BC">
        <w:rPr>
          <w:rFonts w:cstheme="minorHAnsi"/>
        </w:rPr>
        <w:t xml:space="preserve">  Pub. Law No. 116-136, §3103.</w:t>
      </w:r>
    </w:p>
  </w:footnote>
  <w:footnote w:id="40">
    <w:p w14:paraId="3124E701" w14:textId="5E3B32F3" w:rsidR="00FC739D" w:rsidRPr="006649BC" w:rsidRDefault="00FC739D">
      <w:pPr>
        <w:pStyle w:val="FootnoteText"/>
        <w:rPr>
          <w:rFonts w:cstheme="minorHAnsi"/>
        </w:rPr>
      </w:pPr>
      <w:r w:rsidRPr="006649BC">
        <w:rPr>
          <w:rStyle w:val="FootnoteReference"/>
          <w:rFonts w:cstheme="minorHAnsi"/>
        </w:rPr>
        <w:footnoteRef/>
      </w:r>
      <w:r w:rsidRPr="006649BC">
        <w:rPr>
          <w:rFonts w:cstheme="minorHAnsi"/>
        </w:rPr>
        <w:t xml:space="preserve"> HHS Office of General Counsel. Advisory Opinion on The Public Readiness and Emergency Preparedness Act and The March 10, 2020 Declaration Under the Act. April 14, 2020. Retrieved from </w:t>
      </w:r>
      <w:hyperlink r:id="rId11" w:history="1">
        <w:r w:rsidRPr="006649BC">
          <w:rPr>
            <w:rStyle w:val="Hyperlink"/>
            <w:rFonts w:cstheme="minorHAnsi"/>
          </w:rPr>
          <w:t>https://www.hhs.gov/sites/default/files/prep-act-advisory-opinion-april-14-2020.pdf</w:t>
        </w:r>
      </w:hyperlink>
      <w:r w:rsidRPr="006649BC">
        <w:rPr>
          <w:rFonts w:cstheme="minorHAnsi"/>
        </w:rPr>
        <w:t>.</w:t>
      </w:r>
    </w:p>
  </w:footnote>
  <w:footnote w:id="41">
    <w:p w14:paraId="0E80DBB6" w14:textId="1B4E8F02"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§247d-6d(a)(3)(A).</w:t>
      </w:r>
    </w:p>
  </w:footnote>
  <w:footnote w:id="42">
    <w:p w14:paraId="5DB7054D" w14:textId="4F341490"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§247d-6d(a)(3)(B).</w:t>
      </w:r>
    </w:p>
  </w:footnote>
  <w:footnote w:id="43">
    <w:p w14:paraId="44768BD8" w14:textId="6C8CAA6C"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§247d-6d(a)(4)(B).</w:t>
      </w:r>
    </w:p>
  </w:footnote>
  <w:footnote w:id="44">
    <w:p w14:paraId="5BB93A8B" w14:textId="605329AE"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§247d-6d(a)(4)(A).</w:t>
      </w:r>
    </w:p>
  </w:footnote>
  <w:footnote w:id="45">
    <w:p w14:paraId="0A2EC3A3" w14:textId="68F30951"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§247d-6d(a)(5).</w:t>
      </w:r>
    </w:p>
  </w:footnote>
  <w:footnote w:id="46">
    <w:p w14:paraId="2F34E572" w14:textId="2555AF08"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§247d-6d(c). </w:t>
      </w:r>
    </w:p>
  </w:footnote>
  <w:footnote w:id="47">
    <w:p w14:paraId="382D2949" w14:textId="4A9A38F2"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§247d-6d(a)(2)(A).</w:t>
      </w:r>
    </w:p>
  </w:footnote>
  <w:footnote w:id="48">
    <w:p w14:paraId="01C0D96F" w14:textId="7CDCDD5C"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§247d-6d(a)(2)(A).</w:t>
      </w:r>
    </w:p>
  </w:footnote>
  <w:footnote w:id="49">
    <w:p w14:paraId="0A9AF87F" w14:textId="1747820A"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§247d-6d(a)(2)(B). </w:t>
      </w:r>
    </w:p>
  </w:footnote>
  <w:footnote w:id="50">
    <w:p w14:paraId="0C454C88" w14:textId="514422F7"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§247d-6d(d). The act also states that a program planner or qualified person has not engaged in “willful misconduct” as a matter of law if the planner/qualified person acted consistent with applicable guidelines or recommendations by the HHS Secretary regarding a covered countermeasure specified in a PREP Act declaration if either the HHA Secretary, or a State or local health authority, “was provided with notice of information regarding serious physical injury or death from the administration or use of a covered countermeasure that is material to the plaintiff’s alleged loss within 7 days of the actual discovery of such information by such program planner or qualified person.” 42 U.S.C. §247d-6d(c)(4).</w:t>
      </w:r>
    </w:p>
  </w:footnote>
  <w:footnote w:id="51">
    <w:p w14:paraId="11F3C110" w14:textId="33A66A2E" w:rsidR="000272F4" w:rsidRPr="006649BC" w:rsidRDefault="000272F4">
      <w:pPr>
        <w:pStyle w:val="FootnoteText"/>
        <w:rPr>
          <w:rFonts w:cstheme="minorHAnsi"/>
        </w:rPr>
      </w:pPr>
      <w:r w:rsidRPr="006649BC">
        <w:rPr>
          <w:rStyle w:val="FootnoteReference"/>
          <w:rFonts w:cstheme="minorHAnsi"/>
        </w:rPr>
        <w:footnoteRef/>
      </w:r>
      <w:r w:rsidRPr="006649BC">
        <w:rPr>
          <w:rFonts w:cstheme="minorHAnsi"/>
        </w:rPr>
        <w:t xml:space="preserve"> 42 U.S.C. §247d-6d(c)(A).</w:t>
      </w:r>
    </w:p>
  </w:footnote>
  <w:footnote w:id="52">
    <w:p w14:paraId="3D03499E" w14:textId="5C05B9C8" w:rsidR="00590898" w:rsidRPr="006649BC" w:rsidRDefault="00590898" w:rsidP="00590898">
      <w:pPr>
        <w:pStyle w:val="FootnoteText"/>
        <w:rPr>
          <w:rFonts w:cstheme="minorHAnsi"/>
        </w:rPr>
      </w:pPr>
      <w:r w:rsidRPr="006649BC">
        <w:rPr>
          <w:rStyle w:val="FootnoteReference"/>
          <w:rFonts w:cstheme="minorHAnsi"/>
        </w:rPr>
        <w:footnoteRef/>
      </w:r>
      <w:r w:rsidRPr="006649BC">
        <w:rPr>
          <w:rFonts w:cstheme="minorHAnsi"/>
        </w:rPr>
        <w:t xml:space="preserve"> 42 U.S.C. §247d-6d(e)(1).</w:t>
      </w:r>
      <w:r w:rsidR="000272F4" w:rsidRPr="006649BC">
        <w:rPr>
          <w:rFonts w:cstheme="minorHAnsi"/>
        </w:rPr>
        <w:t xml:space="preserve"> </w:t>
      </w:r>
    </w:p>
  </w:footnote>
  <w:footnote w:id="53">
    <w:p w14:paraId="2AFDBF97" w14:textId="11D832D1"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§247d-6e.</w:t>
      </w:r>
    </w:p>
  </w:footnote>
  <w:footnote w:id="54">
    <w:p w14:paraId="25F937C4" w14:textId="6FB38656" w:rsidR="0049605C" w:rsidRPr="006649BC" w:rsidRDefault="0049605C">
      <w:pPr>
        <w:pStyle w:val="FootnoteText"/>
        <w:rPr>
          <w:rFonts w:cstheme="minorHAnsi"/>
        </w:rPr>
      </w:pPr>
      <w:r w:rsidRPr="006649BC">
        <w:rPr>
          <w:rStyle w:val="FootnoteReference"/>
          <w:rFonts w:cstheme="minorHAnsi"/>
        </w:rPr>
        <w:footnoteRef/>
      </w:r>
      <w:r w:rsidRPr="006649BC">
        <w:rPr>
          <w:rFonts w:cstheme="minorHAnsi"/>
        </w:rPr>
        <w:t xml:space="preserve"> The final rule governing the submission and review of claims to the CICP was issued by HRSA in October 2011. Interim Final Rule, 75 FR 63656, 63675, Oct. 15, 2010. Final Rule confirmed at 76 FR 62306, 62308, Oct. 7, 2011. Codified at 42 CFR Part 110.</w:t>
      </w:r>
    </w:p>
  </w:footnote>
  <w:footnote w:id="55">
    <w:p w14:paraId="7869F251" w14:textId="6CA01903" w:rsidR="009648B4" w:rsidRPr="006649BC" w:rsidRDefault="009648B4">
      <w:pPr>
        <w:pStyle w:val="FootnoteText"/>
        <w:rPr>
          <w:rFonts w:cstheme="minorHAnsi"/>
        </w:rPr>
      </w:pPr>
      <w:r w:rsidRPr="006649BC">
        <w:rPr>
          <w:rStyle w:val="FootnoteReference"/>
          <w:rFonts w:cstheme="minorHAnsi"/>
        </w:rPr>
        <w:footnoteRef/>
      </w:r>
      <w:r w:rsidRPr="006649BC">
        <w:rPr>
          <w:rFonts w:cstheme="minorHAnsi"/>
        </w:rPr>
        <w:t xml:space="preserve"> Health Resources and Services Administration. “Countermeasures Injury Compensation Program: FAQ” webpage. Retrieved from </w:t>
      </w:r>
      <w:hyperlink r:id="rId12" w:history="1">
        <w:r w:rsidRPr="006649BC">
          <w:rPr>
            <w:rStyle w:val="Hyperlink"/>
            <w:rFonts w:cstheme="minorHAnsi"/>
          </w:rPr>
          <w:t>https://www.hrsa.gov/cicp/faq/index.html</w:t>
        </w:r>
      </w:hyperlink>
      <w:r w:rsidRPr="006649BC">
        <w:rPr>
          <w:rFonts w:cstheme="minorHAnsi"/>
        </w:rPr>
        <w:t>.</w:t>
      </w:r>
    </w:p>
  </w:footnote>
  <w:footnote w:id="56">
    <w:p w14:paraId="3253A9D1" w14:textId="71CB98DE"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Health Resources and Services Administration. “Countermeasures Injury Compensation Program” </w:t>
      </w:r>
      <w:r w:rsidR="009648B4" w:rsidRPr="006649BC">
        <w:rPr>
          <w:rFonts w:cstheme="minorHAnsi"/>
        </w:rPr>
        <w:t>Factsheet</w:t>
      </w:r>
      <w:r w:rsidRPr="006649BC">
        <w:rPr>
          <w:rFonts w:cstheme="minorHAnsi"/>
        </w:rPr>
        <w:t xml:space="preserve">. </w:t>
      </w:r>
      <w:r w:rsidR="009648B4" w:rsidRPr="006649BC">
        <w:rPr>
          <w:rFonts w:cstheme="minorHAnsi"/>
        </w:rPr>
        <w:t>Retrieved from</w:t>
      </w:r>
      <w:r w:rsidRPr="006649BC">
        <w:rPr>
          <w:rFonts w:cstheme="minorHAnsi"/>
        </w:rPr>
        <w:t xml:space="preserve"> </w:t>
      </w:r>
      <w:hyperlink r:id="rId13" w:history="1">
        <w:r w:rsidR="009648B4" w:rsidRPr="006649BC">
          <w:rPr>
            <w:rStyle w:val="Hyperlink"/>
            <w:rFonts w:cstheme="minorHAnsi"/>
          </w:rPr>
          <w:t>https://www.hrsa.gov/sites/default/files/hrsa/cicp/cicpfactsheet.pdf</w:t>
        </w:r>
      </w:hyperlink>
      <w:r w:rsidR="009648B4" w:rsidRPr="006649BC">
        <w:rPr>
          <w:rFonts w:cstheme="minorHAnsi"/>
        </w:rPr>
        <w:t>.</w:t>
      </w:r>
    </w:p>
  </w:footnote>
  <w:footnote w:id="57">
    <w:p w14:paraId="0FEDC5BD" w14:textId="03A396B6" w:rsidR="009648B4" w:rsidRPr="006649BC" w:rsidRDefault="009648B4">
      <w:pPr>
        <w:pStyle w:val="FootnoteText"/>
        <w:rPr>
          <w:rFonts w:cstheme="minorHAnsi"/>
        </w:rPr>
      </w:pPr>
      <w:r w:rsidRPr="006649BC">
        <w:rPr>
          <w:rStyle w:val="FootnoteReference"/>
          <w:rFonts w:cstheme="minorHAnsi"/>
        </w:rPr>
        <w:footnoteRef/>
      </w:r>
      <w:r w:rsidRPr="006649BC">
        <w:rPr>
          <w:rFonts w:cstheme="minorHAnsi"/>
        </w:rPr>
        <w:t xml:space="preserve"> Health Resources and Services Administration. “Countermeasures Injury Compensation Program” webpage. Retrieved from  </w:t>
      </w:r>
      <w:hyperlink r:id="rId14" w:history="1">
        <w:r w:rsidRPr="006649BC">
          <w:rPr>
            <w:rStyle w:val="Hyperlink"/>
            <w:rFonts w:cstheme="minorHAnsi"/>
          </w:rPr>
          <w:t>https://www.hrsa.gov/cicp/about/index.html</w:t>
        </w:r>
      </w:hyperlink>
      <w:r w:rsidRPr="006649BC">
        <w:rPr>
          <w:rFonts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EDF75" w14:textId="77777777" w:rsidR="005C3E89" w:rsidRDefault="005C3E89" w:rsidP="005C3E89">
    <w:pPr>
      <w:pStyle w:val="Header"/>
      <w:jc w:val="center"/>
    </w:pPr>
    <w:r w:rsidRPr="00850C00">
      <w:rPr>
        <w:highlight w:val="yellow"/>
      </w:rPr>
      <w:t>DRAFT 1.1</w:t>
    </w:r>
    <w:r w:rsidRPr="00850C00">
      <w:tab/>
    </w:r>
    <w:r w:rsidRPr="001B5FC5">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7F4E17" w14:textId="6A8846B5" w:rsidR="005C3E89" w:rsidRDefault="005C3E89" w:rsidP="005C3E89">
    <w:pPr>
      <w:pStyle w:val="Header"/>
      <w:jc w:val="center"/>
    </w:pPr>
    <w:r w:rsidRPr="00850C00">
      <w:rPr>
        <w:highlight w:val="yellow"/>
      </w:rPr>
      <w:t>DRAFT 1.1</w:t>
    </w:r>
    <w:r w:rsidRPr="00850C00">
      <w:tab/>
    </w:r>
    <w:r w:rsidRPr="001B5FC5">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03AE1"/>
    <w:multiLevelType w:val="hybridMultilevel"/>
    <w:tmpl w:val="1C403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8F643A2"/>
    <w:multiLevelType w:val="multilevel"/>
    <w:tmpl w:val="A274A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ED0B10"/>
    <w:multiLevelType w:val="hybridMultilevel"/>
    <w:tmpl w:val="17B019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3397CA4"/>
    <w:multiLevelType w:val="hybridMultilevel"/>
    <w:tmpl w:val="EA321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6813B2A"/>
    <w:multiLevelType w:val="multilevel"/>
    <w:tmpl w:val="E05A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28D5B8C"/>
    <w:multiLevelType w:val="multilevel"/>
    <w:tmpl w:val="8B36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89048D"/>
    <w:multiLevelType w:val="hybridMultilevel"/>
    <w:tmpl w:val="78AAA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removePersonalInformation/>
  <w:removeDateAndTime/>
  <w:displayBackgroundShap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66D"/>
    <w:rsid w:val="00001127"/>
    <w:rsid w:val="0000705A"/>
    <w:rsid w:val="000272F4"/>
    <w:rsid w:val="000311D2"/>
    <w:rsid w:val="00040AFC"/>
    <w:rsid w:val="00051A4A"/>
    <w:rsid w:val="00074212"/>
    <w:rsid w:val="000926C4"/>
    <w:rsid w:val="000934E4"/>
    <w:rsid w:val="00093921"/>
    <w:rsid w:val="000B2FD1"/>
    <w:rsid w:val="000F36E8"/>
    <w:rsid w:val="00107FAC"/>
    <w:rsid w:val="00110CD8"/>
    <w:rsid w:val="00116214"/>
    <w:rsid w:val="001222A2"/>
    <w:rsid w:val="00130BFC"/>
    <w:rsid w:val="00136D31"/>
    <w:rsid w:val="00137028"/>
    <w:rsid w:val="00151278"/>
    <w:rsid w:val="00163583"/>
    <w:rsid w:val="00164D6F"/>
    <w:rsid w:val="00171205"/>
    <w:rsid w:val="00183AF7"/>
    <w:rsid w:val="0019342E"/>
    <w:rsid w:val="00197AE4"/>
    <w:rsid w:val="001B295F"/>
    <w:rsid w:val="001B6E36"/>
    <w:rsid w:val="001C204D"/>
    <w:rsid w:val="001D0387"/>
    <w:rsid w:val="001D6B23"/>
    <w:rsid w:val="001E1817"/>
    <w:rsid w:val="001E71FE"/>
    <w:rsid w:val="001F092F"/>
    <w:rsid w:val="001F0D95"/>
    <w:rsid w:val="002052A8"/>
    <w:rsid w:val="0022166D"/>
    <w:rsid w:val="0022219A"/>
    <w:rsid w:val="0026797C"/>
    <w:rsid w:val="0027575E"/>
    <w:rsid w:val="00276929"/>
    <w:rsid w:val="002860E1"/>
    <w:rsid w:val="002A41D3"/>
    <w:rsid w:val="002B5A65"/>
    <w:rsid w:val="002C19FF"/>
    <w:rsid w:val="002D0419"/>
    <w:rsid w:val="002E61C1"/>
    <w:rsid w:val="003147E1"/>
    <w:rsid w:val="003160F3"/>
    <w:rsid w:val="00316C91"/>
    <w:rsid w:val="00326DBE"/>
    <w:rsid w:val="003403DA"/>
    <w:rsid w:val="00355E75"/>
    <w:rsid w:val="003604DE"/>
    <w:rsid w:val="00370F28"/>
    <w:rsid w:val="00373DBE"/>
    <w:rsid w:val="00375B9C"/>
    <w:rsid w:val="003B4868"/>
    <w:rsid w:val="003C6D9D"/>
    <w:rsid w:val="003D5131"/>
    <w:rsid w:val="003D56AE"/>
    <w:rsid w:val="003E47DA"/>
    <w:rsid w:val="003E7579"/>
    <w:rsid w:val="00441805"/>
    <w:rsid w:val="00443109"/>
    <w:rsid w:val="00446139"/>
    <w:rsid w:val="004510CF"/>
    <w:rsid w:val="004539A8"/>
    <w:rsid w:val="00457C8B"/>
    <w:rsid w:val="00465AE2"/>
    <w:rsid w:val="00476446"/>
    <w:rsid w:val="0049605C"/>
    <w:rsid w:val="004A1571"/>
    <w:rsid w:val="004A6C9E"/>
    <w:rsid w:val="004A7AC5"/>
    <w:rsid w:val="004B7439"/>
    <w:rsid w:val="00504707"/>
    <w:rsid w:val="005124F8"/>
    <w:rsid w:val="00516BA5"/>
    <w:rsid w:val="00525BE5"/>
    <w:rsid w:val="0053728F"/>
    <w:rsid w:val="00543EDF"/>
    <w:rsid w:val="00547FAC"/>
    <w:rsid w:val="00563D2E"/>
    <w:rsid w:val="00590898"/>
    <w:rsid w:val="00595A84"/>
    <w:rsid w:val="005B4EEE"/>
    <w:rsid w:val="005C3E89"/>
    <w:rsid w:val="005C6F21"/>
    <w:rsid w:val="005F35D0"/>
    <w:rsid w:val="005F35D9"/>
    <w:rsid w:val="0063004C"/>
    <w:rsid w:val="006439EF"/>
    <w:rsid w:val="00651035"/>
    <w:rsid w:val="0066329A"/>
    <w:rsid w:val="0066490F"/>
    <w:rsid w:val="006649BC"/>
    <w:rsid w:val="006675EA"/>
    <w:rsid w:val="00671F8C"/>
    <w:rsid w:val="00673F08"/>
    <w:rsid w:val="0067595F"/>
    <w:rsid w:val="006816F9"/>
    <w:rsid w:val="006935C1"/>
    <w:rsid w:val="006A503F"/>
    <w:rsid w:val="006B0E02"/>
    <w:rsid w:val="006B40CE"/>
    <w:rsid w:val="006B646B"/>
    <w:rsid w:val="006D5CF1"/>
    <w:rsid w:val="006D7A2B"/>
    <w:rsid w:val="006E5FBA"/>
    <w:rsid w:val="006F0762"/>
    <w:rsid w:val="006F4EB8"/>
    <w:rsid w:val="00716026"/>
    <w:rsid w:val="007359BA"/>
    <w:rsid w:val="00746092"/>
    <w:rsid w:val="00761F62"/>
    <w:rsid w:val="00791647"/>
    <w:rsid w:val="007963A4"/>
    <w:rsid w:val="007D34E3"/>
    <w:rsid w:val="007E24BA"/>
    <w:rsid w:val="00803F34"/>
    <w:rsid w:val="00805BCA"/>
    <w:rsid w:val="0082615B"/>
    <w:rsid w:val="00834DC9"/>
    <w:rsid w:val="008448C2"/>
    <w:rsid w:val="008900E6"/>
    <w:rsid w:val="00895167"/>
    <w:rsid w:val="008A6866"/>
    <w:rsid w:val="008B3774"/>
    <w:rsid w:val="008C3EA7"/>
    <w:rsid w:val="008D69CD"/>
    <w:rsid w:val="00945BA9"/>
    <w:rsid w:val="00956120"/>
    <w:rsid w:val="00962C1C"/>
    <w:rsid w:val="009648B4"/>
    <w:rsid w:val="0098186A"/>
    <w:rsid w:val="009840D3"/>
    <w:rsid w:val="009A4203"/>
    <w:rsid w:val="009E3816"/>
    <w:rsid w:val="00A01787"/>
    <w:rsid w:val="00A04F9D"/>
    <w:rsid w:val="00A14602"/>
    <w:rsid w:val="00A21B75"/>
    <w:rsid w:val="00A34628"/>
    <w:rsid w:val="00A67B9B"/>
    <w:rsid w:val="00A72C87"/>
    <w:rsid w:val="00A77B72"/>
    <w:rsid w:val="00A86847"/>
    <w:rsid w:val="00AC60E7"/>
    <w:rsid w:val="00B02279"/>
    <w:rsid w:val="00B134A3"/>
    <w:rsid w:val="00B14D9E"/>
    <w:rsid w:val="00B3177F"/>
    <w:rsid w:val="00B37EA8"/>
    <w:rsid w:val="00B75B7F"/>
    <w:rsid w:val="00BB327B"/>
    <w:rsid w:val="00BB6B46"/>
    <w:rsid w:val="00BC0D54"/>
    <w:rsid w:val="00BE33F2"/>
    <w:rsid w:val="00BF37BE"/>
    <w:rsid w:val="00C008FA"/>
    <w:rsid w:val="00C0502A"/>
    <w:rsid w:val="00C071AC"/>
    <w:rsid w:val="00C14F0A"/>
    <w:rsid w:val="00C20721"/>
    <w:rsid w:val="00C309A2"/>
    <w:rsid w:val="00C3406A"/>
    <w:rsid w:val="00C81EAA"/>
    <w:rsid w:val="00C87D51"/>
    <w:rsid w:val="00CC0E4B"/>
    <w:rsid w:val="00CC3789"/>
    <w:rsid w:val="00CC6425"/>
    <w:rsid w:val="00CE49E9"/>
    <w:rsid w:val="00D10EC0"/>
    <w:rsid w:val="00D13355"/>
    <w:rsid w:val="00D73E00"/>
    <w:rsid w:val="00D820C6"/>
    <w:rsid w:val="00D84AD6"/>
    <w:rsid w:val="00D918E0"/>
    <w:rsid w:val="00D9230D"/>
    <w:rsid w:val="00DA7F6B"/>
    <w:rsid w:val="00DB2BB2"/>
    <w:rsid w:val="00DB4FB9"/>
    <w:rsid w:val="00DD0E5D"/>
    <w:rsid w:val="00DD19E9"/>
    <w:rsid w:val="00DD4682"/>
    <w:rsid w:val="00DD5556"/>
    <w:rsid w:val="00DE48BC"/>
    <w:rsid w:val="00DF0A84"/>
    <w:rsid w:val="00E02986"/>
    <w:rsid w:val="00E30CF7"/>
    <w:rsid w:val="00E735A8"/>
    <w:rsid w:val="00E738BD"/>
    <w:rsid w:val="00E96459"/>
    <w:rsid w:val="00EB367C"/>
    <w:rsid w:val="00EB42F8"/>
    <w:rsid w:val="00EF68DF"/>
    <w:rsid w:val="00F227C7"/>
    <w:rsid w:val="00F307B5"/>
    <w:rsid w:val="00F3686B"/>
    <w:rsid w:val="00F40826"/>
    <w:rsid w:val="00F50A25"/>
    <w:rsid w:val="00F753E6"/>
    <w:rsid w:val="00F91945"/>
    <w:rsid w:val="00FA0206"/>
    <w:rsid w:val="00FC2C63"/>
    <w:rsid w:val="00FC6FA4"/>
    <w:rsid w:val="00FC739D"/>
    <w:rsid w:val="00FD2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6392C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6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2166D"/>
    <w:pPr>
      <w:tabs>
        <w:tab w:val="center" w:pos="4680"/>
        <w:tab w:val="right" w:pos="9360"/>
      </w:tabs>
    </w:pPr>
  </w:style>
  <w:style w:type="character" w:customStyle="1" w:styleId="FooterChar">
    <w:name w:val="Footer Char"/>
    <w:basedOn w:val="DefaultParagraphFont"/>
    <w:link w:val="Footer"/>
    <w:uiPriority w:val="99"/>
    <w:rsid w:val="0022166D"/>
  </w:style>
  <w:style w:type="paragraph" w:styleId="ListParagraph">
    <w:name w:val="List Paragraph"/>
    <w:basedOn w:val="Normal"/>
    <w:uiPriority w:val="34"/>
    <w:qFormat/>
    <w:rsid w:val="0022166D"/>
    <w:pPr>
      <w:ind w:left="720"/>
      <w:contextualSpacing/>
    </w:pPr>
  </w:style>
  <w:style w:type="paragraph" w:styleId="EndnoteText">
    <w:name w:val="endnote text"/>
    <w:basedOn w:val="Normal"/>
    <w:link w:val="EndnoteTextChar"/>
    <w:uiPriority w:val="99"/>
    <w:semiHidden/>
    <w:unhideWhenUsed/>
    <w:rsid w:val="0022166D"/>
    <w:rPr>
      <w:sz w:val="20"/>
      <w:szCs w:val="20"/>
    </w:rPr>
  </w:style>
  <w:style w:type="character" w:customStyle="1" w:styleId="EndnoteTextChar">
    <w:name w:val="Endnote Text Char"/>
    <w:basedOn w:val="DefaultParagraphFont"/>
    <w:link w:val="EndnoteText"/>
    <w:uiPriority w:val="99"/>
    <w:semiHidden/>
    <w:rsid w:val="0022166D"/>
    <w:rPr>
      <w:sz w:val="20"/>
      <w:szCs w:val="20"/>
    </w:rPr>
  </w:style>
  <w:style w:type="character" w:styleId="EndnoteReference">
    <w:name w:val="endnote reference"/>
    <w:basedOn w:val="DefaultParagraphFont"/>
    <w:uiPriority w:val="99"/>
    <w:semiHidden/>
    <w:unhideWhenUsed/>
    <w:rsid w:val="0022166D"/>
    <w:rPr>
      <w:vertAlign w:val="superscript"/>
    </w:rPr>
  </w:style>
  <w:style w:type="paragraph" w:styleId="FootnoteText">
    <w:name w:val="footnote text"/>
    <w:basedOn w:val="Normal"/>
    <w:link w:val="FootnoteTextChar"/>
    <w:uiPriority w:val="99"/>
    <w:semiHidden/>
    <w:unhideWhenUsed/>
    <w:rsid w:val="0022166D"/>
    <w:rPr>
      <w:sz w:val="20"/>
      <w:szCs w:val="20"/>
    </w:rPr>
  </w:style>
  <w:style w:type="character" w:customStyle="1" w:styleId="FootnoteTextChar">
    <w:name w:val="Footnote Text Char"/>
    <w:basedOn w:val="DefaultParagraphFont"/>
    <w:link w:val="FootnoteText"/>
    <w:uiPriority w:val="99"/>
    <w:semiHidden/>
    <w:rsid w:val="0022166D"/>
    <w:rPr>
      <w:sz w:val="20"/>
      <w:szCs w:val="20"/>
    </w:rPr>
  </w:style>
  <w:style w:type="character" w:styleId="FootnoteReference">
    <w:name w:val="footnote reference"/>
    <w:basedOn w:val="DefaultParagraphFont"/>
    <w:uiPriority w:val="99"/>
    <w:semiHidden/>
    <w:unhideWhenUsed/>
    <w:rsid w:val="0022166D"/>
    <w:rPr>
      <w:vertAlign w:val="superscript"/>
    </w:rPr>
  </w:style>
  <w:style w:type="character" w:styleId="Hyperlink">
    <w:name w:val="Hyperlink"/>
    <w:basedOn w:val="DefaultParagraphFont"/>
    <w:uiPriority w:val="99"/>
    <w:unhideWhenUsed/>
    <w:rsid w:val="00D9230D"/>
    <w:rPr>
      <w:color w:val="0563C1" w:themeColor="hyperlink"/>
      <w:u w:val="single"/>
    </w:rPr>
  </w:style>
  <w:style w:type="character" w:styleId="UnresolvedMention">
    <w:name w:val="Unresolved Mention"/>
    <w:basedOn w:val="DefaultParagraphFont"/>
    <w:uiPriority w:val="99"/>
    <w:semiHidden/>
    <w:unhideWhenUsed/>
    <w:rsid w:val="00D9230D"/>
    <w:rPr>
      <w:color w:val="605E5C"/>
      <w:shd w:val="clear" w:color="auto" w:fill="E1DFDD"/>
    </w:rPr>
  </w:style>
  <w:style w:type="character" w:styleId="FollowedHyperlink">
    <w:name w:val="FollowedHyperlink"/>
    <w:basedOn w:val="DefaultParagraphFont"/>
    <w:uiPriority w:val="99"/>
    <w:semiHidden/>
    <w:unhideWhenUsed/>
    <w:rsid w:val="00547FAC"/>
    <w:rPr>
      <w:color w:val="954F72" w:themeColor="followedHyperlink"/>
      <w:u w:val="single"/>
    </w:rPr>
  </w:style>
  <w:style w:type="character" w:customStyle="1" w:styleId="ssparalabel">
    <w:name w:val="ss_paralabel"/>
    <w:basedOn w:val="DefaultParagraphFont"/>
    <w:rsid w:val="006A503F"/>
  </w:style>
  <w:style w:type="character" w:customStyle="1" w:styleId="ssbf">
    <w:name w:val="ss_bf"/>
    <w:basedOn w:val="DefaultParagraphFont"/>
    <w:rsid w:val="006A503F"/>
  </w:style>
  <w:style w:type="character" w:customStyle="1" w:styleId="ssparacontent">
    <w:name w:val="ss_paracontent"/>
    <w:basedOn w:val="DefaultParagraphFont"/>
    <w:rsid w:val="006A503F"/>
  </w:style>
  <w:style w:type="paragraph" w:styleId="Header">
    <w:name w:val="header"/>
    <w:basedOn w:val="Normal"/>
    <w:link w:val="HeaderChar"/>
    <w:uiPriority w:val="99"/>
    <w:unhideWhenUsed/>
    <w:rsid w:val="006B646B"/>
    <w:pPr>
      <w:tabs>
        <w:tab w:val="center" w:pos="4680"/>
        <w:tab w:val="right" w:pos="9360"/>
      </w:tabs>
    </w:pPr>
  </w:style>
  <w:style w:type="character" w:customStyle="1" w:styleId="HeaderChar">
    <w:name w:val="Header Char"/>
    <w:basedOn w:val="DefaultParagraphFont"/>
    <w:link w:val="Header"/>
    <w:uiPriority w:val="99"/>
    <w:rsid w:val="006B646B"/>
  </w:style>
  <w:style w:type="paragraph" w:customStyle="1" w:styleId="norm15">
    <w:name w:val="norm 1.5"/>
    <w:basedOn w:val="Normal"/>
    <w:qFormat/>
    <w:rsid w:val="00516BA5"/>
    <w:p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201902">
      <w:bodyDiv w:val="1"/>
      <w:marLeft w:val="0"/>
      <w:marRight w:val="0"/>
      <w:marTop w:val="0"/>
      <w:marBottom w:val="0"/>
      <w:divBdr>
        <w:top w:val="none" w:sz="0" w:space="0" w:color="auto"/>
        <w:left w:val="none" w:sz="0" w:space="0" w:color="auto"/>
        <w:bottom w:val="none" w:sz="0" w:space="0" w:color="auto"/>
        <w:right w:val="none" w:sz="0" w:space="0" w:color="auto"/>
      </w:divBdr>
      <w:divsChild>
        <w:div w:id="639578484">
          <w:marLeft w:val="480"/>
          <w:marRight w:val="0"/>
          <w:marTop w:val="0"/>
          <w:marBottom w:val="0"/>
          <w:divBdr>
            <w:top w:val="none" w:sz="0" w:space="0" w:color="auto"/>
            <w:left w:val="none" w:sz="0" w:space="0" w:color="auto"/>
            <w:bottom w:val="none" w:sz="0" w:space="0" w:color="auto"/>
            <w:right w:val="none" w:sz="0" w:space="0" w:color="auto"/>
          </w:divBdr>
        </w:div>
        <w:div w:id="1317802009">
          <w:marLeft w:val="480"/>
          <w:marRight w:val="0"/>
          <w:marTop w:val="0"/>
          <w:marBottom w:val="0"/>
          <w:divBdr>
            <w:top w:val="none" w:sz="0" w:space="0" w:color="auto"/>
            <w:left w:val="none" w:sz="0" w:space="0" w:color="auto"/>
            <w:bottom w:val="none" w:sz="0" w:space="0" w:color="auto"/>
            <w:right w:val="none" w:sz="0" w:space="0" w:color="auto"/>
          </w:divBdr>
          <w:divsChild>
            <w:div w:id="1433206933">
              <w:marLeft w:val="480"/>
              <w:marRight w:val="0"/>
              <w:marTop w:val="0"/>
              <w:marBottom w:val="0"/>
              <w:divBdr>
                <w:top w:val="none" w:sz="0" w:space="0" w:color="auto"/>
                <w:left w:val="none" w:sz="0" w:space="0" w:color="auto"/>
                <w:bottom w:val="none" w:sz="0" w:space="0" w:color="auto"/>
                <w:right w:val="none" w:sz="0" w:space="0" w:color="auto"/>
              </w:divBdr>
            </w:div>
            <w:div w:id="1286889744">
              <w:marLeft w:val="480"/>
              <w:marRight w:val="0"/>
              <w:marTop w:val="0"/>
              <w:marBottom w:val="0"/>
              <w:divBdr>
                <w:top w:val="none" w:sz="0" w:space="0" w:color="auto"/>
                <w:left w:val="none" w:sz="0" w:space="0" w:color="auto"/>
                <w:bottom w:val="none" w:sz="0" w:space="0" w:color="auto"/>
                <w:right w:val="none" w:sz="0" w:space="0" w:color="auto"/>
              </w:divBdr>
            </w:div>
          </w:divsChild>
        </w:div>
        <w:div w:id="229853559">
          <w:marLeft w:val="480"/>
          <w:marRight w:val="0"/>
          <w:marTop w:val="0"/>
          <w:marBottom w:val="0"/>
          <w:divBdr>
            <w:top w:val="none" w:sz="0" w:space="0" w:color="auto"/>
            <w:left w:val="none" w:sz="0" w:space="0" w:color="auto"/>
            <w:bottom w:val="none" w:sz="0" w:space="0" w:color="auto"/>
            <w:right w:val="none" w:sz="0" w:space="0" w:color="auto"/>
          </w:divBdr>
        </w:div>
      </w:divsChild>
    </w:div>
    <w:div w:id="692994512">
      <w:bodyDiv w:val="1"/>
      <w:marLeft w:val="0"/>
      <w:marRight w:val="0"/>
      <w:marTop w:val="0"/>
      <w:marBottom w:val="0"/>
      <w:divBdr>
        <w:top w:val="none" w:sz="0" w:space="0" w:color="auto"/>
        <w:left w:val="none" w:sz="0" w:space="0" w:color="auto"/>
        <w:bottom w:val="none" w:sz="0" w:space="0" w:color="auto"/>
        <w:right w:val="none" w:sz="0" w:space="0" w:color="auto"/>
      </w:divBdr>
      <w:divsChild>
        <w:div w:id="1539925182">
          <w:marLeft w:val="480"/>
          <w:marRight w:val="0"/>
          <w:marTop w:val="0"/>
          <w:marBottom w:val="0"/>
          <w:divBdr>
            <w:top w:val="none" w:sz="0" w:space="0" w:color="auto"/>
            <w:left w:val="none" w:sz="0" w:space="0" w:color="auto"/>
            <w:bottom w:val="none" w:sz="0" w:space="0" w:color="auto"/>
            <w:right w:val="none" w:sz="0" w:space="0" w:color="auto"/>
          </w:divBdr>
        </w:div>
        <w:div w:id="1785886646">
          <w:marLeft w:val="480"/>
          <w:marRight w:val="0"/>
          <w:marTop w:val="0"/>
          <w:marBottom w:val="0"/>
          <w:divBdr>
            <w:top w:val="none" w:sz="0" w:space="0" w:color="auto"/>
            <w:left w:val="none" w:sz="0" w:space="0" w:color="auto"/>
            <w:bottom w:val="none" w:sz="0" w:space="0" w:color="auto"/>
            <w:right w:val="none" w:sz="0" w:space="0" w:color="auto"/>
          </w:divBdr>
        </w:div>
        <w:div w:id="611206300">
          <w:marLeft w:val="480"/>
          <w:marRight w:val="0"/>
          <w:marTop w:val="0"/>
          <w:marBottom w:val="0"/>
          <w:divBdr>
            <w:top w:val="none" w:sz="0" w:space="0" w:color="auto"/>
            <w:left w:val="none" w:sz="0" w:space="0" w:color="auto"/>
            <w:bottom w:val="none" w:sz="0" w:space="0" w:color="auto"/>
            <w:right w:val="none" w:sz="0" w:space="0" w:color="auto"/>
          </w:divBdr>
          <w:divsChild>
            <w:div w:id="918709833">
              <w:marLeft w:val="480"/>
              <w:marRight w:val="0"/>
              <w:marTop w:val="0"/>
              <w:marBottom w:val="0"/>
              <w:divBdr>
                <w:top w:val="none" w:sz="0" w:space="0" w:color="auto"/>
                <w:left w:val="none" w:sz="0" w:space="0" w:color="auto"/>
                <w:bottom w:val="none" w:sz="0" w:space="0" w:color="auto"/>
                <w:right w:val="none" w:sz="0" w:space="0" w:color="auto"/>
              </w:divBdr>
            </w:div>
            <w:div w:id="54768867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702025974">
      <w:bodyDiv w:val="1"/>
      <w:marLeft w:val="0"/>
      <w:marRight w:val="0"/>
      <w:marTop w:val="0"/>
      <w:marBottom w:val="0"/>
      <w:divBdr>
        <w:top w:val="none" w:sz="0" w:space="0" w:color="auto"/>
        <w:left w:val="none" w:sz="0" w:space="0" w:color="auto"/>
        <w:bottom w:val="none" w:sz="0" w:space="0" w:color="auto"/>
        <w:right w:val="none" w:sz="0" w:space="0" w:color="auto"/>
      </w:divBdr>
    </w:div>
    <w:div w:id="788664477">
      <w:bodyDiv w:val="1"/>
      <w:marLeft w:val="0"/>
      <w:marRight w:val="0"/>
      <w:marTop w:val="0"/>
      <w:marBottom w:val="0"/>
      <w:divBdr>
        <w:top w:val="none" w:sz="0" w:space="0" w:color="auto"/>
        <w:left w:val="none" w:sz="0" w:space="0" w:color="auto"/>
        <w:bottom w:val="none" w:sz="0" w:space="0" w:color="auto"/>
        <w:right w:val="none" w:sz="0" w:space="0" w:color="auto"/>
      </w:divBdr>
    </w:div>
    <w:div w:id="854658749">
      <w:bodyDiv w:val="1"/>
      <w:marLeft w:val="0"/>
      <w:marRight w:val="0"/>
      <w:marTop w:val="0"/>
      <w:marBottom w:val="0"/>
      <w:divBdr>
        <w:top w:val="none" w:sz="0" w:space="0" w:color="auto"/>
        <w:left w:val="none" w:sz="0" w:space="0" w:color="auto"/>
        <w:bottom w:val="none" w:sz="0" w:space="0" w:color="auto"/>
        <w:right w:val="none" w:sz="0" w:space="0" w:color="auto"/>
      </w:divBdr>
    </w:div>
    <w:div w:id="1278217831">
      <w:bodyDiv w:val="1"/>
      <w:marLeft w:val="0"/>
      <w:marRight w:val="0"/>
      <w:marTop w:val="0"/>
      <w:marBottom w:val="0"/>
      <w:divBdr>
        <w:top w:val="none" w:sz="0" w:space="0" w:color="auto"/>
        <w:left w:val="none" w:sz="0" w:space="0" w:color="auto"/>
        <w:bottom w:val="none" w:sz="0" w:space="0" w:color="auto"/>
        <w:right w:val="none" w:sz="0" w:space="0" w:color="auto"/>
      </w:divBdr>
      <w:divsChild>
        <w:div w:id="1286889330">
          <w:marLeft w:val="480"/>
          <w:marRight w:val="0"/>
          <w:marTop w:val="0"/>
          <w:marBottom w:val="0"/>
          <w:divBdr>
            <w:top w:val="none" w:sz="0" w:space="0" w:color="auto"/>
            <w:left w:val="none" w:sz="0" w:space="0" w:color="auto"/>
            <w:bottom w:val="none" w:sz="0" w:space="0" w:color="auto"/>
            <w:right w:val="none" w:sz="0" w:space="0" w:color="auto"/>
          </w:divBdr>
        </w:div>
        <w:div w:id="749737057">
          <w:marLeft w:val="480"/>
          <w:marRight w:val="0"/>
          <w:marTop w:val="0"/>
          <w:marBottom w:val="0"/>
          <w:divBdr>
            <w:top w:val="none" w:sz="0" w:space="0" w:color="auto"/>
            <w:left w:val="none" w:sz="0" w:space="0" w:color="auto"/>
            <w:bottom w:val="none" w:sz="0" w:space="0" w:color="auto"/>
            <w:right w:val="none" w:sz="0" w:space="0" w:color="auto"/>
          </w:divBdr>
        </w:div>
      </w:divsChild>
    </w:div>
    <w:div w:id="1406681444">
      <w:bodyDiv w:val="1"/>
      <w:marLeft w:val="0"/>
      <w:marRight w:val="0"/>
      <w:marTop w:val="0"/>
      <w:marBottom w:val="0"/>
      <w:divBdr>
        <w:top w:val="none" w:sz="0" w:space="0" w:color="auto"/>
        <w:left w:val="none" w:sz="0" w:space="0" w:color="auto"/>
        <w:bottom w:val="none" w:sz="0" w:space="0" w:color="auto"/>
        <w:right w:val="none" w:sz="0" w:space="0" w:color="auto"/>
      </w:divBdr>
    </w:div>
    <w:div w:id="1587416057">
      <w:bodyDiv w:val="1"/>
      <w:marLeft w:val="0"/>
      <w:marRight w:val="0"/>
      <w:marTop w:val="0"/>
      <w:marBottom w:val="0"/>
      <w:divBdr>
        <w:top w:val="none" w:sz="0" w:space="0" w:color="auto"/>
        <w:left w:val="none" w:sz="0" w:space="0" w:color="auto"/>
        <w:bottom w:val="none" w:sz="0" w:space="0" w:color="auto"/>
        <w:right w:val="none" w:sz="0" w:space="0" w:color="auto"/>
      </w:divBdr>
    </w:div>
    <w:div w:id="2018727716">
      <w:bodyDiv w:val="1"/>
      <w:marLeft w:val="0"/>
      <w:marRight w:val="0"/>
      <w:marTop w:val="0"/>
      <w:marBottom w:val="0"/>
      <w:divBdr>
        <w:top w:val="none" w:sz="0" w:space="0" w:color="auto"/>
        <w:left w:val="none" w:sz="0" w:space="0" w:color="auto"/>
        <w:bottom w:val="none" w:sz="0" w:space="0" w:color="auto"/>
        <w:right w:val="none" w:sz="0" w:space="0" w:color="auto"/>
      </w:divBdr>
      <w:divsChild>
        <w:div w:id="1087768141">
          <w:marLeft w:val="480"/>
          <w:marRight w:val="0"/>
          <w:marTop w:val="0"/>
          <w:marBottom w:val="0"/>
          <w:divBdr>
            <w:top w:val="none" w:sz="0" w:space="0" w:color="auto"/>
            <w:left w:val="none" w:sz="0" w:space="0" w:color="auto"/>
            <w:bottom w:val="none" w:sz="0" w:space="0" w:color="auto"/>
            <w:right w:val="none" w:sz="0" w:space="0" w:color="auto"/>
          </w:divBdr>
        </w:div>
        <w:div w:id="884102661">
          <w:marLeft w:val="480"/>
          <w:marRight w:val="0"/>
          <w:marTop w:val="0"/>
          <w:marBottom w:val="0"/>
          <w:divBdr>
            <w:top w:val="none" w:sz="0" w:space="0" w:color="auto"/>
            <w:left w:val="none" w:sz="0" w:space="0" w:color="auto"/>
            <w:bottom w:val="none" w:sz="0" w:space="0" w:color="auto"/>
            <w:right w:val="none" w:sz="0" w:space="0" w:color="auto"/>
          </w:divBdr>
        </w:div>
        <w:div w:id="634145122">
          <w:marLeft w:val="480"/>
          <w:marRight w:val="0"/>
          <w:marTop w:val="0"/>
          <w:marBottom w:val="0"/>
          <w:divBdr>
            <w:top w:val="none" w:sz="0" w:space="0" w:color="auto"/>
            <w:left w:val="none" w:sz="0" w:space="0" w:color="auto"/>
            <w:bottom w:val="none" w:sz="0" w:space="0" w:color="auto"/>
            <w:right w:val="none" w:sz="0" w:space="0" w:color="auto"/>
          </w:divBdr>
        </w:div>
        <w:div w:id="1576818128">
          <w:marLeft w:val="480"/>
          <w:marRight w:val="0"/>
          <w:marTop w:val="0"/>
          <w:marBottom w:val="0"/>
          <w:divBdr>
            <w:top w:val="none" w:sz="0" w:space="0" w:color="auto"/>
            <w:left w:val="none" w:sz="0" w:space="0" w:color="auto"/>
            <w:bottom w:val="none" w:sz="0" w:space="0" w:color="auto"/>
            <w:right w:val="none" w:sz="0" w:space="0" w:color="auto"/>
          </w:divBdr>
        </w:div>
        <w:div w:id="894198040">
          <w:marLeft w:val="480"/>
          <w:marRight w:val="0"/>
          <w:marTop w:val="0"/>
          <w:marBottom w:val="0"/>
          <w:divBdr>
            <w:top w:val="none" w:sz="0" w:space="0" w:color="auto"/>
            <w:left w:val="none" w:sz="0" w:space="0" w:color="auto"/>
            <w:bottom w:val="none" w:sz="0" w:space="0" w:color="auto"/>
            <w:right w:val="none" w:sz="0" w:space="0" w:color="auto"/>
          </w:divBdr>
        </w:div>
      </w:divsChild>
    </w:div>
    <w:div w:id="2123257761">
      <w:bodyDiv w:val="1"/>
      <w:marLeft w:val="0"/>
      <w:marRight w:val="0"/>
      <w:marTop w:val="0"/>
      <w:marBottom w:val="0"/>
      <w:divBdr>
        <w:top w:val="none" w:sz="0" w:space="0" w:color="auto"/>
        <w:left w:val="none" w:sz="0" w:space="0" w:color="auto"/>
        <w:bottom w:val="none" w:sz="0" w:space="0" w:color="auto"/>
        <w:right w:val="none" w:sz="0" w:space="0" w:color="auto"/>
      </w:divBdr>
      <w:divsChild>
        <w:div w:id="594749636">
          <w:marLeft w:val="480"/>
          <w:marRight w:val="0"/>
          <w:marTop w:val="0"/>
          <w:marBottom w:val="0"/>
          <w:divBdr>
            <w:top w:val="none" w:sz="0" w:space="0" w:color="auto"/>
            <w:left w:val="none" w:sz="0" w:space="0" w:color="auto"/>
            <w:bottom w:val="none" w:sz="0" w:space="0" w:color="auto"/>
            <w:right w:val="none" w:sz="0" w:space="0" w:color="auto"/>
          </w:divBdr>
        </w:div>
        <w:div w:id="1368332618">
          <w:marLeft w:val="480"/>
          <w:marRight w:val="0"/>
          <w:marTop w:val="0"/>
          <w:marBottom w:val="0"/>
          <w:divBdr>
            <w:top w:val="none" w:sz="0" w:space="0" w:color="auto"/>
            <w:left w:val="none" w:sz="0" w:space="0" w:color="auto"/>
            <w:bottom w:val="none" w:sz="0" w:space="0" w:color="auto"/>
            <w:right w:val="none" w:sz="0" w:space="0" w:color="auto"/>
          </w:divBdr>
          <w:divsChild>
            <w:div w:id="125704112">
              <w:marLeft w:val="480"/>
              <w:marRight w:val="0"/>
              <w:marTop w:val="0"/>
              <w:marBottom w:val="0"/>
              <w:divBdr>
                <w:top w:val="none" w:sz="0" w:space="0" w:color="auto"/>
                <w:left w:val="none" w:sz="0" w:space="0" w:color="auto"/>
                <w:bottom w:val="none" w:sz="0" w:space="0" w:color="auto"/>
                <w:right w:val="none" w:sz="0" w:space="0" w:color="auto"/>
              </w:divBdr>
            </w:div>
            <w:div w:id="1098015082">
              <w:marLeft w:val="480"/>
              <w:marRight w:val="0"/>
              <w:marTop w:val="0"/>
              <w:marBottom w:val="0"/>
              <w:divBdr>
                <w:top w:val="none" w:sz="0" w:space="0" w:color="auto"/>
                <w:left w:val="none" w:sz="0" w:space="0" w:color="auto"/>
                <w:bottom w:val="none" w:sz="0" w:space="0" w:color="auto"/>
                <w:right w:val="none" w:sz="0" w:space="0" w:color="auto"/>
              </w:divBdr>
            </w:div>
          </w:divsChild>
        </w:div>
        <w:div w:id="1183470471">
          <w:marLeft w:val="480"/>
          <w:marRight w:val="0"/>
          <w:marTop w:val="0"/>
          <w:marBottom w:val="0"/>
          <w:divBdr>
            <w:top w:val="none" w:sz="0" w:space="0" w:color="auto"/>
            <w:left w:val="none" w:sz="0" w:space="0" w:color="auto"/>
            <w:bottom w:val="none" w:sz="0" w:space="0" w:color="auto"/>
            <w:right w:val="none" w:sz="0" w:space="0" w:color="auto"/>
          </w:divBdr>
        </w:div>
      </w:divsChild>
    </w:div>
    <w:div w:id="2139756391">
      <w:bodyDiv w:val="1"/>
      <w:marLeft w:val="0"/>
      <w:marRight w:val="0"/>
      <w:marTop w:val="0"/>
      <w:marBottom w:val="0"/>
      <w:divBdr>
        <w:top w:val="none" w:sz="0" w:space="0" w:color="auto"/>
        <w:left w:val="none" w:sz="0" w:space="0" w:color="auto"/>
        <w:bottom w:val="none" w:sz="0" w:space="0" w:color="auto"/>
        <w:right w:val="none" w:sz="0" w:space="0" w:color="auto"/>
      </w:divBdr>
      <w:divsChild>
        <w:div w:id="1461001201">
          <w:marLeft w:val="480"/>
          <w:marRight w:val="0"/>
          <w:marTop w:val="0"/>
          <w:marBottom w:val="0"/>
          <w:divBdr>
            <w:top w:val="none" w:sz="0" w:space="0" w:color="auto"/>
            <w:left w:val="none" w:sz="0" w:space="0" w:color="auto"/>
            <w:bottom w:val="none" w:sz="0" w:space="0" w:color="auto"/>
            <w:right w:val="none" w:sz="0" w:space="0" w:color="auto"/>
          </w:divBdr>
          <w:divsChild>
            <w:div w:id="1867448893">
              <w:marLeft w:val="480"/>
              <w:marRight w:val="0"/>
              <w:marTop w:val="0"/>
              <w:marBottom w:val="0"/>
              <w:divBdr>
                <w:top w:val="none" w:sz="0" w:space="0" w:color="auto"/>
                <w:left w:val="none" w:sz="0" w:space="0" w:color="auto"/>
                <w:bottom w:val="none" w:sz="0" w:space="0" w:color="auto"/>
                <w:right w:val="none" w:sz="0" w:space="0" w:color="auto"/>
              </w:divBdr>
            </w:div>
            <w:div w:id="1741634392">
              <w:marLeft w:val="480"/>
              <w:marRight w:val="0"/>
              <w:marTop w:val="0"/>
              <w:marBottom w:val="0"/>
              <w:divBdr>
                <w:top w:val="none" w:sz="0" w:space="0" w:color="auto"/>
                <w:left w:val="none" w:sz="0" w:space="0" w:color="auto"/>
                <w:bottom w:val="none" w:sz="0" w:space="0" w:color="auto"/>
                <w:right w:val="none" w:sz="0" w:space="0" w:color="auto"/>
              </w:divBdr>
            </w:div>
            <w:div w:id="97865433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14099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hhs.gov/sites/default/files/advisory-opinion-20-02-hhs-ogc-prep-act.pdf" TargetMode="External"/><Relationship Id="rId13" Type="http://schemas.openxmlformats.org/officeDocument/2006/relationships/hyperlink" Target="https://www.hrsa.gov/sites/default/files/hrsa/cicp/cicpfactsheet.pdf" TargetMode="External"/><Relationship Id="rId3" Type="http://schemas.openxmlformats.org/officeDocument/2006/relationships/hyperlink" Target="https://astho.informz.net/informzdataservice/onlineversion/ind/bWFpbGluZ2luc3RhbmNlaWQ9MjkyNDgzMiZzdWJzY3JpYmVyaWQ9Mzg3NTk0OTU1" TargetMode="External"/><Relationship Id="rId7" Type="http://schemas.openxmlformats.org/officeDocument/2006/relationships/hyperlink" Target="https://www.hhs.gov/sites/default/files/advisory-opinion-20-02-hhs-ogc-prep-act.pdf" TargetMode="External"/><Relationship Id="rId12" Type="http://schemas.openxmlformats.org/officeDocument/2006/relationships/hyperlink" Target="https://www.hrsa.gov/cicp/faq/index.html" TargetMode="External"/><Relationship Id="rId2" Type="http://schemas.openxmlformats.org/officeDocument/2006/relationships/hyperlink" Target="https://www.phe.gov/Preparedness/legal/Pages/phe-qa.aspx" TargetMode="External"/><Relationship Id="rId1" Type="http://schemas.openxmlformats.org/officeDocument/2006/relationships/hyperlink" Target="https://www.phe.gov/Preparedness/legal/Pages/phe-qa.aspx" TargetMode="External"/><Relationship Id="rId6" Type="http://schemas.openxmlformats.org/officeDocument/2006/relationships/hyperlink" Target="https://www.hhs.gov/sites/default/files/advisory-opinion-20-02-hhs-ogc-prep-act.pdf" TargetMode="External"/><Relationship Id="rId11" Type="http://schemas.openxmlformats.org/officeDocument/2006/relationships/hyperlink" Target="https://www.hhs.gov/sites/default/files/prep-act-advisory-opinion-april-14-2020.pdf" TargetMode="External"/><Relationship Id="rId5" Type="http://schemas.openxmlformats.org/officeDocument/2006/relationships/hyperlink" Target="https://www.hhs.gov/sites/default/files/prep-act-advisory-opinion-april-14-2020.pdf" TargetMode="External"/><Relationship Id="rId10" Type="http://schemas.openxmlformats.org/officeDocument/2006/relationships/hyperlink" Target="https://www.hhs.gov/sites/default/files/prep-act-advisory-opinion-april-14-2020.pdf" TargetMode="External"/><Relationship Id="rId4" Type="http://schemas.openxmlformats.org/officeDocument/2006/relationships/hyperlink" Target="https://www.phe.gov/Preparedness/legal/prepact/Pages/default.aspx" TargetMode="External"/><Relationship Id="rId9" Type="http://schemas.openxmlformats.org/officeDocument/2006/relationships/hyperlink" Target="https://www.hhs.gov/sites/default/files/prep-act-advisory-opinion-april-14-2020.pdf" TargetMode="External"/><Relationship Id="rId14" Type="http://schemas.openxmlformats.org/officeDocument/2006/relationships/hyperlink" Target="https://www.hrsa.gov/cicp/about/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BFB42-0551-4EA3-92D6-1A43FB3E0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2143</Words>
  <Characters>12221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2020-04-28T21:55:00Z</dcterms:created>
  <dcterms:modified xsi:type="dcterms:W3CDTF">2020-08-07T23:14:00Z</dcterms:modified>
</cp:coreProperties>
</file>