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F0F315" w14:textId="77777777" w:rsidR="00EE583F" w:rsidRDefault="00A9237A" w:rsidP="00EE583F">
      <w:pPr>
        <w:jc w:val="center"/>
        <w:rPr>
          <w:rFonts w:eastAsia="Times New Roman" w:cs="Helvetica"/>
          <w:b/>
          <w:bCs/>
          <w:color w:val="333333"/>
          <w:spacing w:val="15"/>
          <w:kern w:val="36"/>
          <w:sz w:val="24"/>
          <w:szCs w:val="24"/>
        </w:rPr>
      </w:pPr>
      <w:r w:rsidRPr="00A9237A">
        <w:rPr>
          <w:rFonts w:eastAsia="Times New Roman" w:cs="Helvetica"/>
          <w:b/>
          <w:bCs/>
          <w:color w:val="333333"/>
          <w:spacing w:val="15"/>
          <w:kern w:val="36"/>
          <w:sz w:val="24"/>
          <w:szCs w:val="24"/>
        </w:rPr>
        <w:t xml:space="preserve">WORKERS’ COMPENSATION </w:t>
      </w:r>
      <w:r w:rsidR="003301F5">
        <w:rPr>
          <w:rFonts w:eastAsia="Times New Roman" w:cs="Helvetica"/>
          <w:b/>
          <w:bCs/>
          <w:color w:val="333333"/>
          <w:spacing w:val="15"/>
          <w:kern w:val="36"/>
          <w:sz w:val="24"/>
          <w:szCs w:val="24"/>
        </w:rPr>
        <w:t>AND</w:t>
      </w:r>
      <w:r w:rsidR="00EE583F">
        <w:rPr>
          <w:rFonts w:eastAsia="Times New Roman" w:cs="Helvetica"/>
          <w:b/>
          <w:bCs/>
          <w:color w:val="333333"/>
          <w:spacing w:val="15"/>
          <w:kern w:val="36"/>
          <w:sz w:val="24"/>
          <w:szCs w:val="24"/>
        </w:rPr>
        <w:t xml:space="preserve"> BENEFITS </w:t>
      </w:r>
      <w:r w:rsidRPr="00A9237A">
        <w:rPr>
          <w:rFonts w:eastAsia="Times New Roman" w:cs="Helvetica"/>
          <w:b/>
          <w:bCs/>
          <w:color w:val="333333"/>
          <w:spacing w:val="15"/>
          <w:kern w:val="36"/>
          <w:sz w:val="24"/>
          <w:szCs w:val="24"/>
        </w:rPr>
        <w:t xml:space="preserve">IN </w:t>
      </w:r>
    </w:p>
    <w:p w14:paraId="5A0AA223" w14:textId="59AA5E4F" w:rsidR="009206D5" w:rsidRPr="00A9237A" w:rsidRDefault="00A9237A" w:rsidP="00EE583F">
      <w:pPr>
        <w:jc w:val="center"/>
        <w:rPr>
          <w:rFonts w:eastAsia="Times New Roman" w:cs="Helvetica"/>
          <w:b/>
          <w:bCs/>
          <w:color w:val="333333"/>
          <w:spacing w:val="15"/>
          <w:kern w:val="36"/>
          <w:sz w:val="24"/>
          <w:szCs w:val="24"/>
        </w:rPr>
      </w:pPr>
      <w:r w:rsidRPr="00A9237A">
        <w:rPr>
          <w:rFonts w:eastAsia="Times New Roman" w:cs="Helvetica"/>
          <w:b/>
          <w:bCs/>
          <w:color w:val="333333"/>
          <w:spacing w:val="15"/>
          <w:kern w:val="36"/>
          <w:sz w:val="24"/>
          <w:szCs w:val="24"/>
        </w:rPr>
        <w:t>EMERGENCY PREPAREDNESS AND RESPONSE</w:t>
      </w:r>
    </w:p>
    <w:p w14:paraId="2B13E7E9" w14:textId="77777777" w:rsidR="00D978D3" w:rsidRDefault="00D978D3" w:rsidP="00E33FD2">
      <w:pPr>
        <w:spacing w:after="120"/>
        <w:jc w:val="center"/>
        <w:rPr>
          <w:i/>
          <w:iCs/>
          <w:sz w:val="20"/>
          <w:szCs w:val="20"/>
          <w:highlight w:val="yellow"/>
        </w:rPr>
      </w:pPr>
    </w:p>
    <w:p w14:paraId="0C2755F9" w14:textId="5B4CC44F" w:rsidR="00E33FD2" w:rsidRDefault="00E33FD2" w:rsidP="00E33FD2">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EAS and EmVol toolkits)</w:t>
      </w:r>
    </w:p>
    <w:p w14:paraId="19892934" w14:textId="77777777" w:rsidR="00E33FD2" w:rsidRDefault="00E33FD2" w:rsidP="00E33FD2">
      <w:pPr>
        <w:spacing w:after="120" w:line="360" w:lineRule="auto"/>
        <w:ind w:left="576"/>
        <w:rPr>
          <w:b/>
          <w:bCs/>
          <w:i/>
          <w:iCs/>
        </w:rPr>
      </w:pPr>
    </w:p>
    <w:p w14:paraId="0CCD2584" w14:textId="550D8F2B" w:rsidR="009206D5" w:rsidRDefault="00E33FD2" w:rsidP="00E33FD2">
      <w:pPr>
        <w:spacing w:line="360" w:lineRule="auto"/>
        <w:ind w:left="576"/>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300CBF">
        <w:rPr>
          <w:i/>
          <w:iCs/>
        </w:rPr>
        <w:t>July</w:t>
      </w:r>
      <w:r w:rsidRPr="00300CBF">
        <w:rPr>
          <w:i/>
          <w:iCs/>
        </w:rPr>
        <w:t xml:space="preserve"> 2020</w:t>
      </w:r>
      <w:r>
        <w:rPr>
          <w:i/>
          <w:iCs/>
        </w:rPr>
        <w:t>.</w:t>
      </w:r>
    </w:p>
    <w:p w14:paraId="5161601D" w14:textId="77777777" w:rsidR="00E33FD2" w:rsidRDefault="00E33FD2" w:rsidP="00E33FD2">
      <w:pPr>
        <w:spacing w:line="360" w:lineRule="auto"/>
        <w:rPr>
          <w:rFonts w:eastAsia="Times New Roman" w:cs="Arial"/>
          <w:b/>
          <w:bCs/>
          <w:color w:val="3C3030"/>
          <w:sz w:val="24"/>
          <w:szCs w:val="24"/>
        </w:rPr>
      </w:pPr>
    </w:p>
    <w:p w14:paraId="268E0A98" w14:textId="2DC749A7" w:rsidR="00B80809" w:rsidRPr="00EC5630" w:rsidRDefault="0099702B" w:rsidP="00B80809">
      <w:pPr>
        <w:spacing w:line="360" w:lineRule="auto"/>
        <w:rPr>
          <w:rFonts w:eastAsia="Times New Roman" w:cs="Arial"/>
          <w:b/>
          <w:bCs/>
          <w:color w:val="000000" w:themeColor="text1"/>
          <w:sz w:val="24"/>
          <w:szCs w:val="24"/>
        </w:rPr>
      </w:pPr>
      <w:r w:rsidRPr="00EC5630">
        <w:rPr>
          <w:rFonts w:eastAsia="Times New Roman" w:cs="Arial"/>
          <w:b/>
          <w:bCs/>
          <w:color w:val="000000" w:themeColor="text1"/>
          <w:sz w:val="24"/>
          <w:szCs w:val="24"/>
        </w:rPr>
        <w:t>Overview</w:t>
      </w:r>
    </w:p>
    <w:p w14:paraId="365B6D11" w14:textId="77777777" w:rsidR="00F67303" w:rsidRDefault="00CB0845" w:rsidP="003A7E56">
      <w:pPr>
        <w:spacing w:line="360" w:lineRule="auto"/>
        <w:rPr>
          <w:rFonts w:eastAsia="Times New Roman" w:cs="Arial"/>
          <w:color w:val="000000" w:themeColor="text1"/>
          <w:szCs w:val="20"/>
        </w:rPr>
      </w:pPr>
      <w:r>
        <w:rPr>
          <w:rFonts w:eastAsia="Times New Roman" w:cs="Arial"/>
          <w:color w:val="000000" w:themeColor="text1"/>
          <w:szCs w:val="20"/>
        </w:rPr>
        <w:t>In addition to con</w:t>
      </w:r>
      <w:r w:rsidR="0099702B" w:rsidRPr="0099702B">
        <w:rPr>
          <w:rFonts w:eastAsia="Times New Roman" w:cs="Arial"/>
          <w:color w:val="000000" w:themeColor="text1"/>
          <w:szCs w:val="20"/>
        </w:rPr>
        <w:t>cerns about potential liabilities</w:t>
      </w:r>
      <w:r w:rsidR="00D61506">
        <w:rPr>
          <w:rFonts w:eastAsia="Times New Roman" w:cs="Arial"/>
          <w:color w:val="000000" w:themeColor="text1"/>
          <w:szCs w:val="20"/>
        </w:rPr>
        <w:t xml:space="preserve">, </w:t>
      </w:r>
      <w:r w:rsidR="0099702B" w:rsidRPr="0099702B">
        <w:rPr>
          <w:rFonts w:eastAsia="Times New Roman" w:cs="Arial"/>
          <w:color w:val="000000" w:themeColor="text1"/>
          <w:szCs w:val="20"/>
        </w:rPr>
        <w:t xml:space="preserve">government employees, volunteers, and healthcare </w:t>
      </w:r>
      <w:r w:rsidR="002D1F6A">
        <w:rPr>
          <w:rFonts w:eastAsia="Times New Roman" w:cs="Arial"/>
          <w:color w:val="000000" w:themeColor="text1"/>
          <w:szCs w:val="20"/>
        </w:rPr>
        <w:t xml:space="preserve">professional </w:t>
      </w:r>
      <w:r w:rsidR="0099702B" w:rsidRPr="0099702B">
        <w:rPr>
          <w:rFonts w:eastAsia="Times New Roman" w:cs="Arial"/>
          <w:color w:val="000000" w:themeColor="text1"/>
          <w:szCs w:val="20"/>
        </w:rPr>
        <w:t xml:space="preserve">raise questions about their ability to obtain coverage under state workers’ compensation programs </w:t>
      </w:r>
      <w:r w:rsidR="000A18D1">
        <w:rPr>
          <w:rFonts w:eastAsia="Times New Roman" w:cs="Arial"/>
          <w:color w:val="000000" w:themeColor="text1"/>
          <w:szCs w:val="20"/>
        </w:rPr>
        <w:t>or though</w:t>
      </w:r>
      <w:r w:rsidR="00E31205">
        <w:rPr>
          <w:rFonts w:eastAsia="Times New Roman" w:cs="Arial"/>
          <w:color w:val="000000" w:themeColor="text1"/>
          <w:szCs w:val="20"/>
        </w:rPr>
        <w:t xml:space="preserve"> </w:t>
      </w:r>
      <w:r w:rsidR="000B3C09">
        <w:rPr>
          <w:rFonts w:eastAsia="Times New Roman" w:cs="Arial"/>
          <w:color w:val="000000" w:themeColor="text1"/>
          <w:szCs w:val="20"/>
        </w:rPr>
        <w:t xml:space="preserve">other </w:t>
      </w:r>
      <w:r w:rsidR="00E31205">
        <w:rPr>
          <w:rFonts w:eastAsia="Times New Roman" w:cs="Arial"/>
          <w:color w:val="000000" w:themeColor="text1"/>
          <w:szCs w:val="20"/>
        </w:rPr>
        <w:t xml:space="preserve">mechanisms </w:t>
      </w:r>
      <w:r w:rsidR="0099702B" w:rsidRPr="0099702B">
        <w:rPr>
          <w:rFonts w:eastAsia="Times New Roman" w:cs="Arial"/>
          <w:color w:val="000000" w:themeColor="text1"/>
          <w:szCs w:val="20"/>
        </w:rPr>
        <w:t xml:space="preserve">for injuries received while participating in </w:t>
      </w:r>
      <w:r w:rsidR="00A47CF6">
        <w:rPr>
          <w:rFonts w:eastAsia="Times New Roman" w:cs="Arial"/>
          <w:color w:val="000000" w:themeColor="text1"/>
          <w:szCs w:val="20"/>
        </w:rPr>
        <w:t>emergency preparedness and response activities</w:t>
      </w:r>
      <w:r w:rsidR="0099702B" w:rsidRPr="0099702B">
        <w:rPr>
          <w:rFonts w:eastAsia="Times New Roman" w:cs="Arial"/>
          <w:color w:val="000000" w:themeColor="text1"/>
          <w:szCs w:val="20"/>
        </w:rPr>
        <w:t>.</w:t>
      </w:r>
      <w:r w:rsidR="00515D53">
        <w:rPr>
          <w:rFonts w:eastAsia="Times New Roman" w:cs="Arial"/>
          <w:color w:val="000000" w:themeColor="text1"/>
          <w:szCs w:val="20"/>
        </w:rPr>
        <w:t xml:space="preserve"> </w:t>
      </w:r>
      <w:r w:rsidR="00515D53" w:rsidRPr="0099702B">
        <w:rPr>
          <w:rFonts w:eastAsia="Times New Roman" w:cs="Arial"/>
          <w:color w:val="000000" w:themeColor="text1"/>
          <w:szCs w:val="20"/>
        </w:rPr>
        <w:t xml:space="preserve">Workers’ compensation programs provide benefits to </w:t>
      </w:r>
      <w:r w:rsidR="00515D53">
        <w:rPr>
          <w:rFonts w:eastAsia="Times New Roman" w:cs="Arial"/>
          <w:color w:val="000000" w:themeColor="text1"/>
          <w:szCs w:val="20"/>
        </w:rPr>
        <w:t>persons</w:t>
      </w:r>
      <w:r w:rsidR="00515D53" w:rsidRPr="0099702B">
        <w:rPr>
          <w:rFonts w:eastAsia="Times New Roman" w:cs="Arial"/>
          <w:color w:val="000000" w:themeColor="text1"/>
          <w:szCs w:val="20"/>
        </w:rPr>
        <w:t xml:space="preserve"> who are injured </w:t>
      </w:r>
      <w:r w:rsidR="00515D53">
        <w:rPr>
          <w:rFonts w:eastAsia="Times New Roman" w:cs="Arial"/>
          <w:color w:val="000000" w:themeColor="text1"/>
          <w:szCs w:val="20"/>
        </w:rPr>
        <w:t>in the</w:t>
      </w:r>
      <w:r w:rsidR="00515D53" w:rsidRPr="0099702B">
        <w:rPr>
          <w:rFonts w:eastAsia="Times New Roman" w:cs="Arial"/>
          <w:color w:val="000000" w:themeColor="text1"/>
          <w:szCs w:val="20"/>
        </w:rPr>
        <w:t xml:space="preserve"> course of their employment. </w:t>
      </w:r>
      <w:r w:rsidR="00F26909">
        <w:rPr>
          <w:rFonts w:eastAsia="Times New Roman" w:cs="Arial"/>
          <w:color w:val="000000" w:themeColor="text1"/>
          <w:szCs w:val="20"/>
        </w:rPr>
        <w:t xml:space="preserve">There are compensation funds </w:t>
      </w:r>
      <w:r w:rsidR="000100B5">
        <w:rPr>
          <w:rFonts w:eastAsia="Times New Roman" w:cs="Arial"/>
          <w:color w:val="000000" w:themeColor="text1"/>
          <w:szCs w:val="20"/>
        </w:rPr>
        <w:t xml:space="preserve">designated for certain types of workers </w:t>
      </w:r>
      <w:r w:rsidR="00220278">
        <w:rPr>
          <w:rFonts w:eastAsia="Times New Roman" w:cs="Arial"/>
          <w:color w:val="000000" w:themeColor="text1"/>
          <w:szCs w:val="20"/>
        </w:rPr>
        <w:t xml:space="preserve">or for injuries that occurred </w:t>
      </w:r>
      <w:r w:rsidR="00443FB3">
        <w:rPr>
          <w:rFonts w:eastAsia="Times New Roman" w:cs="Arial"/>
          <w:color w:val="000000" w:themeColor="text1"/>
          <w:szCs w:val="20"/>
        </w:rPr>
        <w:t>in specific emergencies.</w:t>
      </w:r>
      <w:r w:rsidR="00834121">
        <w:rPr>
          <w:rFonts w:eastAsia="Times New Roman" w:cs="Arial"/>
          <w:color w:val="000000" w:themeColor="text1"/>
          <w:szCs w:val="20"/>
        </w:rPr>
        <w:t xml:space="preserve"> </w:t>
      </w:r>
      <w:r w:rsidR="00336ABA">
        <w:rPr>
          <w:rFonts w:eastAsia="Times New Roman" w:cs="Arial"/>
          <w:color w:val="000000" w:themeColor="text1"/>
          <w:szCs w:val="20"/>
        </w:rPr>
        <w:t xml:space="preserve">Individuals may </w:t>
      </w:r>
      <w:r w:rsidR="00D2699F">
        <w:rPr>
          <w:rFonts w:eastAsia="Times New Roman" w:cs="Arial"/>
          <w:color w:val="000000" w:themeColor="text1"/>
          <w:szCs w:val="20"/>
        </w:rPr>
        <w:t xml:space="preserve">also </w:t>
      </w:r>
      <w:r w:rsidR="00C57780">
        <w:rPr>
          <w:rFonts w:eastAsia="Times New Roman" w:cs="Arial"/>
          <w:color w:val="000000" w:themeColor="text1"/>
          <w:szCs w:val="20"/>
        </w:rPr>
        <w:t>be able to access sick leave or disability insurance</w:t>
      </w:r>
      <w:r w:rsidR="00CF79A7">
        <w:rPr>
          <w:rFonts w:eastAsia="Times New Roman" w:cs="Arial"/>
          <w:color w:val="000000" w:themeColor="text1"/>
          <w:szCs w:val="20"/>
        </w:rPr>
        <w:t xml:space="preserve">. </w:t>
      </w:r>
    </w:p>
    <w:p w14:paraId="3858D625" w14:textId="77777777" w:rsidR="00F67303" w:rsidRDefault="00F67303" w:rsidP="003A7E56">
      <w:pPr>
        <w:spacing w:line="360" w:lineRule="auto"/>
        <w:rPr>
          <w:rFonts w:eastAsia="Times New Roman" w:cs="Arial"/>
          <w:color w:val="000000" w:themeColor="text1"/>
          <w:szCs w:val="20"/>
        </w:rPr>
      </w:pPr>
    </w:p>
    <w:p w14:paraId="7F97B916" w14:textId="34FD4251" w:rsidR="003A7E56" w:rsidRPr="001052CC" w:rsidRDefault="00A90FA4" w:rsidP="003A7E56">
      <w:pPr>
        <w:spacing w:line="360" w:lineRule="auto"/>
        <w:rPr>
          <w:rFonts w:eastAsia="Times New Roman" w:cs="Arial"/>
          <w:color w:val="000000" w:themeColor="text1"/>
          <w:szCs w:val="20"/>
        </w:rPr>
      </w:pPr>
      <w:r>
        <w:rPr>
          <w:noProof/>
        </w:rPr>
        <mc:AlternateContent>
          <mc:Choice Requires="wps">
            <w:drawing>
              <wp:anchor distT="45720" distB="45720" distL="114300" distR="114300" simplePos="0" relativeHeight="251660288" behindDoc="0" locked="0" layoutInCell="1" allowOverlap="1" wp14:anchorId="38FF3592" wp14:editId="22507F6A">
                <wp:simplePos x="0" y="0"/>
                <wp:positionH relativeFrom="margin">
                  <wp:posOffset>60960</wp:posOffset>
                </wp:positionH>
                <wp:positionV relativeFrom="paragraph">
                  <wp:posOffset>2244725</wp:posOffset>
                </wp:positionV>
                <wp:extent cx="5833745" cy="786130"/>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786130"/>
                        </a:xfrm>
                        <a:prstGeom prst="rect">
                          <a:avLst/>
                        </a:prstGeom>
                        <a:solidFill>
                          <a:srgbClr val="FFFFFF"/>
                        </a:solidFill>
                        <a:ln w="9525">
                          <a:solidFill>
                            <a:srgbClr val="000000"/>
                          </a:solidFill>
                          <a:miter lim="800000"/>
                          <a:headEnd/>
                          <a:tailEnd/>
                        </a:ln>
                      </wps:spPr>
                      <wps:txbx>
                        <w:txbxContent>
                          <w:p w14:paraId="0075C25E" w14:textId="77777777" w:rsidR="00A90FA4" w:rsidRPr="00CA76E9" w:rsidRDefault="00A90FA4" w:rsidP="00A90FA4">
                            <w:pPr>
                              <w:spacing w:after="120"/>
                              <w:jc w:val="center"/>
                              <w:rPr>
                                <w:i/>
                                <w:iCs/>
                              </w:rPr>
                            </w:pPr>
                            <w:r w:rsidRPr="00CA76E9">
                              <w:rPr>
                                <w:i/>
                                <w:iCs/>
                              </w:rPr>
                              <w:t xml:space="preserve">[Call out </w:t>
                            </w:r>
                            <w:r>
                              <w:rPr>
                                <w:i/>
                                <w:iCs/>
                              </w:rPr>
                              <w:t xml:space="preserve">box </w:t>
                            </w:r>
                            <w:r w:rsidRPr="00CA76E9">
                              <w:rPr>
                                <w:i/>
                                <w:iCs/>
                              </w:rPr>
                              <w:t>for first page of document]</w:t>
                            </w:r>
                          </w:p>
                          <w:p w14:paraId="40AE47E5" w14:textId="77777777" w:rsidR="00A90FA4" w:rsidRDefault="00A90FA4" w:rsidP="00A90FA4">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FF3592" id="_x0000_t202" coordsize="21600,21600" o:spt="202" path="m,l,21600r21600,l21600,xe">
                <v:stroke joinstyle="miter"/>
                <v:path gradientshapeok="t" o:connecttype="rect"/>
              </v:shapetype>
              <v:shape id="Text Box 2" o:spid="_x0000_s1026" type="#_x0000_t202" style="position:absolute;margin-left:4.8pt;margin-top:176.75pt;width:459.35pt;height:61.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">
                <v:textbox>
                  <w:txbxContent>
                    <w:p w14:paraId="0075C25E" w14:textId="77777777" w:rsidR="00A90FA4" w:rsidRPr="00CA76E9" w:rsidRDefault="00A90FA4" w:rsidP="00A90FA4">
                      <w:pPr>
                        <w:spacing w:after="120"/>
                        <w:jc w:val="center"/>
                        <w:rPr>
                          <w:i/>
                          <w:iCs/>
                        </w:rPr>
                      </w:pPr>
                      <w:r w:rsidRPr="00CA76E9">
                        <w:rPr>
                          <w:i/>
                          <w:iCs/>
                        </w:rPr>
                        <w:t xml:space="preserve">[Call out </w:t>
                      </w:r>
                      <w:r>
                        <w:rPr>
                          <w:i/>
                          <w:iCs/>
                        </w:rPr>
                        <w:t xml:space="preserve">box </w:t>
                      </w:r>
                      <w:r w:rsidRPr="00CA76E9">
                        <w:rPr>
                          <w:i/>
                          <w:iCs/>
                        </w:rPr>
                        <w:t>for first page of document]</w:t>
                      </w:r>
                    </w:p>
                    <w:p w14:paraId="40AE47E5" w14:textId="77777777" w:rsidR="00A90FA4" w:rsidRDefault="00A90FA4" w:rsidP="00A90FA4">
                      <w:r>
                        <w:t>Please see the Practice Guide accompanying this toolkit for access to practice notices, legal analysis tools, examples, and templates.</w:t>
                      </w:r>
                    </w:p>
                  </w:txbxContent>
                </v:textbox>
                <w10:wrap type="topAndBottom" anchorx="margin"/>
              </v:shape>
            </w:pict>
          </mc:Fallback>
        </mc:AlternateContent>
      </w:r>
      <w:r w:rsidR="003A7E56" w:rsidRPr="0099702B">
        <w:rPr>
          <w:rFonts w:eastAsia="Times New Roman" w:cs="Arial"/>
          <w:color w:val="000000" w:themeColor="text1"/>
          <w:szCs w:val="20"/>
        </w:rPr>
        <w:t xml:space="preserve">This </w:t>
      </w:r>
      <w:r w:rsidR="003A7E56">
        <w:rPr>
          <w:rFonts w:eastAsia="Times New Roman" w:cs="Arial"/>
          <w:color w:val="000000" w:themeColor="text1"/>
          <w:szCs w:val="20"/>
        </w:rPr>
        <w:t>document</w:t>
      </w:r>
      <w:r w:rsidR="003A7E56" w:rsidRPr="0099702B">
        <w:rPr>
          <w:rFonts w:eastAsia="Times New Roman" w:cs="Arial"/>
          <w:color w:val="000000" w:themeColor="text1"/>
          <w:szCs w:val="20"/>
        </w:rPr>
        <w:t xml:space="preserve"> reviews</w:t>
      </w:r>
      <w:r w:rsidR="00D2699F">
        <w:rPr>
          <w:rFonts w:eastAsia="Times New Roman" w:cs="Arial"/>
          <w:color w:val="000000" w:themeColor="text1"/>
          <w:szCs w:val="20"/>
        </w:rPr>
        <w:t xml:space="preserve"> these various mechanisms for </w:t>
      </w:r>
      <w:r w:rsidR="00DC27E8">
        <w:rPr>
          <w:rFonts w:eastAsia="Times New Roman" w:cs="Arial"/>
          <w:color w:val="000000" w:themeColor="text1"/>
          <w:szCs w:val="20"/>
        </w:rPr>
        <w:t xml:space="preserve">compensation and benefits. </w:t>
      </w:r>
      <w:r w:rsidR="003A7E56" w:rsidRPr="00DB1BB0">
        <w:rPr>
          <w:rFonts w:eastAsia="Times New Roman" w:cs="Arial"/>
          <w:color w:val="3C3030"/>
        </w:rPr>
        <w:t xml:space="preserve">It should be reviewed in conjunction with two other documents in this series: </w:t>
      </w:r>
      <w:r w:rsidR="003A7E56">
        <w:rPr>
          <w:rFonts w:eastAsia="Times New Roman" w:cs="Arial"/>
          <w:color w:val="3C3030"/>
        </w:rPr>
        <w:t xml:space="preserve">Liability </w:t>
      </w:r>
      <w:r w:rsidR="003A7E56" w:rsidRPr="00DB1BB0">
        <w:rPr>
          <w:rFonts w:eastAsia="Times New Roman" w:cs="Arial"/>
          <w:color w:val="3C3030"/>
        </w:rPr>
        <w:t xml:space="preserve">in </w:t>
      </w:r>
      <w:r w:rsidR="003A7E56">
        <w:rPr>
          <w:rFonts w:eastAsia="Times New Roman" w:cs="Arial"/>
          <w:color w:val="3C3030"/>
        </w:rPr>
        <w:t>Emergency Preparedness and Response, a</w:t>
      </w:r>
      <w:r w:rsidR="003A7E56" w:rsidRPr="00DB1BB0">
        <w:rPr>
          <w:rFonts w:eastAsia="Times New Roman" w:cs="Arial"/>
          <w:color w:val="3C3030"/>
        </w:rPr>
        <w:t xml:space="preserve">nd </w:t>
      </w:r>
      <w:r w:rsidR="00750253">
        <w:rPr>
          <w:rFonts w:eastAsia="Times New Roman" w:cs="Arial"/>
          <w:color w:val="3C3030"/>
        </w:rPr>
        <w:t>Immunity</w:t>
      </w:r>
      <w:r w:rsidR="00BD1796">
        <w:rPr>
          <w:rFonts w:eastAsia="Times New Roman" w:cs="Arial"/>
          <w:color w:val="3C3030"/>
        </w:rPr>
        <w:t xml:space="preserve"> Issues</w:t>
      </w:r>
      <w:r w:rsidR="003A7E56" w:rsidRPr="00DB1BB0">
        <w:rPr>
          <w:rFonts w:eastAsia="Times New Roman" w:cs="Arial"/>
          <w:color w:val="3C3030"/>
        </w:rPr>
        <w:t xml:space="preserve"> in </w:t>
      </w:r>
      <w:r w:rsidR="003A7E56">
        <w:rPr>
          <w:rFonts w:eastAsia="Times New Roman" w:cs="Arial"/>
          <w:color w:val="3C3030"/>
        </w:rPr>
        <w:t>Emergency Preparedness and Response</w:t>
      </w:r>
      <w:r w:rsidR="003A7E56" w:rsidRPr="00DB1BB0">
        <w:rPr>
          <w:rFonts w:eastAsia="Times New Roman" w:cs="Arial"/>
          <w:color w:val="3C3030"/>
        </w:rPr>
        <w:t xml:space="preserve">. These documents address the potential theories of liability and </w:t>
      </w:r>
      <w:r w:rsidR="00706301">
        <w:rPr>
          <w:rFonts w:eastAsia="Times New Roman" w:cs="Arial"/>
          <w:color w:val="3C3030"/>
        </w:rPr>
        <w:t>p</w:t>
      </w:r>
      <w:r w:rsidR="00EE7FFB">
        <w:rPr>
          <w:rFonts w:eastAsia="Times New Roman" w:cs="Arial"/>
          <w:color w:val="3C3030"/>
        </w:rPr>
        <w:t>ossible immunity and other legal defenses to th</w:t>
      </w:r>
      <w:r w:rsidR="00612EF7">
        <w:rPr>
          <w:rFonts w:eastAsia="Times New Roman" w:cs="Arial"/>
          <w:color w:val="3C3030"/>
        </w:rPr>
        <w:t>ose</w:t>
      </w:r>
      <w:r w:rsidR="00EE7FFB">
        <w:rPr>
          <w:rFonts w:eastAsia="Times New Roman" w:cs="Arial"/>
          <w:color w:val="3C3030"/>
        </w:rPr>
        <w:t xml:space="preserve"> potential liabilities</w:t>
      </w:r>
      <w:r w:rsidR="003A7E56" w:rsidRPr="00DB1BB0">
        <w:rPr>
          <w:rFonts w:eastAsia="Times New Roman" w:cs="Arial"/>
          <w:color w:val="3C3030"/>
        </w:rPr>
        <w:t xml:space="preserve">. </w:t>
      </w:r>
      <w:r w:rsidR="003A7E56" w:rsidRPr="002605BF">
        <w:rPr>
          <w:rFonts w:eastAsia="Times New Roman" w:cs="Arial"/>
          <w:color w:val="3C3030"/>
        </w:rPr>
        <w:t xml:space="preserve">The laws surrounding </w:t>
      </w:r>
      <w:r w:rsidR="009F02DA" w:rsidRPr="002605BF">
        <w:rPr>
          <w:rFonts w:eastAsia="Times New Roman" w:cs="Arial"/>
          <w:color w:val="3C3030"/>
        </w:rPr>
        <w:t>workers’ compensation</w:t>
      </w:r>
      <w:r w:rsidR="003A7E56" w:rsidRPr="002605BF">
        <w:rPr>
          <w:rFonts w:eastAsia="Times New Roman" w:cs="Arial"/>
          <w:color w:val="3C3030"/>
        </w:rPr>
        <w:t xml:space="preserve"> are a mix of common law decisions (represented in the case law of individual</w:t>
      </w:r>
      <w:r w:rsidR="003A7E56" w:rsidRPr="00DB1BB0">
        <w:rPr>
          <w:rFonts w:eastAsia="Times New Roman" w:cs="Arial"/>
          <w:color w:val="3C3030"/>
        </w:rPr>
        <w:t xml:space="preserve"> jurisdictions), statutory law, and constitutional law in individual states, tribes, and territories (STT), as well as federal laws that may preempt STT laws. As such, readers should examine the laws in their own jurisdictions to determine how the liability </w:t>
      </w:r>
      <w:r w:rsidR="003A7E56">
        <w:rPr>
          <w:rFonts w:eastAsia="Times New Roman" w:cs="Arial"/>
          <w:color w:val="3C3030"/>
        </w:rPr>
        <w:t xml:space="preserve">protections </w:t>
      </w:r>
      <w:r w:rsidR="003A7E56" w:rsidRPr="00DB1BB0">
        <w:rPr>
          <w:rFonts w:eastAsia="Times New Roman" w:cs="Arial"/>
          <w:color w:val="3C3030"/>
        </w:rPr>
        <w:t xml:space="preserve">discussed here </w:t>
      </w:r>
      <w:r w:rsidR="003A7E56" w:rsidRPr="00DB1BB0">
        <w:rPr>
          <w:rFonts w:eastAsia="Times New Roman" w:cs="Arial"/>
          <w:color w:val="3C3030"/>
        </w:rPr>
        <w:lastRenderedPageBreak/>
        <w:t>would be addressed in their specific jurisdictions.</w:t>
      </w:r>
      <w:r w:rsidR="00FB44D1">
        <w:rPr>
          <w:rFonts w:eastAsia="Times New Roman" w:cs="Arial"/>
          <w:color w:val="3C3030"/>
        </w:rPr>
        <w:t xml:space="preserve"> </w:t>
      </w:r>
      <w:r w:rsidR="00FB44D1" w:rsidRPr="00DB1BB0">
        <w:rPr>
          <w:rFonts w:eastAsia="Times New Roman" w:cs="Arial"/>
          <w:color w:val="3C3030"/>
        </w:rPr>
        <w:t>Finally, this document is intended to provide general information on the topics presented; it is not intended to be a comprehensive treatment of the law or to provide legal advice.</w:t>
      </w:r>
    </w:p>
    <w:p w14:paraId="239AAAD0" w14:textId="0EEB18EA" w:rsidR="003A7E56" w:rsidRPr="00B80809" w:rsidRDefault="003A7E56" w:rsidP="00B80809">
      <w:pPr>
        <w:spacing w:line="360" w:lineRule="auto"/>
        <w:rPr>
          <w:rFonts w:eastAsia="Times New Roman" w:cs="Arial"/>
          <w:b/>
          <w:bCs/>
          <w:color w:val="3C3030"/>
          <w:sz w:val="24"/>
          <w:szCs w:val="24"/>
        </w:rPr>
      </w:pPr>
    </w:p>
    <w:p w14:paraId="4A269C66" w14:textId="26E630BA"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Workers’ Compensation and Disability Issues</w:t>
      </w:r>
    </w:p>
    <w:p w14:paraId="2AAF98FD" w14:textId="1AA76DAE" w:rsidR="00B80809" w:rsidRPr="00A76312" w:rsidRDefault="0099702B" w:rsidP="00B80809">
      <w:pPr>
        <w:spacing w:line="360" w:lineRule="auto"/>
        <w:rPr>
          <w:rFonts w:eastAsia="Times New Roman" w:cs="Arial"/>
          <w:szCs w:val="20"/>
        </w:rPr>
      </w:pPr>
      <w:r w:rsidRPr="0099702B">
        <w:rPr>
          <w:rFonts w:eastAsia="Times New Roman" w:cs="Arial"/>
          <w:color w:val="000000" w:themeColor="text1"/>
          <w:szCs w:val="20"/>
        </w:rPr>
        <w:t xml:space="preserve">Government employees, contractors, and volunteers may be injured and disabled </w:t>
      </w:r>
      <w:r w:rsidR="00E32BBE">
        <w:rPr>
          <w:rFonts w:eastAsia="Times New Roman" w:cs="Arial"/>
          <w:color w:val="000000" w:themeColor="text1"/>
          <w:szCs w:val="20"/>
        </w:rPr>
        <w:t xml:space="preserve">while undertaking emergency preparedness and response activities. </w:t>
      </w:r>
      <w:r w:rsidRPr="0099702B">
        <w:rPr>
          <w:rFonts w:eastAsia="Times New Roman" w:cs="Arial"/>
          <w:color w:val="000000" w:themeColor="text1"/>
          <w:szCs w:val="20"/>
        </w:rPr>
        <w:t>A person’s ability to obtain workers’ compensation for injuries or lost wages is a significant question for those responding to emergency events. In deciding the issue, a number of factors can affect the analysis such as the parameters of a state’s workers’ compensation laws, the person’s status while responding (employee or volunteer), the systems or programs under which a person deploys, and events surrounding the injury.</w:t>
      </w:r>
      <w:r w:rsidR="00BD23A6">
        <w:rPr>
          <w:rStyle w:val="FootnoteReference"/>
          <w:rFonts w:eastAsia="Times New Roman" w:cs="Arial"/>
          <w:color w:val="000000" w:themeColor="text1"/>
          <w:szCs w:val="20"/>
        </w:rPr>
        <w:footnoteReference w:id="1"/>
      </w:r>
      <w:r w:rsidRPr="0099702B">
        <w:rPr>
          <w:rFonts w:eastAsia="Times New Roman" w:cs="Arial"/>
          <w:color w:val="000000" w:themeColor="text1"/>
          <w:szCs w:val="20"/>
        </w:rPr>
        <w:t xml:space="preserve"> Sick leave and disability insurance may provide an additional or alternative source of compensation for persons involved in </w:t>
      </w:r>
      <w:r w:rsidRPr="00A76312">
        <w:rPr>
          <w:rFonts w:eastAsia="Times New Roman" w:cs="Arial"/>
          <w:szCs w:val="20"/>
        </w:rPr>
        <w:t>emergency response activities, although not all persons may have access to these mechanisms.</w:t>
      </w:r>
    </w:p>
    <w:p w14:paraId="7448D7B4" w14:textId="1E3946AD" w:rsidR="004D5D79" w:rsidRPr="00A76312" w:rsidRDefault="004D5D79" w:rsidP="00B80809">
      <w:pPr>
        <w:spacing w:line="360" w:lineRule="auto"/>
        <w:rPr>
          <w:rFonts w:eastAsia="Times New Roman" w:cs="Arial"/>
        </w:rPr>
      </w:pPr>
    </w:p>
    <w:p w14:paraId="69F201E5" w14:textId="105F54B7" w:rsidR="00916429" w:rsidRDefault="00FD502D" w:rsidP="00B80809">
      <w:pPr>
        <w:spacing w:line="360" w:lineRule="auto"/>
        <w:rPr>
          <w:rFonts w:eastAsia="Times New Roman" w:cs="Arial"/>
        </w:rPr>
      </w:pPr>
      <w:r w:rsidRPr="00A76312">
        <w:rPr>
          <w:rFonts w:eastAsia="Times New Roman" w:cs="Arial"/>
        </w:rPr>
        <w:t>The COVID-19 pandemic</w:t>
      </w:r>
      <w:r w:rsidR="000919AD" w:rsidRPr="00A76312">
        <w:rPr>
          <w:rFonts w:eastAsia="Times New Roman" w:cs="Arial"/>
        </w:rPr>
        <w:t xml:space="preserve"> highlighted </w:t>
      </w:r>
      <w:r w:rsidR="005F5093" w:rsidRPr="00A76312">
        <w:rPr>
          <w:rFonts w:eastAsia="Times New Roman" w:cs="Arial"/>
        </w:rPr>
        <w:t xml:space="preserve">even </w:t>
      </w:r>
      <w:r w:rsidR="0040082F">
        <w:rPr>
          <w:rFonts w:eastAsia="Times New Roman" w:cs="Arial"/>
        </w:rPr>
        <w:t>greater</w:t>
      </w:r>
      <w:r w:rsidR="005F5093" w:rsidRPr="00A76312">
        <w:rPr>
          <w:rFonts w:eastAsia="Times New Roman" w:cs="Arial"/>
        </w:rPr>
        <w:t xml:space="preserve"> </w:t>
      </w:r>
      <w:r w:rsidR="00A76312" w:rsidRPr="00A76312">
        <w:rPr>
          <w:rFonts w:eastAsia="Times New Roman" w:cs="Arial"/>
        </w:rPr>
        <w:t>c</w:t>
      </w:r>
      <w:r w:rsidR="001A53AB" w:rsidRPr="00A76312">
        <w:rPr>
          <w:rFonts w:eastAsia="Times New Roman" w:cs="Arial"/>
        </w:rPr>
        <w:t xml:space="preserve">hallenges with </w:t>
      </w:r>
      <w:r w:rsidR="00A76312" w:rsidRPr="00A76312">
        <w:rPr>
          <w:rFonts w:eastAsia="Times New Roman" w:cs="Arial"/>
        </w:rPr>
        <w:t xml:space="preserve">seeking </w:t>
      </w:r>
      <w:r w:rsidR="001A53AB" w:rsidRPr="00A76312">
        <w:rPr>
          <w:rFonts w:eastAsia="Times New Roman" w:cs="Arial"/>
        </w:rPr>
        <w:t xml:space="preserve">workers’ compensation </w:t>
      </w:r>
      <w:r w:rsidR="00411824">
        <w:rPr>
          <w:rFonts w:eastAsia="Times New Roman" w:cs="Arial"/>
        </w:rPr>
        <w:t xml:space="preserve">or other benefits </w:t>
      </w:r>
      <w:r w:rsidR="00123930" w:rsidRPr="00A76312">
        <w:rPr>
          <w:rFonts w:eastAsia="Times New Roman" w:cs="Arial"/>
        </w:rPr>
        <w:t xml:space="preserve">when the emergency </w:t>
      </w:r>
      <w:r w:rsidR="00CA0082">
        <w:rPr>
          <w:rFonts w:eastAsia="Times New Roman" w:cs="Arial"/>
        </w:rPr>
        <w:t xml:space="preserve">response </w:t>
      </w:r>
      <w:r w:rsidR="00123930" w:rsidRPr="00A76312">
        <w:rPr>
          <w:rFonts w:eastAsia="Times New Roman" w:cs="Arial"/>
        </w:rPr>
        <w:t>is</w:t>
      </w:r>
      <w:r w:rsidR="00CA0082">
        <w:rPr>
          <w:rFonts w:eastAsia="Times New Roman" w:cs="Arial"/>
        </w:rPr>
        <w:t xml:space="preserve"> to </w:t>
      </w:r>
      <w:r w:rsidR="00916429" w:rsidRPr="00A76312">
        <w:rPr>
          <w:rFonts w:eastAsia="Times New Roman" w:cs="Arial"/>
        </w:rPr>
        <w:t>a widespread contagious event.</w:t>
      </w:r>
      <w:r w:rsidR="0070482B">
        <w:rPr>
          <w:rFonts w:eastAsia="Times New Roman" w:cs="Arial"/>
        </w:rPr>
        <w:t xml:space="preserve"> </w:t>
      </w:r>
      <w:r w:rsidR="0070658E">
        <w:rPr>
          <w:rFonts w:eastAsia="Times New Roman" w:cs="Arial"/>
        </w:rPr>
        <w:t>Workers’ compensation typically do</w:t>
      </w:r>
      <w:r w:rsidR="00B263CB">
        <w:rPr>
          <w:rFonts w:eastAsia="Times New Roman" w:cs="Arial"/>
        </w:rPr>
        <w:t>es</w:t>
      </w:r>
      <w:r w:rsidR="0070658E">
        <w:rPr>
          <w:rFonts w:eastAsia="Times New Roman" w:cs="Arial"/>
        </w:rPr>
        <w:t xml:space="preserve"> not cover</w:t>
      </w:r>
      <w:r w:rsidR="00D87B59">
        <w:rPr>
          <w:rFonts w:eastAsia="Times New Roman" w:cs="Arial"/>
        </w:rPr>
        <w:t xml:space="preserve"> illnesses like the common cold or flu</w:t>
      </w:r>
      <w:r w:rsidR="00B263CB">
        <w:rPr>
          <w:rFonts w:eastAsia="Times New Roman" w:cs="Arial"/>
        </w:rPr>
        <w:t xml:space="preserve"> that are </w:t>
      </w:r>
      <w:r w:rsidR="00FF59F1">
        <w:rPr>
          <w:rFonts w:eastAsia="Times New Roman" w:cs="Arial"/>
        </w:rPr>
        <w:t xml:space="preserve">transmitted through community-spread as they generally cannot be </w:t>
      </w:r>
      <w:r w:rsidR="00B13DBA">
        <w:rPr>
          <w:rFonts w:eastAsia="Times New Roman" w:cs="Arial"/>
        </w:rPr>
        <w:t>linked to a workplace.</w:t>
      </w:r>
      <w:r w:rsidR="00B13DBA">
        <w:rPr>
          <w:rStyle w:val="FootnoteReference"/>
          <w:rFonts w:eastAsia="Times New Roman" w:cs="Arial"/>
        </w:rPr>
        <w:footnoteReference w:id="2"/>
      </w:r>
      <w:r w:rsidR="00BA2F6A">
        <w:rPr>
          <w:rFonts w:eastAsia="Times New Roman" w:cs="Arial"/>
        </w:rPr>
        <w:t xml:space="preserve"> But th</w:t>
      </w:r>
      <w:r w:rsidR="00333F13">
        <w:rPr>
          <w:rFonts w:eastAsia="Times New Roman" w:cs="Arial"/>
        </w:rPr>
        <w:t xml:space="preserve">is </w:t>
      </w:r>
      <w:r w:rsidR="00BA2F6A">
        <w:rPr>
          <w:rFonts w:eastAsia="Times New Roman" w:cs="Arial"/>
        </w:rPr>
        <w:t>limitation can be address</w:t>
      </w:r>
      <w:r w:rsidR="00333F13">
        <w:rPr>
          <w:rFonts w:eastAsia="Times New Roman" w:cs="Arial"/>
        </w:rPr>
        <w:t>ed</w:t>
      </w:r>
      <w:r w:rsidR="00BA2F6A">
        <w:rPr>
          <w:rFonts w:eastAsia="Times New Roman" w:cs="Arial"/>
        </w:rPr>
        <w:t xml:space="preserve"> through exceptions </w:t>
      </w:r>
      <w:r w:rsidR="00333F13">
        <w:rPr>
          <w:rFonts w:eastAsia="Times New Roman" w:cs="Arial"/>
        </w:rPr>
        <w:t>for persons wh</w:t>
      </w:r>
      <w:r w:rsidR="00B11B7F">
        <w:rPr>
          <w:rFonts w:eastAsia="Times New Roman" w:cs="Arial"/>
        </w:rPr>
        <w:t xml:space="preserve">ose work </w:t>
      </w:r>
      <w:r w:rsidR="00A6324A">
        <w:rPr>
          <w:rFonts w:eastAsia="Times New Roman" w:cs="Arial"/>
        </w:rPr>
        <w:t xml:space="preserve">routinely </w:t>
      </w:r>
      <w:r w:rsidR="00B11B7F">
        <w:rPr>
          <w:rFonts w:eastAsia="Times New Roman" w:cs="Arial"/>
        </w:rPr>
        <w:t xml:space="preserve">exposes them to harmful </w:t>
      </w:r>
      <w:r w:rsidR="00A6324A">
        <w:rPr>
          <w:rFonts w:eastAsia="Times New Roman" w:cs="Arial"/>
        </w:rPr>
        <w:t>materials</w:t>
      </w:r>
      <w:r w:rsidR="00B25FAA">
        <w:rPr>
          <w:rFonts w:eastAsia="Times New Roman" w:cs="Arial"/>
        </w:rPr>
        <w:t xml:space="preserve"> or conditions.</w:t>
      </w:r>
      <w:r w:rsidR="00B25FAA">
        <w:rPr>
          <w:rStyle w:val="FootnoteReference"/>
          <w:rFonts w:eastAsia="Times New Roman" w:cs="Arial"/>
        </w:rPr>
        <w:footnoteReference w:id="3"/>
      </w:r>
      <w:r w:rsidR="000B73D5">
        <w:rPr>
          <w:rFonts w:eastAsia="Times New Roman" w:cs="Arial"/>
        </w:rPr>
        <w:t xml:space="preserve"> Whether or not existing policies</w:t>
      </w:r>
      <w:r w:rsidR="002E3DDD">
        <w:rPr>
          <w:rFonts w:eastAsia="Times New Roman" w:cs="Arial"/>
        </w:rPr>
        <w:t xml:space="preserve"> and exceptions apply t</w:t>
      </w:r>
      <w:r w:rsidR="00234686">
        <w:rPr>
          <w:rFonts w:eastAsia="Times New Roman" w:cs="Arial"/>
        </w:rPr>
        <w:t>o COVID-19</w:t>
      </w:r>
      <w:r w:rsidR="00C8382F">
        <w:rPr>
          <w:rFonts w:eastAsia="Times New Roman" w:cs="Arial"/>
        </w:rPr>
        <w:t xml:space="preserve"> is uncertain.</w:t>
      </w:r>
      <w:r w:rsidR="00C8382F">
        <w:rPr>
          <w:rStyle w:val="FootnoteReference"/>
          <w:rFonts w:eastAsia="Times New Roman" w:cs="Arial"/>
        </w:rPr>
        <w:footnoteReference w:id="4"/>
      </w:r>
      <w:r w:rsidR="00C8382F">
        <w:rPr>
          <w:rFonts w:eastAsia="Times New Roman" w:cs="Arial"/>
        </w:rPr>
        <w:t xml:space="preserve"> </w:t>
      </w:r>
      <w:r w:rsidR="002E3DDD">
        <w:rPr>
          <w:rFonts w:eastAsia="Times New Roman" w:cs="Arial"/>
        </w:rPr>
        <w:t xml:space="preserve"> </w:t>
      </w:r>
      <w:r w:rsidR="00E9473A">
        <w:rPr>
          <w:rFonts w:eastAsia="Times New Roman" w:cs="Arial"/>
        </w:rPr>
        <w:t>Further</w:t>
      </w:r>
      <w:r w:rsidR="005412F5">
        <w:rPr>
          <w:rFonts w:eastAsia="Times New Roman" w:cs="Arial"/>
        </w:rPr>
        <w:t xml:space="preserve"> complicating the analysis is </w:t>
      </w:r>
      <w:r w:rsidR="00F028C8">
        <w:rPr>
          <w:rFonts w:eastAsia="Times New Roman" w:cs="Arial"/>
        </w:rPr>
        <w:t xml:space="preserve">the identification of certain categories of workers as “essential” </w:t>
      </w:r>
      <w:r w:rsidR="008D2780">
        <w:rPr>
          <w:rFonts w:eastAsia="Times New Roman" w:cs="Arial"/>
        </w:rPr>
        <w:t xml:space="preserve">(e.g., </w:t>
      </w:r>
      <w:r w:rsidR="00347618">
        <w:rPr>
          <w:rFonts w:eastAsia="Times New Roman" w:cs="Arial"/>
        </w:rPr>
        <w:t xml:space="preserve">a wide array of </w:t>
      </w:r>
      <w:r w:rsidR="00752E6A">
        <w:rPr>
          <w:rFonts w:eastAsia="Times New Roman" w:cs="Arial"/>
        </w:rPr>
        <w:t>healthcare</w:t>
      </w:r>
      <w:r w:rsidR="00347618">
        <w:rPr>
          <w:rFonts w:eastAsia="Times New Roman" w:cs="Arial"/>
        </w:rPr>
        <w:t xml:space="preserve"> workers</w:t>
      </w:r>
      <w:r w:rsidR="00752E6A">
        <w:rPr>
          <w:rFonts w:eastAsia="Times New Roman" w:cs="Arial"/>
        </w:rPr>
        <w:t xml:space="preserve">, </w:t>
      </w:r>
      <w:r w:rsidR="008D2780">
        <w:rPr>
          <w:rFonts w:eastAsia="Times New Roman" w:cs="Arial"/>
        </w:rPr>
        <w:t>transit</w:t>
      </w:r>
      <w:r w:rsidR="00347618">
        <w:rPr>
          <w:rFonts w:eastAsia="Times New Roman" w:cs="Arial"/>
        </w:rPr>
        <w:t xml:space="preserve"> personnel</w:t>
      </w:r>
      <w:r w:rsidR="008D2780">
        <w:rPr>
          <w:rFonts w:eastAsia="Times New Roman" w:cs="Arial"/>
        </w:rPr>
        <w:t>, grocery store</w:t>
      </w:r>
      <w:r w:rsidR="00347618">
        <w:rPr>
          <w:rFonts w:eastAsia="Times New Roman" w:cs="Arial"/>
        </w:rPr>
        <w:t xml:space="preserve"> staff</w:t>
      </w:r>
      <w:r w:rsidR="008D2780">
        <w:rPr>
          <w:rFonts w:eastAsia="Times New Roman" w:cs="Arial"/>
        </w:rPr>
        <w:t xml:space="preserve">) that </w:t>
      </w:r>
      <w:r w:rsidR="00AB0C32">
        <w:rPr>
          <w:rFonts w:eastAsia="Times New Roman" w:cs="Arial"/>
        </w:rPr>
        <w:t xml:space="preserve">previously have not been </w:t>
      </w:r>
      <w:r w:rsidR="00A90EBA">
        <w:rPr>
          <w:rFonts w:eastAsia="Times New Roman" w:cs="Arial"/>
        </w:rPr>
        <w:lastRenderedPageBreak/>
        <w:t>deemed</w:t>
      </w:r>
      <w:r w:rsidR="00AB0C32">
        <w:rPr>
          <w:rFonts w:eastAsia="Times New Roman" w:cs="Arial"/>
        </w:rPr>
        <w:t xml:space="preserve"> </w:t>
      </w:r>
      <w:r w:rsidR="00233A46">
        <w:rPr>
          <w:rFonts w:eastAsia="Times New Roman" w:cs="Arial"/>
        </w:rPr>
        <w:t>to be</w:t>
      </w:r>
      <w:r w:rsidR="00AB0C32">
        <w:rPr>
          <w:rFonts w:eastAsia="Times New Roman" w:cs="Arial"/>
        </w:rPr>
        <w:t xml:space="preserve"> emergency </w:t>
      </w:r>
      <w:r w:rsidR="006A6B4D">
        <w:rPr>
          <w:rFonts w:eastAsia="Times New Roman" w:cs="Arial"/>
        </w:rPr>
        <w:t xml:space="preserve">workers, yet are still </w:t>
      </w:r>
      <w:r w:rsidR="00850006">
        <w:rPr>
          <w:rFonts w:eastAsia="Times New Roman" w:cs="Arial"/>
        </w:rPr>
        <w:t>regularly exposed to hazardous conditions</w:t>
      </w:r>
      <w:r w:rsidR="004A1706">
        <w:rPr>
          <w:rFonts w:eastAsia="Times New Roman" w:cs="Arial"/>
        </w:rPr>
        <w:t>.</w:t>
      </w:r>
      <w:r w:rsidR="002D5126">
        <w:rPr>
          <w:rStyle w:val="FootnoteReference"/>
          <w:rFonts w:eastAsia="Times New Roman" w:cs="Arial"/>
        </w:rPr>
        <w:footnoteReference w:id="5"/>
      </w:r>
      <w:r w:rsidR="004A1706">
        <w:rPr>
          <w:rFonts w:eastAsia="Times New Roman" w:cs="Arial"/>
        </w:rPr>
        <w:t xml:space="preserve"> Multiple states </w:t>
      </w:r>
      <w:r w:rsidR="007F75F7">
        <w:rPr>
          <w:rFonts w:eastAsia="Times New Roman" w:cs="Arial"/>
        </w:rPr>
        <w:t xml:space="preserve">have </w:t>
      </w:r>
      <w:r w:rsidR="002E4910">
        <w:rPr>
          <w:rFonts w:eastAsia="Times New Roman" w:cs="Arial"/>
        </w:rPr>
        <w:t>considered and/or enacted legislati</w:t>
      </w:r>
      <w:r w:rsidR="00AD1214">
        <w:rPr>
          <w:rFonts w:eastAsia="Times New Roman" w:cs="Arial"/>
        </w:rPr>
        <w:t>on</w:t>
      </w:r>
      <w:r w:rsidR="002E4910">
        <w:rPr>
          <w:rFonts w:eastAsia="Times New Roman" w:cs="Arial"/>
        </w:rPr>
        <w:t xml:space="preserve"> </w:t>
      </w:r>
      <w:r w:rsidR="00CC7DEC">
        <w:rPr>
          <w:rFonts w:eastAsia="Times New Roman" w:cs="Arial"/>
        </w:rPr>
        <w:t>and</w:t>
      </w:r>
      <w:r w:rsidR="002E4910">
        <w:rPr>
          <w:rFonts w:eastAsia="Times New Roman" w:cs="Arial"/>
        </w:rPr>
        <w:t xml:space="preserve"> executive orders to </w:t>
      </w:r>
      <w:r w:rsidR="00AD1214">
        <w:rPr>
          <w:rFonts w:eastAsia="Times New Roman" w:cs="Arial"/>
        </w:rPr>
        <w:t>cover workers like first responders and healthcare workers</w:t>
      </w:r>
      <w:r w:rsidR="00451C48">
        <w:rPr>
          <w:rFonts w:eastAsia="Times New Roman" w:cs="Arial"/>
        </w:rPr>
        <w:t xml:space="preserve"> for COVID-19</w:t>
      </w:r>
      <w:r w:rsidR="00A331D0">
        <w:rPr>
          <w:rFonts w:eastAsia="Times New Roman" w:cs="Arial"/>
        </w:rPr>
        <w:t xml:space="preserve">-related </w:t>
      </w:r>
      <w:r w:rsidR="00451C48">
        <w:rPr>
          <w:rFonts w:eastAsia="Times New Roman" w:cs="Arial"/>
        </w:rPr>
        <w:t>illness</w:t>
      </w:r>
      <w:r w:rsidR="00A331D0">
        <w:rPr>
          <w:rFonts w:eastAsia="Times New Roman" w:cs="Arial"/>
        </w:rPr>
        <w:t>es</w:t>
      </w:r>
      <w:r w:rsidR="00451C48">
        <w:rPr>
          <w:rFonts w:eastAsia="Times New Roman" w:cs="Arial"/>
        </w:rPr>
        <w:t xml:space="preserve"> under</w:t>
      </w:r>
      <w:r w:rsidR="00A331D0">
        <w:rPr>
          <w:rFonts w:eastAsia="Times New Roman" w:cs="Arial"/>
        </w:rPr>
        <w:t xml:space="preserve"> the state’s workers’ compensation </w:t>
      </w:r>
      <w:r w:rsidR="00B46AA2">
        <w:rPr>
          <w:rFonts w:eastAsia="Times New Roman" w:cs="Arial"/>
        </w:rPr>
        <w:t>policies; other states are expanding coverage to include essential workers.</w:t>
      </w:r>
      <w:r w:rsidR="00B46AA2">
        <w:rPr>
          <w:rStyle w:val="FootnoteReference"/>
          <w:rFonts w:eastAsia="Times New Roman" w:cs="Arial"/>
        </w:rPr>
        <w:footnoteReference w:id="6"/>
      </w:r>
      <w:r w:rsidR="007E1086">
        <w:rPr>
          <w:rFonts w:eastAsia="Times New Roman" w:cs="Arial"/>
        </w:rPr>
        <w:t xml:space="preserve"> Because of the rapidly evolving </w:t>
      </w:r>
      <w:r w:rsidR="000B21E4">
        <w:rPr>
          <w:rFonts w:eastAsia="Times New Roman" w:cs="Arial"/>
        </w:rPr>
        <w:t>policy response to COVID-19</w:t>
      </w:r>
      <w:r w:rsidR="00C9173B">
        <w:rPr>
          <w:rFonts w:eastAsia="Times New Roman" w:cs="Arial"/>
        </w:rPr>
        <w:t xml:space="preserve"> and the unprecedented </w:t>
      </w:r>
      <w:r w:rsidR="00553E5D">
        <w:rPr>
          <w:rFonts w:eastAsia="Times New Roman" w:cs="Arial"/>
        </w:rPr>
        <w:t>scope of</w:t>
      </w:r>
      <w:r w:rsidR="00153850">
        <w:rPr>
          <w:rFonts w:eastAsia="Times New Roman" w:cs="Arial"/>
        </w:rPr>
        <w:t xml:space="preserve"> the pandemic, the </w:t>
      </w:r>
      <w:r w:rsidR="002E36A2">
        <w:rPr>
          <w:rFonts w:eastAsia="Times New Roman" w:cs="Arial"/>
        </w:rPr>
        <w:t xml:space="preserve">types of compensation and benefits available to persons involved </w:t>
      </w:r>
      <w:r w:rsidR="002A5F03">
        <w:rPr>
          <w:rFonts w:eastAsia="Times New Roman" w:cs="Arial"/>
        </w:rPr>
        <w:t>as emergency responders</w:t>
      </w:r>
      <w:r w:rsidR="000752B7">
        <w:rPr>
          <w:rFonts w:eastAsia="Times New Roman" w:cs="Arial"/>
        </w:rPr>
        <w:t xml:space="preserve">, </w:t>
      </w:r>
      <w:r w:rsidR="002A5F03">
        <w:rPr>
          <w:rFonts w:eastAsia="Times New Roman" w:cs="Arial"/>
        </w:rPr>
        <w:t>essential workers</w:t>
      </w:r>
      <w:r w:rsidR="000752B7">
        <w:rPr>
          <w:rFonts w:eastAsia="Times New Roman" w:cs="Arial"/>
        </w:rPr>
        <w:t>, and non-essential workers</w:t>
      </w:r>
      <w:r w:rsidR="00D00BB2">
        <w:rPr>
          <w:rFonts w:eastAsia="Times New Roman" w:cs="Arial"/>
        </w:rPr>
        <w:t xml:space="preserve"> may or may not </w:t>
      </w:r>
      <w:r w:rsidR="005B076E">
        <w:rPr>
          <w:rFonts w:eastAsia="Times New Roman" w:cs="Arial"/>
        </w:rPr>
        <w:t>correspond</w:t>
      </w:r>
      <w:r w:rsidR="00F30B0F">
        <w:rPr>
          <w:rFonts w:eastAsia="Times New Roman" w:cs="Arial"/>
        </w:rPr>
        <w:t xml:space="preserve"> with the</w:t>
      </w:r>
      <w:r w:rsidR="005218FB">
        <w:rPr>
          <w:rFonts w:eastAsia="Times New Roman" w:cs="Arial"/>
        </w:rPr>
        <w:t xml:space="preserve"> mechanisms described below.</w:t>
      </w:r>
      <w:r w:rsidR="002A5F03">
        <w:rPr>
          <w:rFonts w:eastAsia="Times New Roman" w:cs="Arial"/>
        </w:rPr>
        <w:t xml:space="preserve"> </w:t>
      </w:r>
    </w:p>
    <w:p w14:paraId="7FA92EEF" w14:textId="77777777" w:rsidR="00BA631C" w:rsidRPr="00FD502D" w:rsidRDefault="00BA631C" w:rsidP="00B80809">
      <w:pPr>
        <w:spacing w:line="360" w:lineRule="auto"/>
        <w:rPr>
          <w:rFonts w:eastAsia="Times New Roman" w:cs="Arial"/>
          <w:color w:val="3C3030"/>
        </w:rPr>
      </w:pPr>
    </w:p>
    <w:p w14:paraId="12A960D5" w14:textId="2B0A5E6A" w:rsidR="00B80809" w:rsidRPr="00EC5630" w:rsidRDefault="0099702B" w:rsidP="00B80809">
      <w:pPr>
        <w:spacing w:line="360" w:lineRule="auto"/>
        <w:rPr>
          <w:rFonts w:eastAsia="Times New Roman" w:cs="Arial"/>
          <w:b/>
          <w:bCs/>
          <w:color w:val="3C3030"/>
        </w:rPr>
      </w:pPr>
      <w:r w:rsidRPr="00EC5630">
        <w:rPr>
          <w:rFonts w:eastAsia="Times New Roman" w:cs="Arial"/>
          <w:b/>
          <w:bCs/>
          <w:color w:val="3C3030"/>
        </w:rPr>
        <w:t>Workers’ Compensation</w:t>
      </w:r>
    </w:p>
    <w:p w14:paraId="5BE3D20C" w14:textId="2633D4D5" w:rsidR="00DC33D6" w:rsidRDefault="0099702B" w:rsidP="00B80809">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Workers’ compensation programs provide benefits to </w:t>
      </w:r>
      <w:r w:rsidR="00381B3C">
        <w:rPr>
          <w:rFonts w:eastAsia="Times New Roman" w:cs="Arial"/>
          <w:color w:val="000000" w:themeColor="text1"/>
          <w:szCs w:val="20"/>
        </w:rPr>
        <w:t>persons</w:t>
      </w:r>
      <w:r w:rsidRPr="0099702B">
        <w:rPr>
          <w:rFonts w:eastAsia="Times New Roman" w:cs="Arial"/>
          <w:color w:val="000000" w:themeColor="text1"/>
          <w:szCs w:val="20"/>
        </w:rPr>
        <w:t xml:space="preserve"> who are injured </w:t>
      </w:r>
      <w:r w:rsidR="009870DC">
        <w:rPr>
          <w:rFonts w:eastAsia="Times New Roman" w:cs="Arial"/>
          <w:color w:val="000000" w:themeColor="text1"/>
          <w:szCs w:val="20"/>
        </w:rPr>
        <w:t>in the</w:t>
      </w:r>
      <w:r w:rsidRPr="0099702B">
        <w:rPr>
          <w:rFonts w:eastAsia="Times New Roman" w:cs="Arial"/>
          <w:color w:val="000000" w:themeColor="text1"/>
          <w:szCs w:val="20"/>
        </w:rPr>
        <w:t xml:space="preserve"> course of their employment. Workers’ compensation laws are enacted and administered by states. Every state, the District of Columbia, and the territories have workers’ compensation </w:t>
      </w:r>
      <w:r w:rsidR="00230013">
        <w:rPr>
          <w:rFonts w:eastAsia="Times New Roman" w:cs="Arial"/>
          <w:color w:val="000000" w:themeColor="text1"/>
          <w:szCs w:val="20"/>
        </w:rPr>
        <w:t>requirements</w:t>
      </w:r>
      <w:r w:rsidRPr="0099702B">
        <w:rPr>
          <w:rFonts w:eastAsia="Times New Roman" w:cs="Arial"/>
          <w:color w:val="000000" w:themeColor="text1"/>
          <w:szCs w:val="20"/>
        </w:rPr>
        <w:t>.</w:t>
      </w:r>
      <w:r w:rsidR="007D3F25">
        <w:rPr>
          <w:rStyle w:val="FootnoteReference"/>
          <w:rFonts w:eastAsia="Times New Roman" w:cs="Arial"/>
          <w:color w:val="000000" w:themeColor="text1"/>
          <w:szCs w:val="20"/>
        </w:rPr>
        <w:footnoteReference w:id="7"/>
      </w:r>
      <w:r w:rsidRPr="0099702B">
        <w:rPr>
          <w:rFonts w:eastAsia="Times New Roman" w:cs="Arial"/>
          <w:color w:val="000000" w:themeColor="text1"/>
          <w:szCs w:val="20"/>
        </w:rPr>
        <w:t xml:space="preserve"> Each </w:t>
      </w:r>
      <w:r w:rsidR="00230013">
        <w:rPr>
          <w:rFonts w:eastAsia="Times New Roman" w:cs="Arial"/>
          <w:color w:val="000000" w:themeColor="text1"/>
          <w:szCs w:val="20"/>
        </w:rPr>
        <w:t>jurisdiction</w:t>
      </w:r>
      <w:r w:rsidR="00734736">
        <w:rPr>
          <w:rFonts w:eastAsia="Times New Roman" w:cs="Arial"/>
          <w:color w:val="000000" w:themeColor="text1"/>
          <w:szCs w:val="20"/>
        </w:rPr>
        <w:t xml:space="preserve">’s </w:t>
      </w:r>
      <w:r w:rsidRPr="0099702B">
        <w:rPr>
          <w:rFonts w:eastAsia="Times New Roman" w:cs="Arial"/>
          <w:color w:val="000000" w:themeColor="text1"/>
          <w:szCs w:val="20"/>
        </w:rPr>
        <w:t xml:space="preserve">program is unique and the requirements for coverage and the types and amounts of benefits vary from state to state. </w:t>
      </w:r>
      <w:r w:rsidR="00E35ED7">
        <w:rPr>
          <w:rFonts w:eastAsia="Times New Roman" w:cs="Arial"/>
          <w:color w:val="000000" w:themeColor="text1"/>
          <w:szCs w:val="20"/>
        </w:rPr>
        <w:t>When a person responds to an emergency on tribal land, state workers’ compensation law</w:t>
      </w:r>
      <w:r w:rsidR="002A58EC">
        <w:rPr>
          <w:rFonts w:eastAsia="Times New Roman" w:cs="Arial"/>
          <w:color w:val="000000" w:themeColor="text1"/>
          <w:szCs w:val="20"/>
        </w:rPr>
        <w:t>s</w:t>
      </w:r>
      <w:r w:rsidR="00E35ED7">
        <w:rPr>
          <w:rFonts w:eastAsia="Times New Roman" w:cs="Arial"/>
          <w:color w:val="000000" w:themeColor="text1"/>
          <w:szCs w:val="20"/>
        </w:rPr>
        <w:t xml:space="preserve"> generally will not apply if the responder is injured unless the tribal nation has elected to follow state workers</w:t>
      </w:r>
      <w:r w:rsidR="005461E2">
        <w:rPr>
          <w:rFonts w:eastAsia="Times New Roman" w:cs="Arial"/>
          <w:color w:val="000000" w:themeColor="text1"/>
          <w:szCs w:val="20"/>
        </w:rPr>
        <w:t>’</w:t>
      </w:r>
      <w:r w:rsidR="00E35ED7">
        <w:rPr>
          <w:rFonts w:eastAsia="Times New Roman" w:cs="Arial"/>
          <w:color w:val="000000" w:themeColor="text1"/>
          <w:szCs w:val="20"/>
        </w:rPr>
        <w:t xml:space="preserve"> compensation statutes. With few exceptions, tribes are exempt from providing workers’ compensation; however, some tribes do have workers’ compensation laws that may or may not provide protection for volunteers.</w:t>
      </w:r>
    </w:p>
    <w:p w14:paraId="2375D4DF" w14:textId="0E48F3CC" w:rsidR="00DC33D6" w:rsidRDefault="00DC33D6" w:rsidP="00B80809">
      <w:pPr>
        <w:spacing w:line="360" w:lineRule="auto"/>
        <w:rPr>
          <w:rFonts w:eastAsia="Times New Roman" w:cs="Arial"/>
          <w:color w:val="000000" w:themeColor="text1"/>
          <w:szCs w:val="20"/>
        </w:rPr>
      </w:pPr>
    </w:p>
    <w:p w14:paraId="03A12F3D" w14:textId="7AF44B94"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Although state workers’ compensation programs cover </w:t>
      </w:r>
      <w:r w:rsidR="006852E9" w:rsidRPr="0099702B">
        <w:rPr>
          <w:rFonts w:eastAsia="Times New Roman" w:cs="Arial"/>
          <w:color w:val="000000" w:themeColor="text1"/>
          <w:szCs w:val="20"/>
        </w:rPr>
        <w:t>many</w:t>
      </w:r>
      <w:r w:rsidRPr="0099702B">
        <w:rPr>
          <w:rFonts w:eastAsia="Times New Roman" w:cs="Arial"/>
          <w:color w:val="000000" w:themeColor="text1"/>
          <w:szCs w:val="20"/>
        </w:rPr>
        <w:t xml:space="preserve"> workers, certain types of organizations or activities are exempted from coverage under workers’ 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government employees. Some of these groups are </w:t>
      </w:r>
      <w:r w:rsidRPr="0099702B">
        <w:rPr>
          <w:rFonts w:eastAsia="Times New Roman" w:cs="Arial"/>
          <w:color w:val="000000" w:themeColor="text1"/>
          <w:szCs w:val="20"/>
        </w:rPr>
        <w:lastRenderedPageBreak/>
        <w:t>provided coverage though other mechanisms such disability insurance that is provided by an employer as a full or partial benefit or negotiated through union agreements.</w:t>
      </w:r>
    </w:p>
    <w:p w14:paraId="185C569E" w14:textId="77777777" w:rsidR="00B80809" w:rsidRDefault="00B80809" w:rsidP="00B80809">
      <w:pPr>
        <w:spacing w:line="360" w:lineRule="auto"/>
        <w:rPr>
          <w:rFonts w:eastAsia="Times New Roman" w:cs="Arial"/>
          <w:b/>
          <w:bCs/>
          <w:color w:val="3C3030"/>
          <w:sz w:val="24"/>
          <w:szCs w:val="24"/>
        </w:rPr>
      </w:pPr>
    </w:p>
    <w:p w14:paraId="5B090EE6" w14:textId="29B4BAB4"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Workers’ compensation is primarily an employer-funded system. Workers’ compensation laws require employers to purchase workers’ compensation insurance policies through state-sponsored or commercial insurance providers or provide coverage through self-insurance in which the employer demonstrates to the state its financial ability to cover potential liabilities. Before the advent of workers’ compensation laws, workers had to file tort claims against their employers in court to recover for injuries received on the job.</w:t>
      </w:r>
      <w:r w:rsidR="00FB549F">
        <w:rPr>
          <w:rStyle w:val="FootnoteReference"/>
          <w:rFonts w:eastAsia="Times New Roman" w:cs="Arial"/>
          <w:color w:val="000000" w:themeColor="text1"/>
          <w:szCs w:val="20"/>
        </w:rPr>
        <w:footnoteReference w:id="8"/>
      </w:r>
      <w:r w:rsidRPr="0099702B">
        <w:rPr>
          <w:rFonts w:eastAsia="Times New Roman" w:cs="Arial"/>
          <w:color w:val="000000" w:themeColor="text1"/>
          <w:szCs w:val="20"/>
        </w:rPr>
        <w:t xml:space="preserve"> The outcome of litigation was uncertain for workers, who could lose, and for employers, who could be subject to large judgments. Workers’ compensation laws </w:t>
      </w:r>
      <w:r w:rsidR="00663F6E" w:rsidRPr="0099702B">
        <w:rPr>
          <w:rFonts w:eastAsia="Times New Roman" w:cs="Arial"/>
          <w:color w:val="000000" w:themeColor="text1"/>
          <w:szCs w:val="20"/>
        </w:rPr>
        <w:t>were</w:t>
      </w:r>
      <w:r w:rsidRPr="0099702B">
        <w:rPr>
          <w:rFonts w:eastAsia="Times New Roman" w:cs="Arial"/>
          <w:color w:val="000000" w:themeColor="text1"/>
          <w:szCs w:val="20"/>
        </w:rPr>
        <w:t xml:space="preserve"> </w:t>
      </w:r>
      <w:r w:rsidR="00663F6E">
        <w:rPr>
          <w:rFonts w:eastAsia="Times New Roman" w:cs="Arial"/>
          <w:color w:val="000000" w:themeColor="text1"/>
          <w:szCs w:val="20"/>
        </w:rPr>
        <w:t xml:space="preserve">viewed as </w:t>
      </w:r>
      <w:r w:rsidRPr="0099702B">
        <w:rPr>
          <w:rFonts w:eastAsia="Times New Roman" w:cs="Arial"/>
          <w:color w:val="000000" w:themeColor="text1"/>
          <w:szCs w:val="20"/>
        </w:rPr>
        <w:t>a way to make the outcome of incidents more predictable for all parties: workers’ benefits would be paid without having to prove fault by the employer and the scope of potential liability for employers would be more clearly defined. State workers’ compensation systems became the exclusive remedy for injured workers. State programs are administered by various regulatory bodies in different ways, including departments or divisions of labor, insurance departments or commissions, or free-standing commissions or special boards. Workers’ compensation is an important and significant source of insurance in the United States; only Social Security Disability Insurance and Medicare surpass state workers’ compensation programs as a source of support for disabled workers.</w:t>
      </w:r>
      <w:r w:rsidR="00272593">
        <w:rPr>
          <w:rStyle w:val="FootnoteReference"/>
          <w:rFonts w:eastAsia="Times New Roman" w:cs="Arial"/>
          <w:color w:val="000000" w:themeColor="text1"/>
          <w:szCs w:val="20"/>
        </w:rPr>
        <w:footnoteReference w:id="9"/>
      </w:r>
    </w:p>
    <w:p w14:paraId="474A88E3" w14:textId="49066BF0" w:rsidR="00C91B48" w:rsidRDefault="00C91B48" w:rsidP="00EB12E6">
      <w:pPr>
        <w:spacing w:line="360" w:lineRule="auto"/>
        <w:rPr>
          <w:rFonts w:eastAsia="Times New Roman" w:cs="Arial"/>
          <w:b/>
          <w:bCs/>
          <w:color w:val="3C3030"/>
          <w:sz w:val="24"/>
          <w:szCs w:val="24"/>
        </w:rPr>
      </w:pPr>
    </w:p>
    <w:p w14:paraId="225D33C7" w14:textId="77777777" w:rsidR="002605BF" w:rsidRPr="00954ECC" w:rsidRDefault="002605BF" w:rsidP="002605BF">
      <w:pPr>
        <w:spacing w:line="360" w:lineRule="auto"/>
        <w:rPr>
          <w:rFonts w:eastAsia="Times New Roman" w:cs="Arial"/>
          <w:b/>
          <w:color w:val="3C3030"/>
          <w:szCs w:val="24"/>
        </w:rPr>
      </w:pPr>
      <w:r w:rsidRPr="00954ECC">
        <w:rPr>
          <w:rFonts w:eastAsia="Times New Roman" w:cs="Arial"/>
          <w:b/>
          <w:color w:val="3C3030"/>
          <w:szCs w:val="24"/>
        </w:rPr>
        <w:t>Mutual Aid Agreements</w:t>
      </w:r>
    </w:p>
    <w:p w14:paraId="6C982412" w14:textId="2FA4EE2F" w:rsidR="002605BF" w:rsidRDefault="002605BF" w:rsidP="002605BF">
      <w:pPr>
        <w:pStyle w:val="para15"/>
        <w:rPr>
          <w:rFonts w:eastAsia="Times New Roman" w:cstheme="minorHAnsi"/>
        </w:rPr>
      </w:pPr>
      <w:r>
        <w:rPr>
          <w:rFonts w:eastAsia="Times New Roman" w:cs="Arial"/>
          <w:bCs/>
          <w:color w:val="3C3030"/>
          <w:szCs w:val="24"/>
        </w:rPr>
        <w:t xml:space="preserve">Mutual aid agreements can also address the terms of workers’ compensation and benefits for employees and volunteers during emergency preparedness and response activities. For example, the Emergency Management Assistance Compact (EMAC) </w:t>
      </w:r>
      <w:r>
        <w:t>defines what costs a jurisdiction that provides assistance may seek reimbursement from the jurisdiction that requested the aid. Generally, any expense—except workers</w:t>
      </w:r>
      <w:r w:rsidR="00174A0C">
        <w:t>’</w:t>
      </w:r>
      <w:r>
        <w:t xml:space="preserve"> compensation costs and death benefits—incurred while performing an EMAC mission is reimbursable if the expenditure is reasonable and documented, related to the EMAC mission, </w:t>
      </w:r>
      <w:r>
        <w:lastRenderedPageBreak/>
        <w:t>and was incurred during the conduct of that mission.</w:t>
      </w:r>
      <w:r>
        <w:rPr>
          <w:rStyle w:val="FootnoteReference"/>
        </w:rPr>
        <w:footnoteReference w:id="10"/>
      </w:r>
      <w:r>
        <w:t xml:space="preserve"> </w:t>
      </w:r>
      <w:r>
        <w:rPr>
          <w:rFonts w:eastAsia="Times New Roman" w:cstheme="minorHAnsi"/>
        </w:rPr>
        <w:t>EMAC stipulates that each jurisdiction is responsible for the payment of compensation and death benefits for members of their own emergency forces in the same manner and terms as if the injury or death were sustained in the providing/home jurisdiction.</w:t>
      </w:r>
      <w:r>
        <w:rPr>
          <w:rStyle w:val="FootnoteReference"/>
          <w:rFonts w:eastAsia="Times New Roman" w:cstheme="minorHAnsi"/>
        </w:rPr>
        <w:footnoteReference w:id="11"/>
      </w:r>
      <w:r>
        <w:rPr>
          <w:rFonts w:eastAsia="Times New Roman" w:cstheme="minorHAnsi"/>
        </w:rPr>
        <w:t xml:space="preserve"> Thus, if an emergency responder sent from a providing jurisdiction is injured or killed while in the requesting jurisdiction, the emergency responder/estate must seek compensation from the jurisdiction that provided the assistance. </w:t>
      </w:r>
    </w:p>
    <w:p w14:paraId="1667ACCF" w14:textId="77777777" w:rsidR="002605BF" w:rsidRDefault="002605BF" w:rsidP="00EB12E6">
      <w:pPr>
        <w:spacing w:line="360" w:lineRule="auto"/>
        <w:rPr>
          <w:rFonts w:eastAsia="Times New Roman" w:cs="Arial"/>
          <w:b/>
          <w:bCs/>
          <w:color w:val="3C3030"/>
          <w:sz w:val="24"/>
          <w:szCs w:val="24"/>
        </w:rPr>
      </w:pPr>
    </w:p>
    <w:p w14:paraId="4DD63A2A"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Sick Leave and Disability Insurance</w:t>
      </w:r>
    </w:p>
    <w:p w14:paraId="6B463FCD" w14:textId="23D19D3B" w:rsidR="0099702B" w:rsidRDefault="0099702B" w:rsidP="00986AE7">
      <w:pPr>
        <w:spacing w:line="360" w:lineRule="auto"/>
        <w:contextualSpacing/>
        <w:rPr>
          <w:rFonts w:eastAsia="Times New Roman" w:cs="Arial"/>
          <w:color w:val="000000" w:themeColor="text1"/>
          <w:szCs w:val="20"/>
        </w:rPr>
      </w:pPr>
      <w:r w:rsidRPr="0099702B">
        <w:rPr>
          <w:rFonts w:eastAsia="Times New Roman" w:cs="Arial"/>
          <w:color w:val="000000" w:themeColor="text1"/>
          <w:szCs w:val="20"/>
        </w:rPr>
        <w:t xml:space="preserve">Some workers may have coverage for work-related or non-work-related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persons involved in emergency response activities whose status or activities during a response may not qualify them or fully qualify them for a state’s workers’ compensation program. The outcome </w:t>
      </w:r>
      <w:r w:rsidR="00AF38E4" w:rsidRPr="0099702B">
        <w:rPr>
          <w:rFonts w:eastAsia="Times New Roman" w:cs="Arial"/>
          <w:color w:val="000000" w:themeColor="text1"/>
          <w:szCs w:val="20"/>
        </w:rPr>
        <w:t>in each</w:t>
      </w:r>
      <w:r w:rsidRPr="0099702B">
        <w:rPr>
          <w:rFonts w:eastAsia="Times New Roman" w:cs="Arial"/>
          <w:color w:val="000000" w:themeColor="text1"/>
          <w:szCs w:val="20"/>
        </w:rPr>
        <w:t xml:space="preserve"> situation depends on the particulars of a state’s laws, the parameters of a disability policy, and the activities and role of the person while participating in the emergency response.</w:t>
      </w:r>
    </w:p>
    <w:p w14:paraId="3B899E53" w14:textId="77777777" w:rsidR="00986AE7" w:rsidRDefault="00986AE7" w:rsidP="00986AE7">
      <w:pPr>
        <w:spacing w:line="360" w:lineRule="auto"/>
        <w:contextualSpacing/>
        <w:rPr>
          <w:rFonts w:eastAsia="Times New Roman" w:cs="Arial"/>
          <w:color w:val="000000" w:themeColor="text1"/>
          <w:szCs w:val="20"/>
        </w:rPr>
      </w:pPr>
    </w:p>
    <w:p w14:paraId="010A84FA" w14:textId="11972DCE"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Sick Leave—</w:t>
      </w:r>
      <w:r w:rsidRPr="00F557C7">
        <w:rPr>
          <w:rFonts w:eastAsia="Times New Roman" w:cs="Arial"/>
          <w:color w:val="000000" w:themeColor="text1"/>
          <w:szCs w:val="20"/>
        </w:rPr>
        <w:t>If a person has employer-provided sick leave, it typically covers the total amount of their wages for a few weeks. About a third of private sector employees are not provided paid sick leave.</w:t>
      </w:r>
    </w:p>
    <w:p w14:paraId="6FC504C9" w14:textId="77777777" w:rsidR="00F557C7" w:rsidRPr="00F557C7" w:rsidRDefault="00F557C7" w:rsidP="00EB12E6">
      <w:pPr>
        <w:pStyle w:val="ListParagraph"/>
        <w:spacing w:line="360" w:lineRule="auto"/>
        <w:ind w:left="360"/>
        <w:textAlignment w:val="baseline"/>
        <w:rPr>
          <w:rFonts w:eastAsia="Times New Roman" w:cs="Arial"/>
          <w:color w:val="000000" w:themeColor="text1"/>
          <w:szCs w:val="20"/>
        </w:rPr>
      </w:pPr>
    </w:p>
    <w:p w14:paraId="0B9C14B5" w14:textId="745581C3" w:rsidR="0099702B" w:rsidRDefault="0099702B" w:rsidP="00EB12E6">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Short-Term Disability—</w:t>
      </w:r>
      <w:r w:rsidRPr="00F557C7">
        <w:rPr>
          <w:rFonts w:eastAsia="Times New Roman" w:cs="Arial"/>
          <w:color w:val="000000" w:themeColor="text1"/>
          <w:szCs w:val="20"/>
        </w:rPr>
        <w:t>Short-term disability benefits or disability insurance provides coverage for the period after sick leave benefits are exhausted and until long-term disability becomes available, if needed. Short-term disability benefits/insurance generally covers up to at least half of a worker’s wages for up to six months. Private short-term disability insurance covers more than a third of private sector employees.</w:t>
      </w:r>
    </w:p>
    <w:p w14:paraId="0F6001AA" w14:textId="77777777" w:rsidR="00F557C7" w:rsidRPr="00F557C7" w:rsidRDefault="00F557C7" w:rsidP="00EB12E6">
      <w:pPr>
        <w:spacing w:line="360" w:lineRule="auto"/>
        <w:textAlignment w:val="baseline"/>
        <w:rPr>
          <w:rFonts w:eastAsia="Times New Roman" w:cs="Arial"/>
          <w:color w:val="000000" w:themeColor="text1"/>
          <w:szCs w:val="20"/>
        </w:rPr>
      </w:pPr>
    </w:p>
    <w:p w14:paraId="31EC2A1E" w14:textId="409CA6B7" w:rsidR="00B80809" w:rsidRDefault="0099702B" w:rsidP="00B80809">
      <w:pPr>
        <w:pStyle w:val="ListParagraph"/>
        <w:numPr>
          <w:ilvl w:val="0"/>
          <w:numId w:val="24"/>
        </w:numPr>
        <w:spacing w:line="360" w:lineRule="auto"/>
        <w:textAlignment w:val="baseline"/>
        <w:rPr>
          <w:rFonts w:eastAsia="Times New Roman" w:cs="Arial"/>
          <w:color w:val="000000" w:themeColor="text1"/>
          <w:szCs w:val="20"/>
        </w:rPr>
      </w:pPr>
      <w:r w:rsidRPr="00F557C7">
        <w:rPr>
          <w:rFonts w:eastAsia="Times New Roman" w:cs="Arial"/>
          <w:b/>
          <w:bCs/>
          <w:color w:val="000000" w:themeColor="text1"/>
          <w:szCs w:val="20"/>
          <w:bdr w:val="none" w:sz="0" w:space="0" w:color="auto" w:frame="1"/>
        </w:rPr>
        <w:t>Long-Term Disability—</w:t>
      </w:r>
      <w:r w:rsidRPr="00F557C7">
        <w:rPr>
          <w:rFonts w:eastAsia="Times New Roman" w:cs="Arial"/>
          <w:color w:val="000000" w:themeColor="text1"/>
          <w:szCs w:val="20"/>
        </w:rPr>
        <w:t xml:space="preserve">Long-term disability for persons deemed permanently unable to work usually begins after a waiting period of up to six months or short-term disability benefits end. Long-term </w:t>
      </w:r>
      <w:r w:rsidRPr="00F557C7">
        <w:rPr>
          <w:rFonts w:eastAsia="Times New Roman" w:cs="Arial"/>
          <w:color w:val="000000" w:themeColor="text1"/>
          <w:szCs w:val="20"/>
        </w:rPr>
        <w:lastRenderedPageBreak/>
        <w:t xml:space="preserve">disability insurance generally replaces at least half or more of a disabled worker’s wages until the person reaches retirement age. Private long-term disability insurance covers about a third of private sector employees; it is </w:t>
      </w:r>
      <w:r w:rsidR="00502CB1" w:rsidRPr="00F557C7">
        <w:rPr>
          <w:rFonts w:eastAsia="Times New Roman" w:cs="Arial"/>
          <w:color w:val="000000" w:themeColor="text1"/>
          <w:szCs w:val="20"/>
        </w:rPr>
        <w:t>most</w:t>
      </w:r>
      <w:r w:rsidR="00502CB1">
        <w:rPr>
          <w:rFonts w:eastAsia="Times New Roman" w:cs="Arial"/>
          <w:color w:val="000000" w:themeColor="text1"/>
          <w:szCs w:val="20"/>
        </w:rPr>
        <w:t>ly</w:t>
      </w:r>
      <w:r w:rsidR="00502CB1" w:rsidRPr="00F557C7">
        <w:rPr>
          <w:rFonts w:eastAsia="Times New Roman" w:cs="Arial"/>
          <w:color w:val="000000" w:themeColor="text1"/>
          <w:szCs w:val="20"/>
        </w:rPr>
        <w:t xml:space="preserve"> held</w:t>
      </w:r>
      <w:r w:rsidRPr="00F557C7">
        <w:rPr>
          <w:rFonts w:eastAsia="Times New Roman" w:cs="Arial"/>
          <w:color w:val="000000" w:themeColor="text1"/>
          <w:szCs w:val="20"/>
        </w:rPr>
        <w:t xml:space="preserve"> by professional and management-level workers. The benefit an injured worker receives is generally reduced if the person receives workers’ compensation or Social Security disability benefits.</w:t>
      </w:r>
    </w:p>
    <w:p w14:paraId="4C189BC9" w14:textId="77777777" w:rsidR="00B80809" w:rsidRPr="00B80809" w:rsidRDefault="00B80809" w:rsidP="00B80809">
      <w:pPr>
        <w:pStyle w:val="ListParagraph"/>
        <w:rPr>
          <w:rFonts w:eastAsia="Times New Roman" w:cs="Arial"/>
          <w:color w:val="000000" w:themeColor="text1"/>
          <w:szCs w:val="20"/>
        </w:rPr>
      </w:pPr>
    </w:p>
    <w:p w14:paraId="29458C0B" w14:textId="6BB1FA56" w:rsidR="0099702B" w:rsidRPr="0009694C" w:rsidRDefault="0099702B" w:rsidP="0009694C">
      <w:pPr>
        <w:spacing w:line="360" w:lineRule="auto"/>
        <w:textAlignment w:val="baseline"/>
        <w:rPr>
          <w:rFonts w:eastAsia="Times New Roman" w:cs="Arial"/>
          <w:color w:val="000000" w:themeColor="text1"/>
          <w:szCs w:val="20"/>
        </w:rPr>
      </w:pPr>
      <w:r w:rsidRPr="0009694C">
        <w:rPr>
          <w:rFonts w:eastAsia="Times New Roman" w:cs="Arial"/>
          <w:color w:val="000000" w:themeColor="text1"/>
          <w:szCs w:val="20"/>
        </w:rPr>
        <w:t>While sick leave and disability insurance provide another avenue for benefits if a volunteer or responder is unable to qualify for coverage under a state’s workers’ compensation program, not all persons have access to these additional resources unless an employer offers them or a person obtains an individual disability policy. The specifics of a disability policy dictate whether coverage is available for only work-related injuries or will also cover non-work-related injuries (e.g., while volunteering during an emergency event).</w:t>
      </w:r>
    </w:p>
    <w:p w14:paraId="3051A239" w14:textId="64D65A91" w:rsidR="00F557C7" w:rsidRDefault="00F557C7" w:rsidP="00EB12E6">
      <w:pPr>
        <w:spacing w:line="360" w:lineRule="auto"/>
        <w:rPr>
          <w:rFonts w:eastAsia="Times New Roman" w:cs="Arial"/>
          <w:b/>
          <w:bCs/>
          <w:color w:val="3C3030"/>
          <w:sz w:val="24"/>
          <w:szCs w:val="24"/>
        </w:rPr>
      </w:pPr>
    </w:p>
    <w:p w14:paraId="144667FB" w14:textId="77777777" w:rsidR="002605BF" w:rsidRDefault="002605BF" w:rsidP="002605BF">
      <w:pPr>
        <w:spacing w:line="360" w:lineRule="auto"/>
        <w:rPr>
          <w:rFonts w:eastAsia="Times New Roman" w:cs="Arial"/>
          <w:b/>
          <w:bCs/>
          <w:color w:val="3C3030"/>
          <w:sz w:val="24"/>
          <w:szCs w:val="24"/>
        </w:rPr>
      </w:pPr>
      <w:r w:rsidRPr="0099702B">
        <w:rPr>
          <w:rFonts w:eastAsia="Times New Roman" w:cs="Arial"/>
          <w:b/>
          <w:bCs/>
          <w:color w:val="3C3030"/>
          <w:sz w:val="24"/>
          <w:szCs w:val="24"/>
        </w:rPr>
        <w:t>Compensation Acts and Funds</w:t>
      </w:r>
    </w:p>
    <w:p w14:paraId="6C0FB42A" w14:textId="77777777" w:rsidR="002605BF" w:rsidRPr="00B80809" w:rsidRDefault="002605BF" w:rsidP="00D13E46">
      <w:pPr>
        <w:spacing w:after="120" w:line="360" w:lineRule="auto"/>
        <w:rPr>
          <w:rFonts w:eastAsia="Times New Roman" w:cs="Arial"/>
          <w:b/>
          <w:bCs/>
          <w:color w:val="3C3030"/>
          <w:sz w:val="24"/>
          <w:szCs w:val="24"/>
        </w:rPr>
      </w:pPr>
      <w:r w:rsidRPr="0099702B">
        <w:rPr>
          <w:rFonts w:eastAsia="Times New Roman" w:cs="Arial"/>
          <w:color w:val="000000" w:themeColor="text1"/>
          <w:szCs w:val="20"/>
        </w:rPr>
        <w:t xml:space="preserve">There are federal and state laws that </w:t>
      </w:r>
      <w:r>
        <w:rPr>
          <w:rFonts w:eastAsia="Times New Roman" w:cs="Arial"/>
          <w:color w:val="000000" w:themeColor="text1"/>
          <w:szCs w:val="20"/>
        </w:rPr>
        <w:t>create</w:t>
      </w:r>
      <w:r w:rsidRPr="0099702B">
        <w:rPr>
          <w:rFonts w:eastAsia="Times New Roman" w:cs="Arial"/>
          <w:color w:val="000000" w:themeColor="text1"/>
          <w:szCs w:val="20"/>
        </w:rPr>
        <w:t xml:space="preserve"> funds </w:t>
      </w:r>
      <w:r>
        <w:rPr>
          <w:rFonts w:eastAsia="Times New Roman" w:cs="Arial"/>
          <w:color w:val="000000" w:themeColor="text1"/>
          <w:szCs w:val="20"/>
        </w:rPr>
        <w:t xml:space="preserve">or other mechanisms </w:t>
      </w:r>
      <w:r w:rsidRPr="0099702B">
        <w:rPr>
          <w:rFonts w:eastAsia="Times New Roman" w:cs="Arial"/>
          <w:color w:val="000000" w:themeColor="text1"/>
          <w:szCs w:val="20"/>
        </w:rPr>
        <w:t>to compensate a specific group of persons based on occupation or involvement in a specific injurious event. Examples of such programs include:</w:t>
      </w:r>
    </w:p>
    <w:p w14:paraId="317FA100" w14:textId="77777777" w:rsidR="002605BF" w:rsidRPr="003422D5" w:rsidRDefault="002605BF" w:rsidP="002605BF">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Employees’ Compensation Act (FECA)—</w:t>
      </w:r>
      <w:r w:rsidRPr="003422D5">
        <w:rPr>
          <w:rFonts w:eastAsia="Times New Roman" w:cs="Arial"/>
          <w:color w:val="000000" w:themeColor="text1"/>
          <w:szCs w:val="20"/>
        </w:rPr>
        <w:t>FECA provides workers’ compensation to civilian federal employees who are injured or killed during their duties.</w:t>
      </w:r>
      <w:r>
        <w:rPr>
          <w:rStyle w:val="FootnoteReference"/>
          <w:rFonts w:eastAsia="Times New Roman" w:cs="Arial"/>
          <w:color w:val="000000" w:themeColor="text1"/>
          <w:szCs w:val="20"/>
        </w:rPr>
        <w:footnoteReference w:id="12"/>
      </w:r>
      <w:r w:rsidRPr="003422D5">
        <w:rPr>
          <w:rFonts w:eastAsia="Times New Roman" w:cs="Arial"/>
          <w:color w:val="000000" w:themeColor="text1"/>
          <w:szCs w:val="20"/>
        </w:rPr>
        <w:t xml:space="preserve"> An injured employee, or the family of an injured employee, is entitled to coverage for medical services unless the injury was self-inflicted or occurred as a result of the employee’s own willful misconduct, including the employee’s intoxication. Volunteers who deploy under federal programs like the National Disaster Medical System are covered under FECA.</w:t>
      </w:r>
    </w:p>
    <w:p w14:paraId="08504CA7" w14:textId="77777777" w:rsidR="002605BF" w:rsidRPr="0099702B" w:rsidRDefault="002605BF" w:rsidP="002605BF">
      <w:pPr>
        <w:spacing w:line="360" w:lineRule="auto"/>
        <w:textAlignment w:val="baseline"/>
        <w:rPr>
          <w:rFonts w:eastAsia="Times New Roman" w:cs="Arial"/>
          <w:color w:val="000000" w:themeColor="text1"/>
          <w:szCs w:val="20"/>
        </w:rPr>
      </w:pPr>
    </w:p>
    <w:p w14:paraId="228A0440" w14:textId="77777777" w:rsidR="000D5A39" w:rsidRPr="000D5A39" w:rsidRDefault="002605BF" w:rsidP="000D5A39">
      <w:pPr>
        <w:pStyle w:val="ListParagraph"/>
        <w:numPr>
          <w:ilvl w:val="0"/>
          <w:numId w:val="23"/>
        </w:numPr>
        <w:spacing w:line="360" w:lineRule="auto"/>
        <w:ind w:left="360"/>
        <w:textAlignment w:val="baseline"/>
        <w:rPr>
          <w:rFonts w:eastAsia="Times New Roman" w:cs="Arial"/>
          <w:color w:val="000000" w:themeColor="text1"/>
          <w:szCs w:val="20"/>
        </w:rPr>
      </w:pPr>
      <w:r w:rsidRPr="003422D5">
        <w:rPr>
          <w:rFonts w:eastAsia="Times New Roman" w:cs="Arial"/>
          <w:b/>
          <w:bCs/>
          <w:color w:val="000000" w:themeColor="text1"/>
          <w:szCs w:val="20"/>
          <w:bdr w:val="none" w:sz="0" w:space="0" w:color="auto" w:frame="1"/>
        </w:rPr>
        <w:t>The Federal September 11th Victim Compensation Fund</w:t>
      </w:r>
      <w:r>
        <w:rPr>
          <w:rFonts w:eastAsia="Times New Roman" w:cs="Arial"/>
          <w:b/>
          <w:bCs/>
          <w:color w:val="000000" w:themeColor="text1"/>
          <w:szCs w:val="20"/>
          <w:bdr w:val="none" w:sz="0" w:space="0" w:color="auto" w:frame="1"/>
        </w:rPr>
        <w:t xml:space="preserve"> </w:t>
      </w:r>
      <w:r w:rsidRPr="003422D5">
        <w:rPr>
          <w:rFonts w:eastAsia="Times New Roman" w:cs="Arial"/>
          <w:b/>
          <w:bCs/>
          <w:color w:val="000000" w:themeColor="text1"/>
          <w:szCs w:val="20"/>
          <w:bdr w:val="none" w:sz="0" w:space="0" w:color="auto" w:frame="1"/>
        </w:rPr>
        <w:t>—</w:t>
      </w:r>
      <w:r w:rsidRPr="00AD5117">
        <w:rPr>
          <w:rFonts w:eastAsia="Times New Roman" w:cs="Arial"/>
          <w:color w:val="000000" w:themeColor="text1"/>
          <w:szCs w:val="20"/>
          <w:bdr w:val="none" w:sz="0" w:space="0" w:color="auto" w:frame="1"/>
        </w:rPr>
        <w:t xml:space="preserve"> </w:t>
      </w:r>
      <w:r w:rsidRPr="00B7230F">
        <w:rPr>
          <w:rFonts w:eastAsia="Times New Roman" w:cs="Arial"/>
          <w:color w:val="000000" w:themeColor="text1"/>
          <w:szCs w:val="20"/>
          <w:bdr w:val="none" w:sz="0" w:space="0" w:color="auto" w:frame="1"/>
        </w:rPr>
        <w:t>The fund provid</w:t>
      </w:r>
      <w:r>
        <w:rPr>
          <w:rFonts w:eastAsia="Times New Roman" w:cs="Arial"/>
          <w:color w:val="000000" w:themeColor="text1"/>
          <w:szCs w:val="20"/>
          <w:bdr w:val="none" w:sz="0" w:space="0" w:color="auto" w:frame="1"/>
        </w:rPr>
        <w:t>es</w:t>
      </w:r>
      <w:r w:rsidRPr="00B7230F">
        <w:rPr>
          <w:rFonts w:eastAsia="Times New Roman" w:cs="Arial"/>
          <w:color w:val="000000" w:themeColor="text1"/>
          <w:szCs w:val="20"/>
          <w:bdr w:val="none" w:sz="0" w:space="0" w:color="auto" w:frame="1"/>
        </w:rPr>
        <w:t xml:space="preserve"> a no-fault alternative to tort litigation for individuals who were physically injured or killed as a result of the aircraft hijackings and crashes on September 11, 2001. The fund was designed to provide compensation for economic and noneconomic losses to individuals or relatives of deceased individuals arising from only physical injury or death; it did not cover other losses such as property loss.</w:t>
      </w:r>
      <w:r>
        <w:rPr>
          <w:rFonts w:eastAsia="Times New Roman" w:cs="Arial"/>
          <w:color w:val="000000" w:themeColor="text1"/>
          <w:szCs w:val="20"/>
          <w:bdr w:val="none" w:sz="0" w:space="0" w:color="auto" w:frame="1"/>
        </w:rPr>
        <w:t xml:space="preserve"> This fund, which was </w:t>
      </w:r>
      <w:r>
        <w:rPr>
          <w:rFonts w:eastAsia="Times New Roman" w:cs="Arial"/>
          <w:color w:val="000000" w:themeColor="text1"/>
          <w:szCs w:val="20"/>
          <w:bdr w:val="none" w:sz="0" w:space="0" w:color="auto" w:frame="1"/>
        </w:rPr>
        <w:lastRenderedPageBreak/>
        <w:t>initially created in 2001, has been reauthorized several times.</w:t>
      </w:r>
      <w:r>
        <w:rPr>
          <w:rStyle w:val="FootnoteReference"/>
          <w:rFonts w:eastAsia="Times New Roman" w:cs="Arial"/>
          <w:color w:val="000000" w:themeColor="text1"/>
          <w:szCs w:val="20"/>
          <w:bdr w:val="none" w:sz="0" w:space="0" w:color="auto" w:frame="1"/>
        </w:rPr>
        <w:footnoteReference w:id="13"/>
      </w:r>
      <w:r>
        <w:rPr>
          <w:rFonts w:eastAsia="Times New Roman" w:cs="Arial"/>
          <w:color w:val="000000" w:themeColor="text1"/>
          <w:szCs w:val="20"/>
          <w:bdr w:val="none" w:sz="0" w:space="0" w:color="auto" w:frame="1"/>
        </w:rPr>
        <w:t xml:space="preserve"> In July 2019, the president permanently authorized the VCF, extended the claim filing deadline </w:t>
      </w:r>
      <w:r w:rsidRPr="00556EEF">
        <w:rPr>
          <w:rFonts w:eastAsia="Times New Roman" w:cs="Arial"/>
          <w:color w:val="000000" w:themeColor="text1"/>
          <w:szCs w:val="20"/>
          <w:bdr w:val="none" w:sz="0" w:space="0" w:color="auto" w:frame="1"/>
        </w:rPr>
        <w:t>to October 1, 2090</w:t>
      </w:r>
      <w:r>
        <w:rPr>
          <w:rFonts w:eastAsia="Times New Roman" w:cs="Arial"/>
          <w:color w:val="000000" w:themeColor="text1"/>
          <w:szCs w:val="20"/>
          <w:bdr w:val="none" w:sz="0" w:space="0" w:color="auto" w:frame="1"/>
        </w:rPr>
        <w:t>, and appropriated such funds necessary to pay all approved claims.</w:t>
      </w:r>
      <w:r>
        <w:rPr>
          <w:rStyle w:val="FootnoteReference"/>
          <w:rFonts w:eastAsia="Times New Roman" w:cs="Arial"/>
          <w:color w:val="000000" w:themeColor="text1"/>
          <w:szCs w:val="20"/>
          <w:bdr w:val="none" w:sz="0" w:space="0" w:color="auto" w:frame="1"/>
        </w:rPr>
        <w:footnoteReference w:id="14"/>
      </w:r>
      <w:r>
        <w:rPr>
          <w:rFonts w:eastAsia="Times New Roman" w:cs="Arial"/>
          <w:color w:val="000000" w:themeColor="text1"/>
          <w:szCs w:val="20"/>
          <w:bdr w:val="none" w:sz="0" w:space="0" w:color="auto" w:frame="1"/>
        </w:rPr>
        <w:t xml:space="preserve"> </w:t>
      </w:r>
      <w:r w:rsidRPr="00556EEF">
        <w:rPr>
          <w:rFonts w:eastAsia="Times New Roman" w:cs="Arial"/>
          <w:color w:val="000000" w:themeColor="text1"/>
          <w:szCs w:val="20"/>
          <w:bdr w:val="none" w:sz="0" w:space="0" w:color="auto" w:frame="1"/>
        </w:rPr>
        <w:t xml:space="preserve"> </w:t>
      </w:r>
    </w:p>
    <w:p w14:paraId="23D1D91A" w14:textId="77777777" w:rsidR="000D5A39" w:rsidRPr="000D5A39" w:rsidRDefault="000D5A39" w:rsidP="000D5A39">
      <w:pPr>
        <w:pStyle w:val="ListParagraph"/>
        <w:rPr>
          <w:rFonts w:eastAsia="Times New Roman" w:cs="Arial"/>
          <w:b/>
          <w:bCs/>
          <w:color w:val="000000" w:themeColor="text1"/>
          <w:szCs w:val="20"/>
          <w:bdr w:val="none" w:sz="0" w:space="0" w:color="auto" w:frame="1"/>
        </w:rPr>
      </w:pPr>
    </w:p>
    <w:p w14:paraId="2A414A3A" w14:textId="08543BE2" w:rsidR="002605BF" w:rsidRPr="000D5A39" w:rsidRDefault="002605BF" w:rsidP="000D5A39">
      <w:pPr>
        <w:pStyle w:val="ListParagraph"/>
        <w:numPr>
          <w:ilvl w:val="0"/>
          <w:numId w:val="23"/>
        </w:numPr>
        <w:spacing w:line="360" w:lineRule="auto"/>
        <w:ind w:left="360"/>
        <w:textAlignment w:val="baseline"/>
        <w:rPr>
          <w:rFonts w:eastAsia="Times New Roman" w:cs="Arial"/>
          <w:color w:val="000000" w:themeColor="text1"/>
          <w:szCs w:val="20"/>
        </w:rPr>
      </w:pPr>
      <w:r w:rsidRPr="000D5A39">
        <w:rPr>
          <w:rFonts w:eastAsia="Times New Roman" w:cs="Arial"/>
          <w:b/>
          <w:bCs/>
          <w:color w:val="000000" w:themeColor="text1"/>
          <w:szCs w:val="20"/>
          <w:bdr w:val="none" w:sz="0" w:space="0" w:color="auto" w:frame="1"/>
        </w:rPr>
        <w:t>New York State Workers’ Compensation Board Claims for Participation in World Trade Center Rescue, Recovery, or Clean-Up Operations—</w:t>
      </w:r>
      <w:r w:rsidRPr="000D5A39">
        <w:rPr>
          <w:rFonts w:eastAsia="Times New Roman" w:cs="Arial"/>
          <w:color w:val="000000" w:themeColor="text1"/>
          <w:szCs w:val="20"/>
        </w:rPr>
        <w:t>The New York state legislature enacted modifications to its workers’ compensation laws to expand the time for a participant (worker or volunteer) in World Trade Center (or other impacted sites) rescue, recovery, or clean-up operations who suffered, or may suffer in the future, from a qualifying condition to file a claim for workers' compensation for lost wages and medical benefits.</w:t>
      </w:r>
      <w:r>
        <w:rPr>
          <w:rStyle w:val="FootnoteReference"/>
          <w:rFonts w:eastAsia="Times New Roman" w:cs="Arial"/>
          <w:color w:val="000000" w:themeColor="text1"/>
          <w:szCs w:val="20"/>
        </w:rPr>
        <w:footnoteReference w:id="15"/>
      </w:r>
      <w:r w:rsidRPr="007859A1">
        <w:t xml:space="preserve"> </w:t>
      </w:r>
      <w:r>
        <w:t xml:space="preserve">The filing deadline is now September 11, 2022. </w:t>
      </w:r>
      <w:r w:rsidRPr="000D5A39">
        <w:rPr>
          <w:rFonts w:eastAsia="Times New Roman" w:cs="Arial"/>
          <w:color w:val="000000" w:themeColor="text1"/>
          <w:szCs w:val="20"/>
        </w:rPr>
        <w:t>This registration preserves the right to file for future workers' compensation benefits through the State of New York.</w:t>
      </w:r>
    </w:p>
    <w:p w14:paraId="25C94B0B" w14:textId="77777777" w:rsidR="002605BF" w:rsidRPr="003422D5" w:rsidRDefault="002605BF" w:rsidP="002605BF">
      <w:pPr>
        <w:pStyle w:val="ListParagraph"/>
        <w:spacing w:line="360" w:lineRule="auto"/>
        <w:rPr>
          <w:rFonts w:eastAsia="Times New Roman" w:cs="Arial"/>
          <w:color w:val="000000" w:themeColor="text1"/>
          <w:szCs w:val="20"/>
        </w:rPr>
      </w:pPr>
    </w:p>
    <w:p w14:paraId="3650B2C6" w14:textId="77777777" w:rsidR="002605BF" w:rsidRPr="0099702B" w:rsidRDefault="002605BF" w:rsidP="002605BF">
      <w:pPr>
        <w:spacing w:line="360" w:lineRule="auto"/>
        <w:textAlignment w:val="baseline"/>
        <w:rPr>
          <w:rFonts w:eastAsia="Times New Roman" w:cs="Arial"/>
          <w:color w:val="000000" w:themeColor="text1"/>
          <w:szCs w:val="20"/>
        </w:rPr>
      </w:pPr>
      <w:r w:rsidRPr="0099702B">
        <w:rPr>
          <w:rFonts w:eastAsia="Times New Roman" w:cs="Arial"/>
          <w:color w:val="000000" w:themeColor="text1"/>
          <w:szCs w:val="20"/>
        </w:rPr>
        <w:t>There are other federal workers’ compensation programs, including U.S. Department of Veterans Affairs’ programs for military veterans; the Longshore and Harbor Workers' Compensation Act; Energy Employees Occupational Illness Compensation Program Act; and the Black Lung Benefits Act for coal miners suffering from black lung disease.</w:t>
      </w:r>
    </w:p>
    <w:p w14:paraId="0E5D56B4" w14:textId="2DD3EBB1" w:rsidR="002605BF" w:rsidRDefault="002605BF" w:rsidP="00EB12E6">
      <w:pPr>
        <w:spacing w:line="360" w:lineRule="auto"/>
        <w:rPr>
          <w:rFonts w:eastAsia="Times New Roman" w:cs="Arial"/>
          <w:b/>
          <w:bCs/>
          <w:color w:val="3C3030"/>
          <w:sz w:val="24"/>
          <w:szCs w:val="24"/>
        </w:rPr>
      </w:pPr>
    </w:p>
    <w:p w14:paraId="3BEF0F10" w14:textId="77777777" w:rsidR="00B80809" w:rsidRDefault="0099702B" w:rsidP="00B80809">
      <w:pPr>
        <w:spacing w:line="360" w:lineRule="auto"/>
        <w:rPr>
          <w:rFonts w:eastAsia="Times New Roman" w:cs="Arial"/>
          <w:b/>
          <w:bCs/>
          <w:color w:val="3C3030"/>
          <w:sz w:val="24"/>
          <w:szCs w:val="24"/>
        </w:rPr>
      </w:pPr>
      <w:r w:rsidRPr="0099702B">
        <w:rPr>
          <w:rFonts w:eastAsia="Times New Roman" w:cs="Arial"/>
          <w:b/>
          <w:bCs/>
          <w:color w:val="3C3030"/>
          <w:sz w:val="24"/>
          <w:szCs w:val="24"/>
        </w:rPr>
        <w:t>Key Issues Regarding Workers’ Compensation in Emergency Response</w:t>
      </w:r>
    </w:p>
    <w:p w14:paraId="5FDEB61C" w14:textId="35AB5014" w:rsidR="00B80809" w:rsidRDefault="0099702B" w:rsidP="00B80809">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Because of the variability in state laws and other factors related to the activities and status of an individual participating in an emergency response, a single determination of eligibility for compensation is not possible. Instead, such an analysis must consider </w:t>
      </w:r>
      <w:r w:rsidR="00EC07CD" w:rsidRPr="0099702B">
        <w:rPr>
          <w:rFonts w:eastAsia="Times New Roman" w:cs="Arial"/>
          <w:color w:val="000000" w:themeColor="text1"/>
          <w:szCs w:val="20"/>
        </w:rPr>
        <w:t>several</w:t>
      </w:r>
      <w:r w:rsidRPr="0099702B">
        <w:rPr>
          <w:rFonts w:eastAsia="Times New Roman" w:cs="Arial"/>
          <w:color w:val="000000" w:themeColor="text1"/>
          <w:szCs w:val="20"/>
        </w:rPr>
        <w:t xml:space="preserve"> factors when addressing workers’ compensation issues within the context of an emergency response scenario.</w:t>
      </w:r>
    </w:p>
    <w:p w14:paraId="767D8D06" w14:textId="77777777" w:rsidR="00B80809" w:rsidRDefault="00B80809" w:rsidP="00B80809">
      <w:pPr>
        <w:spacing w:line="360" w:lineRule="auto"/>
        <w:rPr>
          <w:rFonts w:eastAsia="Times New Roman" w:cs="Arial"/>
          <w:b/>
          <w:bCs/>
          <w:color w:val="3C3030"/>
          <w:sz w:val="24"/>
          <w:szCs w:val="24"/>
        </w:rPr>
      </w:pPr>
    </w:p>
    <w:p w14:paraId="556C0952" w14:textId="39CED21E" w:rsidR="00B80809" w:rsidRPr="00EC5630" w:rsidRDefault="0099702B" w:rsidP="00EC5630">
      <w:pPr>
        <w:pStyle w:val="ListParagraph"/>
        <w:numPr>
          <w:ilvl w:val="0"/>
          <w:numId w:val="25"/>
        </w:numPr>
        <w:spacing w:line="360" w:lineRule="auto"/>
        <w:rPr>
          <w:rFonts w:eastAsia="Times New Roman" w:cs="Arial"/>
          <w:b/>
          <w:bCs/>
          <w:color w:val="3C3030"/>
          <w:sz w:val="24"/>
          <w:szCs w:val="24"/>
        </w:rPr>
      </w:pPr>
      <w:r w:rsidRPr="00EC5630">
        <w:rPr>
          <w:rFonts w:eastAsia="Times New Roman" w:cs="Arial"/>
          <w:b/>
          <w:bCs/>
          <w:color w:val="000000" w:themeColor="text1"/>
          <w:szCs w:val="20"/>
          <w:bdr w:val="none" w:sz="0" w:space="0" w:color="auto" w:frame="1"/>
        </w:rPr>
        <w:lastRenderedPageBreak/>
        <w:t>Which state’s law applies?</w:t>
      </w:r>
      <w:r w:rsidR="0076653C" w:rsidRPr="00EC5630">
        <w:rPr>
          <w:rFonts w:eastAsia="Times New Roman" w:cs="Arial"/>
          <w:b/>
          <w:bCs/>
          <w:color w:val="000000" w:themeColor="text1"/>
          <w:szCs w:val="20"/>
          <w:bdr w:val="none" w:sz="0" w:space="0" w:color="auto" w:frame="1"/>
        </w:rPr>
        <w:t xml:space="preserve"> </w:t>
      </w:r>
      <w:r w:rsidRPr="00EC5630">
        <w:rPr>
          <w:rFonts w:eastAsia="Times New Roman" w:cs="Arial"/>
          <w:color w:val="000000" w:themeColor="text1"/>
          <w:szCs w:val="20"/>
        </w:rPr>
        <w:t>When a person responds to an emergency in another state, an issue can arise as to which state’s workers’ compensation law should apply if the responder is injured—the state receiving the aid (</w:t>
      </w:r>
      <w:r w:rsidR="00961B88" w:rsidRPr="00EC5630">
        <w:rPr>
          <w:rFonts w:eastAsia="Times New Roman" w:cs="Arial"/>
          <w:color w:val="000000" w:themeColor="text1"/>
          <w:szCs w:val="20"/>
        </w:rPr>
        <w:t>requesting</w:t>
      </w:r>
      <w:r w:rsidRPr="00EC5630">
        <w:rPr>
          <w:rFonts w:eastAsia="Times New Roman" w:cs="Arial"/>
          <w:color w:val="000000" w:themeColor="text1"/>
          <w:szCs w:val="20"/>
        </w:rPr>
        <w:t xml:space="preserve"> state) or the injured responder’s home state</w:t>
      </w:r>
      <w:r w:rsidR="00961B88" w:rsidRPr="00EC5630">
        <w:rPr>
          <w:rFonts w:eastAsia="Times New Roman" w:cs="Arial"/>
          <w:color w:val="000000" w:themeColor="text1"/>
          <w:szCs w:val="20"/>
        </w:rPr>
        <w:t xml:space="preserve"> (providing state)</w:t>
      </w:r>
      <w:r w:rsidRPr="00EC5630">
        <w:rPr>
          <w:rFonts w:eastAsia="Times New Roman" w:cs="Arial"/>
          <w:color w:val="000000" w:themeColor="text1"/>
          <w:szCs w:val="20"/>
        </w:rPr>
        <w:t xml:space="preserve">. </w:t>
      </w:r>
      <w:r w:rsidR="00961B88" w:rsidRPr="00EC5630">
        <w:rPr>
          <w:rFonts w:eastAsia="Times New Roman" w:cs="Arial"/>
          <w:color w:val="000000" w:themeColor="text1"/>
          <w:szCs w:val="20"/>
        </w:rPr>
        <w:t>As noted above, s</w:t>
      </w:r>
      <w:r w:rsidRPr="00EC5630">
        <w:rPr>
          <w:rFonts w:eastAsia="Times New Roman" w:cs="Arial"/>
          <w:color w:val="000000" w:themeColor="text1"/>
          <w:szCs w:val="20"/>
        </w:rPr>
        <w:t xml:space="preserve">ome deployment mechanisms and mutual aid agreements determine this issue in advance. EMAC stipulates that the state providing assistance is responsible for paying compensation and death benefits in the same manner and terms as if the injury or death were sustained in </w:t>
      </w:r>
      <w:r w:rsidR="0075431D" w:rsidRPr="00EC5630">
        <w:rPr>
          <w:rFonts w:eastAsia="Times New Roman" w:cs="Arial"/>
          <w:color w:val="000000" w:themeColor="text1"/>
          <w:szCs w:val="20"/>
        </w:rPr>
        <w:t>the providing</w:t>
      </w:r>
      <w:r w:rsidRPr="00EC5630">
        <w:rPr>
          <w:rFonts w:eastAsia="Times New Roman" w:cs="Arial"/>
          <w:color w:val="000000" w:themeColor="text1"/>
          <w:szCs w:val="20"/>
        </w:rPr>
        <w:t xml:space="preserve"> state. </w:t>
      </w:r>
      <w:r w:rsidR="0075431D" w:rsidRPr="00EC5630">
        <w:rPr>
          <w:rFonts w:eastAsia="Times New Roman" w:cs="Arial"/>
          <w:color w:val="000000" w:themeColor="text1"/>
          <w:szCs w:val="20"/>
        </w:rPr>
        <w:t xml:space="preserve">The Uniform </w:t>
      </w:r>
      <w:r w:rsidR="00727213" w:rsidRPr="00EC5630">
        <w:rPr>
          <w:rFonts w:eastAsia="Times New Roman" w:cs="Arial"/>
          <w:color w:val="000000" w:themeColor="text1"/>
          <w:szCs w:val="20"/>
        </w:rPr>
        <w:t>Emergency Volunteer Health Professionals Act (</w:t>
      </w:r>
      <w:r w:rsidRPr="00EC5630">
        <w:rPr>
          <w:rFonts w:eastAsia="Times New Roman" w:cs="Arial"/>
          <w:color w:val="000000" w:themeColor="text1"/>
          <w:szCs w:val="20"/>
        </w:rPr>
        <w:t>UEVHPA</w:t>
      </w:r>
      <w:r w:rsidR="00727213" w:rsidRPr="00EC5630">
        <w:rPr>
          <w:rFonts w:eastAsia="Times New Roman" w:cs="Arial"/>
          <w:color w:val="000000" w:themeColor="text1"/>
          <w:szCs w:val="20"/>
        </w:rPr>
        <w:t>)</w:t>
      </w:r>
      <w:r w:rsidR="004A6679">
        <w:rPr>
          <w:rFonts w:eastAsia="Times New Roman" w:cs="Arial"/>
          <w:color w:val="000000" w:themeColor="text1"/>
          <w:szCs w:val="20"/>
        </w:rPr>
        <w:t xml:space="preserve"> also </w:t>
      </w:r>
      <w:r w:rsidRPr="00EC5630">
        <w:rPr>
          <w:rFonts w:eastAsia="Times New Roman" w:cs="Arial"/>
          <w:color w:val="000000" w:themeColor="text1"/>
          <w:szCs w:val="20"/>
        </w:rPr>
        <w:t>addresses workers’ compensation issues.</w:t>
      </w:r>
      <w:r w:rsidR="00D06A16">
        <w:rPr>
          <w:rStyle w:val="FootnoteReference"/>
          <w:rFonts w:eastAsia="Times New Roman" w:cs="Arial"/>
          <w:color w:val="000000" w:themeColor="text1"/>
          <w:szCs w:val="20"/>
        </w:rPr>
        <w:footnoteReference w:id="16"/>
      </w:r>
      <w:r w:rsidRPr="00EC5630">
        <w:rPr>
          <w:rFonts w:eastAsia="Times New Roman" w:cs="Arial"/>
          <w:color w:val="000000" w:themeColor="text1"/>
          <w:szCs w:val="20"/>
        </w:rPr>
        <w:t xml:space="preserve"> It provides that any volunteer health professional harmed or killed during an emergency may elect workers’ compensation protections of the host state as a payer of last resort. State emergency response and other volunteer protection statutes may require the issuance of a state or federally declared emergency before compensation coverage is available.</w:t>
      </w:r>
    </w:p>
    <w:p w14:paraId="3E3AC8C2" w14:textId="77777777" w:rsidR="00B80809" w:rsidRDefault="00B80809" w:rsidP="00B80809">
      <w:pPr>
        <w:spacing w:line="360" w:lineRule="auto"/>
        <w:rPr>
          <w:rFonts w:eastAsia="Times New Roman" w:cs="Arial"/>
          <w:b/>
          <w:bCs/>
          <w:color w:val="3C3030"/>
          <w:sz w:val="24"/>
          <w:szCs w:val="24"/>
        </w:rPr>
      </w:pPr>
    </w:p>
    <w:p w14:paraId="76DBFF2F" w14:textId="7C7A3C78" w:rsidR="00B80809" w:rsidRDefault="008A103E" w:rsidP="00EC5630">
      <w:pPr>
        <w:spacing w:line="360" w:lineRule="auto"/>
        <w:ind w:left="288"/>
        <w:rPr>
          <w:rFonts w:eastAsia="Times New Roman" w:cs="Arial"/>
          <w:b/>
          <w:bCs/>
          <w:color w:val="3C3030"/>
          <w:sz w:val="24"/>
          <w:szCs w:val="24"/>
        </w:rPr>
      </w:pPr>
      <w:r>
        <w:rPr>
          <w:rFonts w:eastAsia="Times New Roman" w:cs="Arial"/>
          <w:color w:val="000000" w:themeColor="text1"/>
          <w:szCs w:val="20"/>
        </w:rPr>
        <w:t xml:space="preserve">When a person responds to an emergency on tribal land, state workers’ compensation law generally will not apply if the responder is injured unless the tribal nation has elected to follow state worker’s compensation statutes. With few exceptions, tribes are exempt from providing workers’ compensation. However, some tribes do have workers’ compensation laws that may or may not provide protection for volunteers. </w:t>
      </w:r>
    </w:p>
    <w:p w14:paraId="68E03878" w14:textId="77777777" w:rsidR="00B80809" w:rsidRDefault="00B80809" w:rsidP="00B80809">
      <w:pPr>
        <w:spacing w:line="360" w:lineRule="auto"/>
        <w:rPr>
          <w:rFonts w:eastAsia="Times New Roman" w:cs="Arial"/>
          <w:b/>
          <w:bCs/>
          <w:color w:val="3C3030"/>
          <w:sz w:val="24"/>
          <w:szCs w:val="24"/>
        </w:rPr>
      </w:pPr>
    </w:p>
    <w:p w14:paraId="10CB7EFC" w14:textId="566AC329" w:rsidR="00B80809" w:rsidRPr="00EC5630" w:rsidRDefault="0099702B" w:rsidP="00EC5630">
      <w:pPr>
        <w:pStyle w:val="ListParagraph"/>
        <w:numPr>
          <w:ilvl w:val="0"/>
          <w:numId w:val="25"/>
        </w:numPr>
        <w:spacing w:line="360" w:lineRule="auto"/>
        <w:rPr>
          <w:rFonts w:eastAsia="Times New Roman" w:cs="Arial"/>
          <w:b/>
          <w:bCs/>
          <w:color w:val="3C3030"/>
          <w:sz w:val="24"/>
          <w:szCs w:val="24"/>
        </w:rPr>
      </w:pPr>
      <w:r w:rsidRPr="00EC5630">
        <w:rPr>
          <w:rFonts w:eastAsia="Times New Roman" w:cs="Arial"/>
          <w:b/>
          <w:bCs/>
          <w:color w:val="000000" w:themeColor="text1"/>
          <w:szCs w:val="20"/>
          <w:bdr w:val="none" w:sz="0" w:space="0" w:color="auto" w:frame="1"/>
        </w:rPr>
        <w:t>Who is covered under a state’s workers’ compensation law?</w:t>
      </w:r>
      <w:r w:rsidR="005E67DF" w:rsidRPr="00EC5630">
        <w:rPr>
          <w:rFonts w:eastAsia="Times New Roman" w:cs="Arial"/>
          <w:color w:val="000000" w:themeColor="text1"/>
          <w:szCs w:val="20"/>
        </w:rPr>
        <w:t xml:space="preserve"> </w:t>
      </w:r>
      <w:r w:rsidRPr="00EC5630">
        <w:rPr>
          <w:rFonts w:eastAsia="Times New Roman" w:cs="Arial"/>
          <w:color w:val="000000" w:themeColor="text1"/>
          <w:szCs w:val="20"/>
        </w:rPr>
        <w:t>State workers’ compensation laws can expressly exclude coverage for volunteers. In the absence of a state law extending workers’ compensation to volunteers, unpaid persons involved in an emergency response are not covered because they are not “employees.” Some state laws that address volunteer health professionals in emergencies may include compensation, but this benefit may be mitigated if coverage is optional and an employer exercises a right to opt out or if the VHP in not appropriately registered with a volunteer registration system recognized by the state.</w:t>
      </w:r>
    </w:p>
    <w:p w14:paraId="6720E920" w14:textId="77777777" w:rsidR="00B80809" w:rsidRDefault="00B80809" w:rsidP="00B80809">
      <w:pPr>
        <w:spacing w:line="360" w:lineRule="auto"/>
        <w:rPr>
          <w:rFonts w:eastAsia="Times New Roman" w:cs="Arial"/>
          <w:b/>
          <w:bCs/>
          <w:color w:val="3C3030"/>
          <w:sz w:val="24"/>
          <w:szCs w:val="24"/>
        </w:rPr>
      </w:pPr>
    </w:p>
    <w:p w14:paraId="113DC224" w14:textId="56B1AC3B" w:rsidR="00B80809" w:rsidRPr="00EC5630" w:rsidRDefault="0099702B" w:rsidP="00EC5630">
      <w:pPr>
        <w:pStyle w:val="ListParagraph"/>
        <w:numPr>
          <w:ilvl w:val="0"/>
          <w:numId w:val="25"/>
        </w:numPr>
        <w:spacing w:line="360" w:lineRule="auto"/>
        <w:rPr>
          <w:rFonts w:eastAsia="Times New Roman" w:cs="Arial"/>
          <w:b/>
          <w:bCs/>
          <w:color w:val="3C3030"/>
          <w:sz w:val="24"/>
          <w:szCs w:val="24"/>
        </w:rPr>
      </w:pPr>
      <w:r w:rsidRPr="00EC5630">
        <w:rPr>
          <w:rFonts w:eastAsia="Times New Roman" w:cs="Arial"/>
          <w:b/>
          <w:bCs/>
          <w:color w:val="000000" w:themeColor="text1"/>
          <w:szCs w:val="20"/>
          <w:bdr w:val="none" w:sz="0" w:space="0" w:color="auto" w:frame="1"/>
        </w:rPr>
        <w:t>Who is the employer?</w:t>
      </w:r>
      <w:r w:rsidR="00E27B50" w:rsidRPr="00EC5630">
        <w:rPr>
          <w:rFonts w:eastAsia="Times New Roman" w:cs="Arial"/>
          <w:b/>
          <w:bCs/>
          <w:color w:val="000000" w:themeColor="text1"/>
          <w:szCs w:val="20"/>
          <w:bdr w:val="none" w:sz="0" w:space="0" w:color="auto" w:frame="1"/>
        </w:rPr>
        <w:t xml:space="preserve"> </w:t>
      </w:r>
      <w:r w:rsidRPr="00EC5630">
        <w:rPr>
          <w:rFonts w:eastAsia="Times New Roman" w:cs="Arial"/>
          <w:color w:val="000000" w:themeColor="text1"/>
          <w:szCs w:val="20"/>
        </w:rPr>
        <w:t xml:space="preserve">Determining who </w:t>
      </w:r>
      <w:r w:rsidR="009B5A43" w:rsidRPr="00EC5630">
        <w:rPr>
          <w:rFonts w:eastAsia="Times New Roman" w:cs="Arial"/>
          <w:color w:val="000000" w:themeColor="text1"/>
          <w:szCs w:val="20"/>
        </w:rPr>
        <w:t xml:space="preserve">is </w:t>
      </w:r>
      <w:r w:rsidRPr="00EC5630">
        <w:rPr>
          <w:rFonts w:eastAsia="Times New Roman" w:cs="Arial"/>
          <w:color w:val="000000" w:themeColor="text1"/>
          <w:szCs w:val="20"/>
        </w:rPr>
        <w:t xml:space="preserve">the “employer” of a volunteer or other person deployed in an emergency response situation can dictate both which state law applies (if it is an interstate </w:t>
      </w:r>
      <w:r w:rsidRPr="00EC5630">
        <w:rPr>
          <w:rFonts w:eastAsia="Times New Roman" w:cs="Arial"/>
          <w:color w:val="000000" w:themeColor="text1"/>
          <w:szCs w:val="20"/>
        </w:rPr>
        <w:lastRenderedPageBreak/>
        <w:t>deployment) and what entity, if any, is responsible for paying compensation to an injured responder. A volunteer’s regular employer is not likely to be responsible for injuries to the volunteer because the volunteer is acting outside the course of his or her employment unless the employer offers to provide coverage. The hosting employer (which may be the state or municipal government where the volunteer is deployed) or the host institution (e.g., hospital) may be responsible for paying workers’ compensation.</w:t>
      </w:r>
    </w:p>
    <w:p w14:paraId="7FF0A3C6" w14:textId="77777777" w:rsidR="00B80809" w:rsidRDefault="00B80809" w:rsidP="00B80809">
      <w:pPr>
        <w:spacing w:line="360" w:lineRule="auto"/>
        <w:rPr>
          <w:rFonts w:eastAsia="Times New Roman" w:cs="Arial"/>
          <w:b/>
          <w:bCs/>
          <w:color w:val="3C3030"/>
          <w:sz w:val="24"/>
          <w:szCs w:val="24"/>
        </w:rPr>
      </w:pPr>
    </w:p>
    <w:p w14:paraId="44C3455D" w14:textId="056BF6EA" w:rsidR="00EB12E6" w:rsidRPr="001C5BEB" w:rsidRDefault="0099702B" w:rsidP="00EC5630">
      <w:pPr>
        <w:pStyle w:val="ListParagraph"/>
        <w:numPr>
          <w:ilvl w:val="0"/>
          <w:numId w:val="25"/>
        </w:numPr>
        <w:spacing w:line="360" w:lineRule="auto"/>
        <w:rPr>
          <w:rFonts w:eastAsia="Times New Roman" w:cs="Arial"/>
          <w:b/>
          <w:bCs/>
          <w:color w:val="3C3030"/>
          <w:sz w:val="24"/>
          <w:szCs w:val="24"/>
        </w:rPr>
      </w:pPr>
      <w:r w:rsidRPr="00EC5630">
        <w:rPr>
          <w:rFonts w:eastAsia="Times New Roman" w:cs="Arial"/>
          <w:b/>
          <w:bCs/>
          <w:color w:val="000000" w:themeColor="text1"/>
          <w:szCs w:val="20"/>
          <w:bdr w:val="none" w:sz="0" w:space="0" w:color="auto" w:frame="1"/>
        </w:rPr>
        <w:t>What scope of activities are covered?</w:t>
      </w:r>
      <w:r w:rsidR="00F445F2" w:rsidRPr="00EC5630">
        <w:rPr>
          <w:rFonts w:eastAsia="Times New Roman" w:cs="Arial"/>
          <w:color w:val="000000" w:themeColor="text1"/>
          <w:szCs w:val="20"/>
        </w:rPr>
        <w:t xml:space="preserve"> </w:t>
      </w:r>
      <w:r w:rsidRPr="00EC5630">
        <w:rPr>
          <w:rFonts w:eastAsia="Times New Roman" w:cs="Arial"/>
          <w:color w:val="000000" w:themeColor="text1"/>
          <w:szCs w:val="20"/>
        </w:rPr>
        <w:t>Eligibility for workers’ compensation benefits may be limited to injuries that occur within the scope of the responder’s employment. Determining what activities are within that scope, especially since the activities may occur under extreme conditions, is important in assessing eligibility for coverage. Further, it may be necessary to determine if the injury occurred when the responder was actively engaged in the task for which they were deployed (e.g., providing healthcare, assessing sanitary conditions) as opposed to some other activity incident to the deployment (e.g., meeting, loading, training, cooking).</w:t>
      </w:r>
    </w:p>
    <w:p w14:paraId="13C59748" w14:textId="77777777" w:rsidR="001C5BEB" w:rsidRPr="00DA073B" w:rsidRDefault="001C5BEB" w:rsidP="001C5BEB">
      <w:pPr>
        <w:pStyle w:val="ListParagraph"/>
        <w:rPr>
          <w:rFonts w:eastAsia="Times New Roman" w:cs="Arial"/>
          <w:b/>
          <w:bCs/>
          <w:color w:val="3C3030"/>
        </w:rPr>
      </w:pPr>
    </w:p>
    <w:p w14:paraId="19EC27F5" w14:textId="188B490A" w:rsidR="001C5BEB" w:rsidRPr="00DA073B" w:rsidRDefault="001C5BEB" w:rsidP="00EC5630">
      <w:pPr>
        <w:pStyle w:val="ListParagraph"/>
        <w:numPr>
          <w:ilvl w:val="0"/>
          <w:numId w:val="25"/>
        </w:numPr>
        <w:spacing w:line="360" w:lineRule="auto"/>
        <w:rPr>
          <w:rFonts w:eastAsia="Times New Roman" w:cs="Arial"/>
          <w:b/>
          <w:bCs/>
          <w:color w:val="3C3030"/>
        </w:rPr>
      </w:pPr>
      <w:r w:rsidRPr="00DA073B">
        <w:rPr>
          <w:rFonts w:eastAsia="Times New Roman" w:cs="Arial"/>
          <w:b/>
          <w:bCs/>
          <w:color w:val="3C3030"/>
        </w:rPr>
        <w:t>What type of injuries are covered</w:t>
      </w:r>
      <w:r w:rsidR="00434CD1" w:rsidRPr="00DA073B">
        <w:rPr>
          <w:rFonts w:eastAsia="Times New Roman" w:cs="Arial"/>
          <w:b/>
          <w:bCs/>
          <w:color w:val="3C3030"/>
        </w:rPr>
        <w:t>?</w:t>
      </w:r>
      <w:r w:rsidR="00DA073B">
        <w:rPr>
          <w:rFonts w:eastAsia="Times New Roman" w:cs="Arial"/>
          <w:b/>
          <w:bCs/>
          <w:color w:val="3C3030"/>
        </w:rPr>
        <w:t xml:space="preserve"> </w:t>
      </w:r>
      <w:r w:rsidR="00436B97">
        <w:rPr>
          <w:rFonts w:eastAsia="Times New Roman" w:cs="Arial"/>
          <w:color w:val="3C3030"/>
        </w:rPr>
        <w:t>Not all types of injuries may be covered by a state</w:t>
      </w:r>
      <w:r w:rsidR="00810350">
        <w:rPr>
          <w:rFonts w:eastAsia="Times New Roman" w:cs="Arial"/>
          <w:color w:val="3C3030"/>
        </w:rPr>
        <w:t>’s workers’ compensation la</w:t>
      </w:r>
      <w:r w:rsidR="007025D2">
        <w:rPr>
          <w:rFonts w:eastAsia="Times New Roman" w:cs="Arial"/>
          <w:color w:val="3C3030"/>
        </w:rPr>
        <w:t xml:space="preserve">w. If the injury is </w:t>
      </w:r>
      <w:r w:rsidR="006B3FEB">
        <w:rPr>
          <w:rFonts w:eastAsia="Times New Roman" w:cs="Arial"/>
          <w:color w:val="3C3030"/>
        </w:rPr>
        <w:t>an infection with a widespread communicable disease</w:t>
      </w:r>
      <w:r w:rsidR="00421707">
        <w:rPr>
          <w:rFonts w:eastAsia="Times New Roman" w:cs="Arial"/>
          <w:color w:val="3C3030"/>
        </w:rPr>
        <w:t>, this may not be the type of injury eligible for coverage.</w:t>
      </w:r>
    </w:p>
    <w:p w14:paraId="44725A13" w14:textId="77777777" w:rsidR="00C876F9" w:rsidRPr="00C876F9" w:rsidRDefault="00C876F9" w:rsidP="00C876F9">
      <w:pPr>
        <w:pStyle w:val="ListParagraph"/>
        <w:rPr>
          <w:rFonts w:eastAsia="Times New Roman" w:cs="Arial"/>
          <w:b/>
          <w:bCs/>
          <w:color w:val="3C3030"/>
          <w:sz w:val="24"/>
          <w:szCs w:val="24"/>
        </w:rPr>
      </w:pPr>
    </w:p>
    <w:p w14:paraId="52F5ED49" w14:textId="77777777" w:rsidR="003D00AB" w:rsidRDefault="003D00AB" w:rsidP="00C876F9">
      <w:pPr>
        <w:spacing w:line="360" w:lineRule="auto"/>
        <w:rPr>
          <w:rFonts w:eastAsia="Times New Roman" w:cs="Arial"/>
          <w:b/>
          <w:bCs/>
          <w:color w:val="3C3030"/>
          <w:sz w:val="24"/>
          <w:szCs w:val="24"/>
        </w:rPr>
      </w:pPr>
    </w:p>
    <w:p w14:paraId="033DB5E8" w14:textId="77777777" w:rsidR="003D00AB" w:rsidRDefault="003D00AB" w:rsidP="00C876F9">
      <w:pPr>
        <w:spacing w:line="360" w:lineRule="auto"/>
        <w:rPr>
          <w:rFonts w:eastAsia="Times New Roman" w:cs="Arial"/>
          <w:b/>
          <w:bCs/>
          <w:color w:val="3C3030"/>
          <w:sz w:val="24"/>
          <w:szCs w:val="24"/>
        </w:rPr>
      </w:pPr>
    </w:p>
    <w:p w14:paraId="55AC0CC2" w14:textId="3F9CF3B1" w:rsidR="00C876F9" w:rsidRPr="00C876F9" w:rsidRDefault="00C3601F" w:rsidP="00C876F9">
      <w:pPr>
        <w:spacing w:line="360" w:lineRule="auto"/>
        <w:rPr>
          <w:rFonts w:eastAsia="Times New Roman" w:cs="Arial"/>
          <w:b/>
          <w:bCs/>
          <w:color w:val="3C3030"/>
          <w:sz w:val="24"/>
          <w:szCs w:val="24"/>
        </w:rPr>
      </w:pPr>
      <w:r>
        <w:rPr>
          <w:noProof/>
        </w:rPr>
        <mc:AlternateContent>
          <mc:Choice Requires="wps">
            <w:drawing>
              <wp:anchor distT="45720" distB="45720" distL="114300" distR="114300" simplePos="0" relativeHeight="251662336" behindDoc="0" locked="0" layoutInCell="1" allowOverlap="1" wp14:anchorId="7DA35F87" wp14:editId="15E5D941">
                <wp:simplePos x="0" y="0"/>
                <wp:positionH relativeFrom="margin">
                  <wp:align>center</wp:align>
                </wp:positionH>
                <wp:positionV relativeFrom="paragraph">
                  <wp:posOffset>2028190</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47E7C147" w14:textId="72247A2D" w:rsidR="00C3601F" w:rsidRPr="004C64AD" w:rsidRDefault="00C3601F" w:rsidP="00C3601F">
                            <w:pPr>
                              <w:rPr>
                                <w:sz w:val="20"/>
                                <w:szCs w:val="20"/>
                              </w:rPr>
                            </w:pPr>
                            <w:r w:rsidRPr="004C64AD">
                              <w:rPr>
                                <w:sz w:val="20"/>
                                <w:szCs w:val="20"/>
                              </w:rPr>
                              <w:t>This CSTE project was funded under a cooperative agreement with the Centers for Disease Control and Prevention (NU38OT000297-01-00). Th</w:t>
                            </w:r>
                            <w:r w:rsidR="003D0BA8">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DA35F87" id="_x0000_t202" coordsize="21600,21600" o:spt="202" path="m,l,21600r21600,l21600,xe">
                <v:stroke joinstyle="miter"/>
                <v:path gradientshapeok="t" o:connecttype="rect"/>
              </v:shapetype>
              <v:shape id="_x0000_s1027" type="#_x0000_t202" style="position:absolute;margin-left:0;margin-top:159.7pt;width:434.2pt;height:110.6pt;z-index:2516623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">
                <v:textbox style="mso-fit-shape-to-text:t">
                  <w:txbxContent>
                    <w:p w14:paraId="47E7C147" w14:textId="72247A2D" w:rsidR="00C3601F" w:rsidRPr="004C64AD" w:rsidRDefault="00C3601F" w:rsidP="00C3601F">
                      <w:pPr>
                        <w:rPr>
                          <w:sz w:val="20"/>
                          <w:szCs w:val="20"/>
                        </w:rPr>
                      </w:pPr>
                      <w:r w:rsidRPr="004C64AD">
                        <w:rPr>
                          <w:sz w:val="20"/>
                          <w:szCs w:val="20"/>
                        </w:rPr>
                        <w:t>This CSTE project was funded under a cooperative agreement with the Centers for Disease Control and Prevention (NU38OT000297-01-00). Th</w:t>
                      </w:r>
                      <w:r w:rsidR="003D0BA8">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C876F9" w:rsidRPr="00C876F9" w:rsidSect="00F54039">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E46518" w14:textId="77777777" w:rsidR="005627EB" w:rsidRDefault="005627EB" w:rsidP="00477E52">
      <w:r>
        <w:separator/>
      </w:r>
    </w:p>
  </w:endnote>
  <w:endnote w:type="continuationSeparator" w:id="0">
    <w:p w14:paraId="72C0818A" w14:textId="77777777" w:rsidR="005627EB" w:rsidRDefault="005627EB"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77504" w14:textId="77777777" w:rsidR="00B94999" w:rsidRDefault="00B94999" w:rsidP="00B9499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4ADD05AF" w14:textId="03F89A1F" w:rsidR="00C46026" w:rsidRDefault="00B94999" w:rsidP="00B94999">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D3DC0" w14:textId="77777777" w:rsidR="005627EB" w:rsidRDefault="005627EB" w:rsidP="00477E52">
      <w:r>
        <w:separator/>
      </w:r>
    </w:p>
  </w:footnote>
  <w:footnote w:type="continuationSeparator" w:id="0">
    <w:p w14:paraId="6BD6A978" w14:textId="77777777" w:rsidR="005627EB" w:rsidRDefault="005627EB" w:rsidP="00477E52">
      <w:r>
        <w:continuationSeparator/>
      </w:r>
    </w:p>
  </w:footnote>
  <w:footnote w:id="1">
    <w:p w14:paraId="791629EA" w14:textId="2E8AF8C0" w:rsidR="00AD438D" w:rsidRPr="00840FFC" w:rsidRDefault="00AD438D" w:rsidP="00AD438D">
      <w:pPr>
        <w:pStyle w:val="FootnoteText"/>
        <w:tabs>
          <w:tab w:val="left" w:pos="686"/>
        </w:tabs>
        <w:rPr>
          <w:b/>
          <w:bCs/>
        </w:rPr>
      </w:pPr>
      <w:r w:rsidRPr="00840FFC">
        <w:rPr>
          <w:b/>
          <w:bCs/>
          <w:highlight w:val="yellow"/>
        </w:rPr>
        <w:t>Footnotes will be streamlined and edited to style guide once text is finalized</w:t>
      </w:r>
    </w:p>
    <w:p w14:paraId="3DC5ED87" w14:textId="1E51DCFD" w:rsidR="00BD23A6" w:rsidRPr="00840FFC" w:rsidRDefault="00BD23A6" w:rsidP="00AD438D">
      <w:pPr>
        <w:pStyle w:val="FootnoteText"/>
      </w:pPr>
      <w:r w:rsidRPr="00840FFC">
        <w:rPr>
          <w:rStyle w:val="FootnoteReference"/>
        </w:rPr>
        <w:footnoteRef/>
      </w:r>
      <w:r w:rsidRPr="00840FFC">
        <w:t xml:space="preserve"> </w:t>
      </w:r>
      <w:r w:rsidRPr="00840FFC">
        <w:rPr>
          <w:i/>
          <w:iCs/>
        </w:rPr>
        <w:t>See</w:t>
      </w:r>
      <w:r w:rsidR="002B374D" w:rsidRPr="00840FFC">
        <w:t xml:space="preserve"> </w:t>
      </w:r>
      <w:r w:rsidR="00AD438D" w:rsidRPr="00840FFC">
        <w:t xml:space="preserve">Elizabeth Van Nostrand, Nandini Pillai, Alix Ware, “Interjurisdictional Variance in US Workers’ Benefits for Emergency Response Volunteers”, American Journal of Public Health 108, no. S5 (November 1, 2018): pp. S387-S393. Retrieved from </w:t>
      </w:r>
      <w:hyperlink r:id="rId1" w:history="1">
        <w:r w:rsidR="00AD438D" w:rsidRPr="00840FFC">
          <w:rPr>
            <w:rStyle w:val="Hyperlink"/>
          </w:rPr>
          <w:t>https://doi.org/10.2105/AJPH.2018.304534</w:t>
        </w:r>
      </w:hyperlink>
      <w:r w:rsidR="00AD438D" w:rsidRPr="00840FFC">
        <w:t xml:space="preserve">. </w:t>
      </w:r>
      <w:bookmarkStart w:id="0" w:name="_Hlk47387281"/>
      <w:r w:rsidR="000C4C30" w:rsidRPr="00840FFC">
        <w:t>Accessed August 1, 2020.</w:t>
      </w:r>
      <w:bookmarkEnd w:id="0"/>
    </w:p>
  </w:footnote>
  <w:footnote w:id="2">
    <w:p w14:paraId="348148F8" w14:textId="02A80734" w:rsidR="00B13DBA" w:rsidRPr="00840FFC" w:rsidRDefault="00B13DBA">
      <w:pPr>
        <w:pStyle w:val="FootnoteText"/>
      </w:pPr>
      <w:r w:rsidRPr="00840FFC">
        <w:rPr>
          <w:rStyle w:val="FootnoteReference"/>
        </w:rPr>
        <w:footnoteRef/>
      </w:r>
      <w:r w:rsidRPr="00840FFC">
        <w:t xml:space="preserve"> </w:t>
      </w:r>
      <w:bookmarkStart w:id="1" w:name="_Hlk47640472"/>
      <w:r w:rsidR="0060140D" w:rsidRPr="00840FFC">
        <w:t xml:space="preserve">Cunningham, J. </w:t>
      </w:r>
      <w:r w:rsidRPr="00840FFC">
        <w:t xml:space="preserve">NCSL. </w:t>
      </w:r>
      <w:r w:rsidR="0060140D" w:rsidRPr="00840FFC">
        <w:t>COVID-19: Workers' Compensation. July 2</w:t>
      </w:r>
      <w:r w:rsidR="000C6CED" w:rsidRPr="00840FFC">
        <w:t>8</w:t>
      </w:r>
      <w:r w:rsidR="00D50D82" w:rsidRPr="00840FFC">
        <w:t xml:space="preserve">, 2020. Retrieved from </w:t>
      </w:r>
      <w:hyperlink r:id="rId2" w:history="1">
        <w:r w:rsidR="00D50D82" w:rsidRPr="00840FFC">
          <w:rPr>
            <w:rStyle w:val="Hyperlink"/>
          </w:rPr>
          <w:t>https://www.ncsl.org/research/labor-and-employment/covid-19-workers-compensation.aspx</w:t>
        </w:r>
      </w:hyperlink>
      <w:r w:rsidR="00D50D82" w:rsidRPr="00840FFC">
        <w:t>. Accessed August 6, 2020.</w:t>
      </w:r>
      <w:bookmarkEnd w:id="1"/>
    </w:p>
  </w:footnote>
  <w:footnote w:id="3">
    <w:p w14:paraId="7149ADF6" w14:textId="63611848" w:rsidR="00B25FAA" w:rsidRPr="00840FFC" w:rsidRDefault="00B25FAA">
      <w:pPr>
        <w:pStyle w:val="FootnoteText"/>
      </w:pPr>
      <w:r w:rsidRPr="00840FFC">
        <w:rPr>
          <w:rStyle w:val="FootnoteReference"/>
        </w:rPr>
        <w:footnoteRef/>
      </w:r>
      <w:r w:rsidRPr="00840FFC">
        <w:t xml:space="preserve"> Cunningham, J. NCSL. COVID-19: Workers' Compensation. July 28, 2020. Retrieved from </w:t>
      </w:r>
      <w:hyperlink r:id="rId3" w:history="1">
        <w:r w:rsidRPr="00840FFC">
          <w:rPr>
            <w:rStyle w:val="Hyperlink"/>
          </w:rPr>
          <w:t>https://www.ncsl.org/research/labor-and-employment/covid-19-workers-compensation.aspx</w:t>
        </w:r>
      </w:hyperlink>
      <w:r w:rsidRPr="00840FFC">
        <w:t>. Accessed August 6, 2020.</w:t>
      </w:r>
    </w:p>
  </w:footnote>
  <w:footnote w:id="4">
    <w:p w14:paraId="43E7C8FF" w14:textId="0B677635" w:rsidR="00C8382F" w:rsidRPr="00840FFC" w:rsidRDefault="00C8382F">
      <w:pPr>
        <w:pStyle w:val="FootnoteText"/>
      </w:pPr>
      <w:r w:rsidRPr="00840FFC">
        <w:rPr>
          <w:rStyle w:val="FootnoteReference"/>
        </w:rPr>
        <w:footnoteRef/>
      </w:r>
      <w:r w:rsidRPr="00840FFC">
        <w:t xml:space="preserve"> Cunningham, J. NCSL. COVID-19: Workers' Compensation. July 28, 2020. Retrieved from </w:t>
      </w:r>
      <w:hyperlink r:id="rId4" w:history="1">
        <w:r w:rsidRPr="00840FFC">
          <w:rPr>
            <w:rStyle w:val="Hyperlink"/>
          </w:rPr>
          <w:t>https://www.ncsl.org/research/labor-and-employment/covid-19-workers-compensation.aspx</w:t>
        </w:r>
      </w:hyperlink>
      <w:r w:rsidRPr="00840FFC">
        <w:t>. Accessed August 6, 2020.</w:t>
      </w:r>
    </w:p>
  </w:footnote>
  <w:footnote w:id="5">
    <w:p w14:paraId="4EF61742" w14:textId="0CE9ED83" w:rsidR="002D5126" w:rsidRPr="00840FFC" w:rsidRDefault="002D5126">
      <w:pPr>
        <w:pStyle w:val="FootnoteText"/>
      </w:pPr>
      <w:r w:rsidRPr="00840FFC">
        <w:rPr>
          <w:rStyle w:val="FootnoteReference"/>
        </w:rPr>
        <w:footnoteRef/>
      </w:r>
      <w:r w:rsidRPr="00840FFC">
        <w:t xml:space="preserve"> Cunningham, J. NCSL. COVID-19: Workers' Compensation. July 28, 2020. Retrieved from </w:t>
      </w:r>
      <w:hyperlink r:id="rId5" w:history="1">
        <w:r w:rsidRPr="00840FFC">
          <w:rPr>
            <w:rStyle w:val="Hyperlink"/>
          </w:rPr>
          <w:t>https://www.ncsl.org/research/labor-and-employment/covid-19-workers-compensation.aspx</w:t>
        </w:r>
      </w:hyperlink>
      <w:r w:rsidRPr="00840FFC">
        <w:t>. Accessed August 6, 2020.</w:t>
      </w:r>
    </w:p>
  </w:footnote>
  <w:footnote w:id="6">
    <w:p w14:paraId="16F322A6" w14:textId="2FFE4F7D" w:rsidR="00B46AA2" w:rsidRPr="00840FFC" w:rsidRDefault="00B46AA2">
      <w:pPr>
        <w:pStyle w:val="FootnoteText"/>
      </w:pPr>
      <w:r w:rsidRPr="00840FFC">
        <w:rPr>
          <w:rStyle w:val="FootnoteReference"/>
        </w:rPr>
        <w:footnoteRef/>
      </w:r>
      <w:r w:rsidRPr="00840FFC">
        <w:t xml:space="preserve"> </w:t>
      </w:r>
      <w:r w:rsidR="004A2FB7" w:rsidRPr="00840FFC">
        <w:t xml:space="preserve">For a list of state legislation/executive orders, </w:t>
      </w:r>
      <w:r w:rsidR="004A2FB7" w:rsidRPr="00D13E46">
        <w:rPr>
          <w:i/>
          <w:iCs/>
        </w:rPr>
        <w:t>see</w:t>
      </w:r>
      <w:r w:rsidR="004A2FB7" w:rsidRPr="00840FFC">
        <w:t xml:space="preserve"> </w:t>
      </w:r>
      <w:r w:rsidRPr="00840FFC">
        <w:t xml:space="preserve">Cunningham, J. NCSL. COVID-19: Workers' Compensation. July 28, 2020. Retrieved from </w:t>
      </w:r>
      <w:hyperlink r:id="rId6" w:history="1">
        <w:r w:rsidRPr="00840FFC">
          <w:rPr>
            <w:rStyle w:val="Hyperlink"/>
          </w:rPr>
          <w:t>https://www.ncsl.org/research/labor-and-employment/covid-19-workers-compensation.aspx</w:t>
        </w:r>
      </w:hyperlink>
      <w:r w:rsidRPr="00840FFC">
        <w:t>. Accessed August 6, 2020.</w:t>
      </w:r>
      <w:r w:rsidR="004A2FB7" w:rsidRPr="00840FFC">
        <w:t xml:space="preserve"> </w:t>
      </w:r>
      <w:r w:rsidR="004A2FB7" w:rsidRPr="00D13E46">
        <w:rPr>
          <w:i/>
          <w:iCs/>
        </w:rPr>
        <w:t xml:space="preserve">See also </w:t>
      </w:r>
      <w:r w:rsidR="00623E07" w:rsidRPr="00840FFC">
        <w:t xml:space="preserve">National Council on Compensation Insurance. </w:t>
      </w:r>
      <w:r w:rsidR="004329C7" w:rsidRPr="00840FFC">
        <w:t>COVID-19 Resource Center - Latest Updates. W</w:t>
      </w:r>
      <w:r w:rsidR="008A016B" w:rsidRPr="00840FFC">
        <w:t xml:space="preserve">ebpage. Retrieved from </w:t>
      </w:r>
      <w:hyperlink r:id="rId7" w:history="1">
        <w:r w:rsidR="008A016B" w:rsidRPr="00840FFC">
          <w:rPr>
            <w:rStyle w:val="Hyperlink"/>
          </w:rPr>
          <w:t>https://www.ncci.com/Articles/Pages/COVID-19.aspx</w:t>
        </w:r>
      </w:hyperlink>
      <w:r w:rsidR="008A016B" w:rsidRPr="00840FFC">
        <w:t>. Accessed August 6, 2020.</w:t>
      </w:r>
    </w:p>
  </w:footnote>
  <w:footnote w:id="7">
    <w:p w14:paraId="05B44672" w14:textId="2E4CED80" w:rsidR="007D3F25" w:rsidRPr="00840FFC" w:rsidRDefault="007D3F25">
      <w:pPr>
        <w:pStyle w:val="FootnoteText"/>
      </w:pPr>
      <w:r w:rsidRPr="00840FFC">
        <w:rPr>
          <w:rStyle w:val="FootnoteReference"/>
        </w:rPr>
        <w:footnoteRef/>
      </w:r>
      <w:r w:rsidRPr="00840FFC">
        <w:t xml:space="preserve"> </w:t>
      </w:r>
      <w:r w:rsidR="00B31418" w:rsidRPr="00840FFC">
        <w:t>Scott D. Szymendera</w:t>
      </w:r>
      <w:r w:rsidR="008A47DF" w:rsidRPr="00840FFC">
        <w:t xml:space="preserve">. </w:t>
      </w:r>
      <w:r w:rsidR="00E7203C" w:rsidRPr="00840FFC">
        <w:t xml:space="preserve">Workers’ Compensation: Overview and Issues. </w:t>
      </w:r>
      <w:r w:rsidR="00016CE1" w:rsidRPr="00840FFC">
        <w:t xml:space="preserve">CRS Report R44580. </w:t>
      </w:r>
      <w:r w:rsidR="005257A4" w:rsidRPr="00840FFC">
        <w:t xml:space="preserve">February 18, 2020. Retrieved from </w:t>
      </w:r>
      <w:hyperlink r:id="rId8" w:history="1">
        <w:r w:rsidR="00F46653" w:rsidRPr="00840FFC">
          <w:rPr>
            <w:rStyle w:val="Hyperlink"/>
          </w:rPr>
          <w:t>https://fas.org/sgp/crs/misc/R44580.pdf</w:t>
        </w:r>
      </w:hyperlink>
      <w:r w:rsidR="00F46653" w:rsidRPr="00840FFC">
        <w:t>.</w:t>
      </w:r>
      <w:r w:rsidR="00F1611C" w:rsidRPr="00840FFC">
        <w:t xml:space="preserve"> Accessed August 1, 2020.</w:t>
      </w:r>
    </w:p>
  </w:footnote>
  <w:footnote w:id="8">
    <w:p w14:paraId="684693CD" w14:textId="20D8652B" w:rsidR="00FB549F" w:rsidRPr="00840FFC" w:rsidRDefault="00FB549F">
      <w:pPr>
        <w:pStyle w:val="FootnoteText"/>
      </w:pPr>
      <w:r w:rsidRPr="00840FFC">
        <w:rPr>
          <w:rStyle w:val="FootnoteReference"/>
        </w:rPr>
        <w:footnoteRef/>
      </w:r>
      <w:r w:rsidRPr="00840FFC">
        <w:t xml:space="preserve"> </w:t>
      </w:r>
      <w:r w:rsidR="00080916" w:rsidRPr="00840FFC">
        <w:t>Elaine Weiss, Griffin Murphy, Leslie I. Boden</w:t>
      </w:r>
      <w:r w:rsidRPr="00840FFC">
        <w:t>. National Academy of Social Insurance. Workers’ Compensation: Benefits, Coverage, and Costs, 20</w:t>
      </w:r>
      <w:r w:rsidR="00F665EC" w:rsidRPr="00840FFC">
        <w:t>17</w:t>
      </w:r>
      <w:r w:rsidRPr="00840FFC">
        <w:t xml:space="preserve">. </w:t>
      </w:r>
      <w:r w:rsidR="00F665EC" w:rsidRPr="00840FFC">
        <w:t>October 2019</w:t>
      </w:r>
      <w:r w:rsidRPr="00840FFC">
        <w:t xml:space="preserve">. </w:t>
      </w:r>
      <w:r w:rsidR="000875AA" w:rsidRPr="00840FFC">
        <w:t xml:space="preserve">Retrieved from </w:t>
      </w:r>
      <w:hyperlink r:id="rId9" w:history="1">
        <w:r w:rsidR="000875AA" w:rsidRPr="00840FFC">
          <w:rPr>
            <w:rStyle w:val="Hyperlink"/>
          </w:rPr>
          <w:t>https://www.nasi.org/research/2019/report-workers%E2%80%99-compensation-benefits-costs-coverage-%E2%80%93-2017</w:t>
        </w:r>
      </w:hyperlink>
      <w:r w:rsidR="000875AA" w:rsidRPr="00840FFC">
        <w:t>.</w:t>
      </w:r>
      <w:r w:rsidR="009C5433" w:rsidRPr="00840FFC">
        <w:t xml:space="preserve"> Accessed August 1, 2020.</w:t>
      </w:r>
    </w:p>
  </w:footnote>
  <w:footnote w:id="9">
    <w:p w14:paraId="156B580C" w14:textId="1745D139" w:rsidR="00272593" w:rsidRPr="00840FFC" w:rsidRDefault="00272593">
      <w:pPr>
        <w:pStyle w:val="FootnoteText"/>
      </w:pPr>
      <w:r w:rsidRPr="00840FFC">
        <w:rPr>
          <w:rStyle w:val="FootnoteReference"/>
        </w:rPr>
        <w:footnoteRef/>
      </w:r>
      <w:r w:rsidRPr="00840FFC">
        <w:t xml:space="preserve"> </w:t>
      </w:r>
      <w:r w:rsidR="007B4F39" w:rsidRPr="00840FFC">
        <w:t xml:space="preserve">For more information about the interaction of </w:t>
      </w:r>
      <w:r w:rsidR="007B4F39" w:rsidRPr="00840FFC">
        <w:rPr>
          <w:rFonts w:eastAsia="Times New Roman" w:cs="Arial"/>
          <w:color w:val="000000" w:themeColor="text1"/>
        </w:rPr>
        <w:t>Social Security Disability Insurance</w:t>
      </w:r>
      <w:r w:rsidR="008E6EFA" w:rsidRPr="00840FFC">
        <w:rPr>
          <w:rFonts w:eastAsia="Times New Roman" w:cs="Arial"/>
          <w:color w:val="000000" w:themeColor="text1"/>
        </w:rPr>
        <w:t xml:space="preserve">, </w:t>
      </w:r>
      <w:r w:rsidR="007B4F39" w:rsidRPr="00840FFC">
        <w:rPr>
          <w:rFonts w:eastAsia="Times New Roman" w:cs="Arial"/>
          <w:color w:val="000000" w:themeColor="text1"/>
        </w:rPr>
        <w:t>Medicare</w:t>
      </w:r>
      <w:r w:rsidR="008E6EFA" w:rsidRPr="00840FFC">
        <w:rPr>
          <w:rFonts w:eastAsia="Times New Roman" w:cs="Arial"/>
          <w:color w:val="000000" w:themeColor="text1"/>
        </w:rPr>
        <w:t xml:space="preserve"> and Medicaid with workers’ compensation </w:t>
      </w:r>
      <w:r w:rsidR="008E6EFA" w:rsidRPr="00840FFC">
        <w:rPr>
          <w:rFonts w:eastAsia="Times New Roman" w:cs="Arial"/>
          <w:i/>
          <w:iCs/>
          <w:color w:val="000000" w:themeColor="text1"/>
        </w:rPr>
        <w:t>see</w:t>
      </w:r>
      <w:r w:rsidR="00105F44" w:rsidRPr="00840FFC">
        <w:rPr>
          <w:rFonts w:eastAsia="Times New Roman" w:cs="Arial"/>
          <w:color w:val="000000" w:themeColor="text1"/>
        </w:rPr>
        <w:t xml:space="preserve"> </w:t>
      </w:r>
      <w:r w:rsidR="00C06A80" w:rsidRPr="00840FFC">
        <w:t xml:space="preserve">Scott D. Szymendera. Workers’ Compensation: Overview and Issues. CRS Report R44580. February 18, 2020. Retrieved from </w:t>
      </w:r>
      <w:hyperlink r:id="rId10" w:history="1">
        <w:r w:rsidR="00C06A80" w:rsidRPr="00840FFC">
          <w:rPr>
            <w:rStyle w:val="Hyperlink"/>
          </w:rPr>
          <w:t>https://fas.org/sgp/crs/misc/R44580.pdf</w:t>
        </w:r>
      </w:hyperlink>
      <w:r w:rsidR="00C06A80" w:rsidRPr="00840FFC">
        <w:t>.</w:t>
      </w:r>
      <w:r w:rsidR="008820B4" w:rsidRPr="00840FFC">
        <w:t xml:space="preserve"> Accessed August 1, 2020.</w:t>
      </w:r>
    </w:p>
  </w:footnote>
  <w:footnote w:id="10">
    <w:p w14:paraId="23ACAB05" w14:textId="314980DA" w:rsidR="002605BF" w:rsidRPr="00840FFC" w:rsidRDefault="002605BF" w:rsidP="002605BF">
      <w:pPr>
        <w:pStyle w:val="FootnoteText"/>
      </w:pPr>
      <w:r w:rsidRPr="00840FFC">
        <w:rPr>
          <w:rStyle w:val="FootnoteReference"/>
        </w:rPr>
        <w:footnoteRef/>
      </w:r>
      <w:r w:rsidRPr="00840FFC">
        <w:t xml:space="preserve"> EMAC. EMAC Reimbursement Process. Retrieved from </w:t>
      </w:r>
      <w:hyperlink r:id="rId11" w:history="1">
        <w:r w:rsidRPr="00840FFC">
          <w:rPr>
            <w:rStyle w:val="Hyperlink"/>
          </w:rPr>
          <w:t>https://www.emacweb.org/index.php/learn-about-emac/emac-reimbursement-process</w:t>
        </w:r>
      </w:hyperlink>
      <w:r w:rsidRPr="00840FFC">
        <w:t>.</w:t>
      </w:r>
      <w:r w:rsidR="008820B4" w:rsidRPr="00840FFC">
        <w:t xml:space="preserve"> Accessed August 1, 2020.</w:t>
      </w:r>
    </w:p>
  </w:footnote>
  <w:footnote w:id="11">
    <w:p w14:paraId="3229A89F" w14:textId="77777777" w:rsidR="002605BF" w:rsidRPr="00840FFC" w:rsidRDefault="002605BF" w:rsidP="002605BF">
      <w:pPr>
        <w:pStyle w:val="FootnoteText"/>
      </w:pPr>
      <w:r w:rsidRPr="00840FFC">
        <w:rPr>
          <w:rStyle w:val="FootnoteReference"/>
        </w:rPr>
        <w:footnoteRef/>
      </w:r>
      <w:r w:rsidRPr="00840FFC">
        <w:t xml:space="preserve"> Emergency Management Assistance Compact, Pub. L. No. 104-321, Art. VIII.</w:t>
      </w:r>
    </w:p>
  </w:footnote>
  <w:footnote w:id="12">
    <w:p w14:paraId="50E71E3C" w14:textId="589B09D4" w:rsidR="002605BF" w:rsidRPr="00840FFC" w:rsidRDefault="002605BF" w:rsidP="002605BF">
      <w:pPr>
        <w:pStyle w:val="FootnoteText"/>
      </w:pPr>
      <w:r w:rsidRPr="00840FFC">
        <w:rPr>
          <w:rStyle w:val="FootnoteReference"/>
        </w:rPr>
        <w:footnoteRef/>
      </w:r>
      <w:r w:rsidRPr="00840FFC">
        <w:t xml:space="preserve"> Federal Employees’ Compensation Act. Codified at 5 U.S.C. §§8101 et seq. </w:t>
      </w:r>
      <w:r w:rsidRPr="00840FFC">
        <w:rPr>
          <w:i/>
          <w:iCs/>
        </w:rPr>
        <w:t>See also</w:t>
      </w:r>
      <w:r w:rsidRPr="00840FFC">
        <w:t xml:space="preserve"> Scott D. Szymendera. The Federal Employees’ Compensation Act (FECA): Workers’ Compensation for Federal Employees. CRS Report R42107. April 26, 2017. Retrieved from </w:t>
      </w:r>
      <w:hyperlink r:id="rId12" w:history="1">
        <w:r w:rsidRPr="00840FFC">
          <w:rPr>
            <w:rStyle w:val="Hyperlink"/>
          </w:rPr>
          <w:t>https://fas.org/sgp/crs/misc/R42107.pdf</w:t>
        </w:r>
      </w:hyperlink>
      <w:r w:rsidRPr="00840FFC">
        <w:t>.</w:t>
      </w:r>
      <w:r w:rsidR="008D4F9D" w:rsidRPr="00840FFC">
        <w:t xml:space="preserve"> Accessed August 1, 2020.</w:t>
      </w:r>
    </w:p>
  </w:footnote>
  <w:footnote w:id="13">
    <w:p w14:paraId="4D7FC880" w14:textId="77777777" w:rsidR="002605BF" w:rsidRPr="00840FFC" w:rsidRDefault="002605BF" w:rsidP="002605BF">
      <w:pPr>
        <w:pStyle w:val="FootnoteText"/>
      </w:pPr>
      <w:r w:rsidRPr="00840FFC">
        <w:rPr>
          <w:rStyle w:val="FootnoteReference"/>
        </w:rPr>
        <w:footnoteRef/>
      </w:r>
      <w:r w:rsidRPr="00840FFC">
        <w:t xml:space="preserve"> The initial Federal September 11th Victim Compensation Fund operated from 2001-2004. In January 2011, the President signed into law the James Zadroga 9/11 Health and Compensation Act of 2010, which reactivated the VCF. The reactivated VCF opened in October 2011 and was authorized to operate for a period of five years, ending in October 2016. In December 2015, the fund was reauthorized in the James Zadroga 9/11 Health and Compensation Act of 2010, which extended the VCF for five years, allowing individuals to submit their claims until December 18, 2020.  </w:t>
      </w:r>
    </w:p>
  </w:footnote>
  <w:footnote w:id="14">
    <w:p w14:paraId="3A3BB523" w14:textId="77777777" w:rsidR="002605BF" w:rsidRPr="00840FFC" w:rsidRDefault="002605BF" w:rsidP="002605BF">
      <w:pPr>
        <w:pStyle w:val="FootnoteText"/>
      </w:pPr>
      <w:r w:rsidRPr="00840FFC">
        <w:rPr>
          <w:rStyle w:val="FootnoteReference"/>
        </w:rPr>
        <w:footnoteRef/>
      </w:r>
      <w:r w:rsidRPr="00840FFC">
        <w:t xml:space="preserve"> Never Forget the Heroes: James Zadroga, Ray Pfeifer, and Luis Alvarez Permanent Authorization of the September 11th Victim Compensation Fund Act (VCF Permanent Authorization Act). Pub. Law No: 116-34, codified at 40 U.S.C. §§40101 and 401010; 49 U.S.C. §40101.</w:t>
      </w:r>
    </w:p>
  </w:footnote>
  <w:footnote w:id="15">
    <w:p w14:paraId="1FA0C301" w14:textId="737C123C" w:rsidR="002605BF" w:rsidRPr="00840FFC" w:rsidRDefault="002605BF" w:rsidP="002605BF">
      <w:pPr>
        <w:pStyle w:val="FootnoteText"/>
      </w:pPr>
      <w:r w:rsidRPr="00840FFC">
        <w:rPr>
          <w:rStyle w:val="FootnoteReference"/>
        </w:rPr>
        <w:footnoteRef/>
      </w:r>
      <w:r w:rsidRPr="00840FFC">
        <w:t xml:space="preserve"> New York State Assembly. Amendment S7797-A. (Senate Bill S7797). Signed by Governor on September 7, 2018. Retrieved from </w:t>
      </w:r>
      <w:hyperlink r:id="rId13" w:history="1">
        <w:r w:rsidRPr="00840FFC">
          <w:rPr>
            <w:rStyle w:val="Hyperlink"/>
          </w:rPr>
          <w:t>https://www.nysenate.gov/legislation/bills/2017/s7797/amendment/original</w:t>
        </w:r>
      </w:hyperlink>
      <w:r w:rsidRPr="00840FFC">
        <w:t>.</w:t>
      </w:r>
      <w:r w:rsidR="006E32E1" w:rsidRPr="00840FFC">
        <w:t xml:space="preserve"> Accessed August 1, 2020.</w:t>
      </w:r>
    </w:p>
  </w:footnote>
  <w:footnote w:id="16">
    <w:p w14:paraId="6E421C40" w14:textId="5516E752" w:rsidR="00D06A16" w:rsidRPr="00840FFC" w:rsidRDefault="00D06A16">
      <w:pPr>
        <w:pStyle w:val="FootnoteText"/>
      </w:pPr>
      <w:r w:rsidRPr="00840FFC">
        <w:rPr>
          <w:rStyle w:val="FootnoteReference"/>
        </w:rPr>
        <w:footnoteRef/>
      </w:r>
      <w:r w:rsidRPr="00840FFC">
        <w:t xml:space="preserve"> </w:t>
      </w:r>
      <w:r w:rsidR="003B2EC9" w:rsidRPr="00840FFC">
        <w:t xml:space="preserve">Uniform Law Commission. “Emergency Volunteer Health Practitioners” website. Retrieved from </w:t>
      </w:r>
      <w:hyperlink r:id="rId14" w:history="1">
        <w:r w:rsidR="003B2EC9" w:rsidRPr="00840FFC">
          <w:rPr>
            <w:rStyle w:val="Hyperlink"/>
          </w:rPr>
          <w:t>https://www.uniformlaws.org/committees/community-home?CommunityKey=565933ce-965f-4d3c-9c90-b00246f30f2d</w:t>
        </w:r>
      </w:hyperlink>
      <w:r w:rsidR="003B2EC9" w:rsidRPr="00840FFC">
        <w:t>.</w:t>
      </w:r>
      <w:r w:rsidR="00AB787F" w:rsidRPr="00840FFC">
        <w:t xml:space="preserve"> Accessed August 1,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8DEFB2" w14:textId="5A7297D2" w:rsidR="00DE394F" w:rsidRPr="00D175B6" w:rsidRDefault="00D175B6" w:rsidP="00D175B6">
    <w:pPr>
      <w:pStyle w:val="Header"/>
      <w:jc w:val="center"/>
    </w:pPr>
    <w:r w:rsidRPr="00300CBF">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32432" w14:textId="54A28331" w:rsidR="00C46026" w:rsidRPr="00300CBF" w:rsidRDefault="00F54039" w:rsidP="00F54039">
    <w:pPr>
      <w:pStyle w:val="Header"/>
      <w:jc w:val="center"/>
    </w:pPr>
    <w:r w:rsidRPr="00300CBF">
      <w:rPr>
        <w:highlight w:val="yellow"/>
      </w:rPr>
      <w:t>DRAFT 1</w:t>
    </w:r>
    <w:r w:rsidR="00300CBF" w:rsidRPr="00300CBF">
      <w:rPr>
        <w:highlight w:val="yellow"/>
      </w:rPr>
      <w:t xml:space="preserve">.1             </w:t>
    </w:r>
    <w:r w:rsidRPr="00300CBF">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7B705CF"/>
    <w:multiLevelType w:val="hybridMultilevel"/>
    <w:tmpl w:val="3A901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7"/>
  </w:num>
  <w:num w:numId="3">
    <w:abstractNumId w:val="5"/>
  </w:num>
  <w:num w:numId="4">
    <w:abstractNumId w:val="13"/>
  </w:num>
  <w:num w:numId="5">
    <w:abstractNumId w:val="12"/>
  </w:num>
  <w:num w:numId="6">
    <w:abstractNumId w:val="22"/>
  </w:num>
  <w:num w:numId="7">
    <w:abstractNumId w:val="8"/>
  </w:num>
  <w:num w:numId="8">
    <w:abstractNumId w:val="11"/>
  </w:num>
  <w:num w:numId="9">
    <w:abstractNumId w:val="20"/>
  </w:num>
  <w:num w:numId="10">
    <w:abstractNumId w:val="23"/>
  </w:num>
  <w:num w:numId="11">
    <w:abstractNumId w:val="19"/>
  </w:num>
  <w:num w:numId="12">
    <w:abstractNumId w:val="4"/>
  </w:num>
  <w:num w:numId="13">
    <w:abstractNumId w:val="16"/>
  </w:num>
  <w:num w:numId="14">
    <w:abstractNumId w:val="14"/>
  </w:num>
  <w:num w:numId="15">
    <w:abstractNumId w:val="1"/>
  </w:num>
  <w:num w:numId="16">
    <w:abstractNumId w:val="0"/>
  </w:num>
  <w:num w:numId="17">
    <w:abstractNumId w:val="3"/>
  </w:num>
  <w:num w:numId="18">
    <w:abstractNumId w:val="6"/>
  </w:num>
  <w:num w:numId="19">
    <w:abstractNumId w:val="18"/>
  </w:num>
  <w:num w:numId="20">
    <w:abstractNumId w:val="24"/>
  </w:num>
  <w:num w:numId="21">
    <w:abstractNumId w:val="9"/>
  </w:num>
  <w:num w:numId="22">
    <w:abstractNumId w:val="21"/>
  </w:num>
  <w:num w:numId="23">
    <w:abstractNumId w:val="17"/>
  </w:num>
  <w:num w:numId="24">
    <w:abstractNumId w:val="2"/>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288"/>
  <w:characterSpacingControl w:val="doNotCompress"/>
  <w:hdrShapeDefaults>
    <o:shapedefaults v:ext="edit" spidmax="10241">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2C44"/>
    <w:rsid w:val="000100B5"/>
    <w:rsid w:val="00016B19"/>
    <w:rsid w:val="00016CE1"/>
    <w:rsid w:val="000458BF"/>
    <w:rsid w:val="000630BF"/>
    <w:rsid w:val="00065EC6"/>
    <w:rsid w:val="00074F51"/>
    <w:rsid w:val="000752B7"/>
    <w:rsid w:val="00080916"/>
    <w:rsid w:val="000844A3"/>
    <w:rsid w:val="000875AA"/>
    <w:rsid w:val="0009027C"/>
    <w:rsid w:val="000919AD"/>
    <w:rsid w:val="0009694C"/>
    <w:rsid w:val="00097E0A"/>
    <w:rsid w:val="000A18D1"/>
    <w:rsid w:val="000A37F4"/>
    <w:rsid w:val="000B1869"/>
    <w:rsid w:val="000B21E4"/>
    <w:rsid w:val="000B3C09"/>
    <w:rsid w:val="000B73D5"/>
    <w:rsid w:val="000C1F1D"/>
    <w:rsid w:val="000C4C30"/>
    <w:rsid w:val="000C6CED"/>
    <w:rsid w:val="000D5A39"/>
    <w:rsid w:val="000E3C25"/>
    <w:rsid w:val="001052CC"/>
    <w:rsid w:val="00105F44"/>
    <w:rsid w:val="00111BC0"/>
    <w:rsid w:val="0011514C"/>
    <w:rsid w:val="001153F3"/>
    <w:rsid w:val="00123930"/>
    <w:rsid w:val="001311A2"/>
    <w:rsid w:val="00132B25"/>
    <w:rsid w:val="00133C41"/>
    <w:rsid w:val="00147962"/>
    <w:rsid w:val="00151278"/>
    <w:rsid w:val="00153850"/>
    <w:rsid w:val="00155E22"/>
    <w:rsid w:val="00157C81"/>
    <w:rsid w:val="001738D1"/>
    <w:rsid w:val="00174A0C"/>
    <w:rsid w:val="001861C3"/>
    <w:rsid w:val="00190779"/>
    <w:rsid w:val="001A227E"/>
    <w:rsid w:val="001A53AB"/>
    <w:rsid w:val="001C40BE"/>
    <w:rsid w:val="001C5BEB"/>
    <w:rsid w:val="001C746D"/>
    <w:rsid w:val="001D74A7"/>
    <w:rsid w:val="00214A17"/>
    <w:rsid w:val="00220278"/>
    <w:rsid w:val="00221AFE"/>
    <w:rsid w:val="00230013"/>
    <w:rsid w:val="00233A46"/>
    <w:rsid w:val="00234686"/>
    <w:rsid w:val="002353AB"/>
    <w:rsid w:val="002605BF"/>
    <w:rsid w:val="00271A3D"/>
    <w:rsid w:val="00272593"/>
    <w:rsid w:val="002920F5"/>
    <w:rsid w:val="00296920"/>
    <w:rsid w:val="002A1215"/>
    <w:rsid w:val="002A2B2D"/>
    <w:rsid w:val="002A58EC"/>
    <w:rsid w:val="002A5F03"/>
    <w:rsid w:val="002B3269"/>
    <w:rsid w:val="002B374D"/>
    <w:rsid w:val="002C2F20"/>
    <w:rsid w:val="002D1F6A"/>
    <w:rsid w:val="002D4430"/>
    <w:rsid w:val="002D5126"/>
    <w:rsid w:val="002D6C4A"/>
    <w:rsid w:val="002E20A8"/>
    <w:rsid w:val="002E36A2"/>
    <w:rsid w:val="002E3DDD"/>
    <w:rsid w:val="002E4910"/>
    <w:rsid w:val="002F15D3"/>
    <w:rsid w:val="00300CBF"/>
    <w:rsid w:val="003140E9"/>
    <w:rsid w:val="003241AC"/>
    <w:rsid w:val="003279EC"/>
    <w:rsid w:val="003301F5"/>
    <w:rsid w:val="00333F13"/>
    <w:rsid w:val="00336ABA"/>
    <w:rsid w:val="00337DDE"/>
    <w:rsid w:val="003422D5"/>
    <w:rsid w:val="0034708D"/>
    <w:rsid w:val="00347618"/>
    <w:rsid w:val="00352D87"/>
    <w:rsid w:val="00370430"/>
    <w:rsid w:val="00381B3C"/>
    <w:rsid w:val="00384F62"/>
    <w:rsid w:val="00387EAA"/>
    <w:rsid w:val="00391659"/>
    <w:rsid w:val="00394EF2"/>
    <w:rsid w:val="003950C2"/>
    <w:rsid w:val="003A1AD9"/>
    <w:rsid w:val="003A2DF8"/>
    <w:rsid w:val="003A6CF5"/>
    <w:rsid w:val="003A7292"/>
    <w:rsid w:val="003A7E56"/>
    <w:rsid w:val="003B2EC9"/>
    <w:rsid w:val="003C48F0"/>
    <w:rsid w:val="003D00AB"/>
    <w:rsid w:val="003D0BA8"/>
    <w:rsid w:val="003E00F8"/>
    <w:rsid w:val="003E4A0E"/>
    <w:rsid w:val="003E5D2F"/>
    <w:rsid w:val="0040082F"/>
    <w:rsid w:val="00411824"/>
    <w:rsid w:val="00421707"/>
    <w:rsid w:val="004222C7"/>
    <w:rsid w:val="004329C7"/>
    <w:rsid w:val="00432A46"/>
    <w:rsid w:val="00434CD1"/>
    <w:rsid w:val="004357A8"/>
    <w:rsid w:val="00436B97"/>
    <w:rsid w:val="00443FB3"/>
    <w:rsid w:val="00451800"/>
    <w:rsid w:val="00451C48"/>
    <w:rsid w:val="00451EB7"/>
    <w:rsid w:val="00457088"/>
    <w:rsid w:val="00466FA1"/>
    <w:rsid w:val="004741AB"/>
    <w:rsid w:val="00476446"/>
    <w:rsid w:val="00477E52"/>
    <w:rsid w:val="00480D8E"/>
    <w:rsid w:val="004A1706"/>
    <w:rsid w:val="004A2FB7"/>
    <w:rsid w:val="004A6679"/>
    <w:rsid w:val="004D5D79"/>
    <w:rsid w:val="004E2A32"/>
    <w:rsid w:val="00502CB1"/>
    <w:rsid w:val="005138B5"/>
    <w:rsid w:val="00515D53"/>
    <w:rsid w:val="00520ADD"/>
    <w:rsid w:val="005218FB"/>
    <w:rsid w:val="005257A4"/>
    <w:rsid w:val="00537274"/>
    <w:rsid w:val="005412F5"/>
    <w:rsid w:val="00543665"/>
    <w:rsid w:val="005461E2"/>
    <w:rsid w:val="00553E5D"/>
    <w:rsid w:val="00556EEF"/>
    <w:rsid w:val="005627EB"/>
    <w:rsid w:val="00575895"/>
    <w:rsid w:val="005A2C2E"/>
    <w:rsid w:val="005A6A2B"/>
    <w:rsid w:val="005B076E"/>
    <w:rsid w:val="005B66DE"/>
    <w:rsid w:val="005C1F6B"/>
    <w:rsid w:val="005C7204"/>
    <w:rsid w:val="005D7A23"/>
    <w:rsid w:val="005E12C3"/>
    <w:rsid w:val="005E67DF"/>
    <w:rsid w:val="005F5093"/>
    <w:rsid w:val="0060140D"/>
    <w:rsid w:val="00612EF7"/>
    <w:rsid w:val="00623E07"/>
    <w:rsid w:val="00634B1D"/>
    <w:rsid w:val="00635CD7"/>
    <w:rsid w:val="0064747C"/>
    <w:rsid w:val="00663F6E"/>
    <w:rsid w:val="0066558E"/>
    <w:rsid w:val="00665D6F"/>
    <w:rsid w:val="0066607F"/>
    <w:rsid w:val="006819A7"/>
    <w:rsid w:val="006852E9"/>
    <w:rsid w:val="00686BA6"/>
    <w:rsid w:val="006A6B4D"/>
    <w:rsid w:val="006B3FEB"/>
    <w:rsid w:val="006D2E3A"/>
    <w:rsid w:val="006E0043"/>
    <w:rsid w:val="006E32E1"/>
    <w:rsid w:val="006E5B6E"/>
    <w:rsid w:val="006F03FD"/>
    <w:rsid w:val="006F71FF"/>
    <w:rsid w:val="007025D2"/>
    <w:rsid w:val="0070482B"/>
    <w:rsid w:val="00706301"/>
    <w:rsid w:val="0070658E"/>
    <w:rsid w:val="00710968"/>
    <w:rsid w:val="00713D90"/>
    <w:rsid w:val="00727213"/>
    <w:rsid w:val="007315DD"/>
    <w:rsid w:val="00734736"/>
    <w:rsid w:val="00740663"/>
    <w:rsid w:val="00750253"/>
    <w:rsid w:val="00752E6A"/>
    <w:rsid w:val="0075431D"/>
    <w:rsid w:val="0075636F"/>
    <w:rsid w:val="00763876"/>
    <w:rsid w:val="0076653C"/>
    <w:rsid w:val="00770415"/>
    <w:rsid w:val="007859A1"/>
    <w:rsid w:val="007918D4"/>
    <w:rsid w:val="00794473"/>
    <w:rsid w:val="0079749B"/>
    <w:rsid w:val="007B4F39"/>
    <w:rsid w:val="007C4806"/>
    <w:rsid w:val="007D3F25"/>
    <w:rsid w:val="007E1086"/>
    <w:rsid w:val="007F075B"/>
    <w:rsid w:val="007F75F7"/>
    <w:rsid w:val="00804706"/>
    <w:rsid w:val="00806F84"/>
    <w:rsid w:val="00810350"/>
    <w:rsid w:val="00821399"/>
    <w:rsid w:val="00834121"/>
    <w:rsid w:val="0084077D"/>
    <w:rsid w:val="00840FFC"/>
    <w:rsid w:val="008422CE"/>
    <w:rsid w:val="00850006"/>
    <w:rsid w:val="00866055"/>
    <w:rsid w:val="00877E42"/>
    <w:rsid w:val="008820B4"/>
    <w:rsid w:val="008A016B"/>
    <w:rsid w:val="008A103E"/>
    <w:rsid w:val="008A12A2"/>
    <w:rsid w:val="008A47DF"/>
    <w:rsid w:val="008A765B"/>
    <w:rsid w:val="008B0F9A"/>
    <w:rsid w:val="008D2780"/>
    <w:rsid w:val="008D4F9D"/>
    <w:rsid w:val="008E219B"/>
    <w:rsid w:val="008E6EFA"/>
    <w:rsid w:val="00904DF6"/>
    <w:rsid w:val="00912A40"/>
    <w:rsid w:val="00913288"/>
    <w:rsid w:val="00916429"/>
    <w:rsid w:val="009206D5"/>
    <w:rsid w:val="00921512"/>
    <w:rsid w:val="00943D20"/>
    <w:rsid w:val="00954ECC"/>
    <w:rsid w:val="00961B88"/>
    <w:rsid w:val="00975842"/>
    <w:rsid w:val="00986AE7"/>
    <w:rsid w:val="009870DC"/>
    <w:rsid w:val="00992D41"/>
    <w:rsid w:val="0099702B"/>
    <w:rsid w:val="00997740"/>
    <w:rsid w:val="00997962"/>
    <w:rsid w:val="009A010F"/>
    <w:rsid w:val="009A12C8"/>
    <w:rsid w:val="009B2C3B"/>
    <w:rsid w:val="009B5A43"/>
    <w:rsid w:val="009C4CE3"/>
    <w:rsid w:val="009C5433"/>
    <w:rsid w:val="009D0020"/>
    <w:rsid w:val="009E4B02"/>
    <w:rsid w:val="009F02DA"/>
    <w:rsid w:val="009F0B88"/>
    <w:rsid w:val="009F76A0"/>
    <w:rsid w:val="00A01700"/>
    <w:rsid w:val="00A0558F"/>
    <w:rsid w:val="00A331D0"/>
    <w:rsid w:val="00A41BA5"/>
    <w:rsid w:val="00A41D4B"/>
    <w:rsid w:val="00A47BA4"/>
    <w:rsid w:val="00A47CF6"/>
    <w:rsid w:val="00A53ABE"/>
    <w:rsid w:val="00A6324A"/>
    <w:rsid w:val="00A712C2"/>
    <w:rsid w:val="00A76312"/>
    <w:rsid w:val="00A76ED3"/>
    <w:rsid w:val="00A8048D"/>
    <w:rsid w:val="00A84BDD"/>
    <w:rsid w:val="00A90EBA"/>
    <w:rsid w:val="00A90FA4"/>
    <w:rsid w:val="00A9237A"/>
    <w:rsid w:val="00AB0C32"/>
    <w:rsid w:val="00AB4309"/>
    <w:rsid w:val="00AB6E92"/>
    <w:rsid w:val="00AB787F"/>
    <w:rsid w:val="00AC4E51"/>
    <w:rsid w:val="00AC761D"/>
    <w:rsid w:val="00AD1214"/>
    <w:rsid w:val="00AD438D"/>
    <w:rsid w:val="00AD5117"/>
    <w:rsid w:val="00AD76AC"/>
    <w:rsid w:val="00AF38E4"/>
    <w:rsid w:val="00B11B7F"/>
    <w:rsid w:val="00B13DBA"/>
    <w:rsid w:val="00B17BAE"/>
    <w:rsid w:val="00B25FAA"/>
    <w:rsid w:val="00B263CB"/>
    <w:rsid w:val="00B27B09"/>
    <w:rsid w:val="00B31418"/>
    <w:rsid w:val="00B46AA2"/>
    <w:rsid w:val="00B51678"/>
    <w:rsid w:val="00B662BB"/>
    <w:rsid w:val="00B7230F"/>
    <w:rsid w:val="00B75B7F"/>
    <w:rsid w:val="00B80809"/>
    <w:rsid w:val="00B901B6"/>
    <w:rsid w:val="00B9051A"/>
    <w:rsid w:val="00B93444"/>
    <w:rsid w:val="00B94999"/>
    <w:rsid w:val="00BA2F6A"/>
    <w:rsid w:val="00BA44B8"/>
    <w:rsid w:val="00BA631C"/>
    <w:rsid w:val="00BB0CF9"/>
    <w:rsid w:val="00BB1AC2"/>
    <w:rsid w:val="00BD1796"/>
    <w:rsid w:val="00BD23A6"/>
    <w:rsid w:val="00C06A80"/>
    <w:rsid w:val="00C10CA9"/>
    <w:rsid w:val="00C16E67"/>
    <w:rsid w:val="00C3343D"/>
    <w:rsid w:val="00C3601F"/>
    <w:rsid w:val="00C43506"/>
    <w:rsid w:val="00C46026"/>
    <w:rsid w:val="00C47705"/>
    <w:rsid w:val="00C539C5"/>
    <w:rsid w:val="00C57710"/>
    <w:rsid w:val="00C57780"/>
    <w:rsid w:val="00C705D1"/>
    <w:rsid w:val="00C71C88"/>
    <w:rsid w:val="00C816C9"/>
    <w:rsid w:val="00C8273D"/>
    <w:rsid w:val="00C8382F"/>
    <w:rsid w:val="00C876F9"/>
    <w:rsid w:val="00C9173B"/>
    <w:rsid w:val="00C91B48"/>
    <w:rsid w:val="00C942F4"/>
    <w:rsid w:val="00C96EF9"/>
    <w:rsid w:val="00CA0082"/>
    <w:rsid w:val="00CA7A57"/>
    <w:rsid w:val="00CB0845"/>
    <w:rsid w:val="00CB11D7"/>
    <w:rsid w:val="00CB5536"/>
    <w:rsid w:val="00CC08F1"/>
    <w:rsid w:val="00CC7DEC"/>
    <w:rsid w:val="00CE14F3"/>
    <w:rsid w:val="00CF79A7"/>
    <w:rsid w:val="00D00BB2"/>
    <w:rsid w:val="00D06A16"/>
    <w:rsid w:val="00D13E46"/>
    <w:rsid w:val="00D175B6"/>
    <w:rsid w:val="00D2330B"/>
    <w:rsid w:val="00D2699F"/>
    <w:rsid w:val="00D27FDA"/>
    <w:rsid w:val="00D50D82"/>
    <w:rsid w:val="00D51DCB"/>
    <w:rsid w:val="00D52A67"/>
    <w:rsid w:val="00D54BDF"/>
    <w:rsid w:val="00D61506"/>
    <w:rsid w:val="00D86671"/>
    <w:rsid w:val="00D87B59"/>
    <w:rsid w:val="00D947B7"/>
    <w:rsid w:val="00D978D3"/>
    <w:rsid w:val="00DA073B"/>
    <w:rsid w:val="00DA7A81"/>
    <w:rsid w:val="00DB30C1"/>
    <w:rsid w:val="00DC27E8"/>
    <w:rsid w:val="00DC33D6"/>
    <w:rsid w:val="00DD26B2"/>
    <w:rsid w:val="00DD3A63"/>
    <w:rsid w:val="00DE394F"/>
    <w:rsid w:val="00DE746A"/>
    <w:rsid w:val="00E27B50"/>
    <w:rsid w:val="00E31205"/>
    <w:rsid w:val="00E32BBE"/>
    <w:rsid w:val="00E33FD2"/>
    <w:rsid w:val="00E35ED7"/>
    <w:rsid w:val="00E447AE"/>
    <w:rsid w:val="00E67377"/>
    <w:rsid w:val="00E7203C"/>
    <w:rsid w:val="00E76049"/>
    <w:rsid w:val="00E824E5"/>
    <w:rsid w:val="00E93850"/>
    <w:rsid w:val="00E9473A"/>
    <w:rsid w:val="00EB12E6"/>
    <w:rsid w:val="00EB49FE"/>
    <w:rsid w:val="00EC07CD"/>
    <w:rsid w:val="00EC436C"/>
    <w:rsid w:val="00EC5630"/>
    <w:rsid w:val="00ED104D"/>
    <w:rsid w:val="00ED4B79"/>
    <w:rsid w:val="00EE583F"/>
    <w:rsid w:val="00EE7FFB"/>
    <w:rsid w:val="00EF4243"/>
    <w:rsid w:val="00F028C8"/>
    <w:rsid w:val="00F106BE"/>
    <w:rsid w:val="00F1611C"/>
    <w:rsid w:val="00F24AF1"/>
    <w:rsid w:val="00F260D9"/>
    <w:rsid w:val="00F26909"/>
    <w:rsid w:val="00F27775"/>
    <w:rsid w:val="00F30B0F"/>
    <w:rsid w:val="00F328E3"/>
    <w:rsid w:val="00F43F68"/>
    <w:rsid w:val="00F445F2"/>
    <w:rsid w:val="00F46653"/>
    <w:rsid w:val="00F54039"/>
    <w:rsid w:val="00F557C7"/>
    <w:rsid w:val="00F654CC"/>
    <w:rsid w:val="00F665EC"/>
    <w:rsid w:val="00F67303"/>
    <w:rsid w:val="00F726CD"/>
    <w:rsid w:val="00F72C4D"/>
    <w:rsid w:val="00F86AF4"/>
    <w:rsid w:val="00FB44D1"/>
    <w:rsid w:val="00FB549F"/>
    <w:rsid w:val="00FC3301"/>
    <w:rsid w:val="00FC44EE"/>
    <w:rsid w:val="00FC61F1"/>
    <w:rsid w:val="00FD43EF"/>
    <w:rsid w:val="00FD502D"/>
    <w:rsid w:val="00FE6633"/>
    <w:rsid w:val="00FE6B5F"/>
    <w:rsid w:val="00FF0DBF"/>
    <w:rsid w:val="00FF5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colormenu v:ext="edit" fillcolor="none"/>
    </o:shapedefaults>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paragraph" w:styleId="CommentText">
    <w:name w:val="annotation text"/>
    <w:basedOn w:val="Normal"/>
    <w:link w:val="CommentTextChar"/>
    <w:uiPriority w:val="99"/>
    <w:semiHidden/>
    <w:unhideWhenUsed/>
    <w:rsid w:val="008A12A2"/>
    <w:rPr>
      <w:sz w:val="20"/>
      <w:szCs w:val="20"/>
    </w:rPr>
  </w:style>
  <w:style w:type="character" w:customStyle="1" w:styleId="CommentTextChar">
    <w:name w:val="Comment Text Char"/>
    <w:basedOn w:val="DefaultParagraphFont"/>
    <w:link w:val="CommentText"/>
    <w:uiPriority w:val="99"/>
    <w:semiHidden/>
    <w:rsid w:val="008A12A2"/>
    <w:rPr>
      <w:sz w:val="20"/>
      <w:szCs w:val="20"/>
    </w:rPr>
  </w:style>
  <w:style w:type="character" w:styleId="CommentReference">
    <w:name w:val="annotation reference"/>
    <w:basedOn w:val="DefaultParagraphFont"/>
    <w:uiPriority w:val="99"/>
    <w:semiHidden/>
    <w:unhideWhenUsed/>
    <w:rsid w:val="008A12A2"/>
    <w:rPr>
      <w:sz w:val="16"/>
      <w:szCs w:val="16"/>
    </w:rPr>
  </w:style>
  <w:style w:type="paragraph" w:styleId="BalloonText">
    <w:name w:val="Balloon Text"/>
    <w:basedOn w:val="Normal"/>
    <w:link w:val="BalloonTextChar"/>
    <w:uiPriority w:val="99"/>
    <w:semiHidden/>
    <w:unhideWhenUsed/>
    <w:rsid w:val="008A12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2A2"/>
    <w:rPr>
      <w:rFonts w:ascii="Segoe UI" w:hAnsi="Segoe UI" w:cs="Segoe UI"/>
      <w:sz w:val="18"/>
      <w:szCs w:val="18"/>
    </w:rPr>
  </w:style>
  <w:style w:type="paragraph" w:styleId="FootnoteText">
    <w:name w:val="footnote text"/>
    <w:basedOn w:val="Normal"/>
    <w:link w:val="FootnoteTextChar"/>
    <w:uiPriority w:val="99"/>
    <w:semiHidden/>
    <w:unhideWhenUsed/>
    <w:rsid w:val="00E76049"/>
    <w:rPr>
      <w:sz w:val="20"/>
      <w:szCs w:val="20"/>
    </w:rPr>
  </w:style>
  <w:style w:type="character" w:customStyle="1" w:styleId="FootnoteTextChar">
    <w:name w:val="Footnote Text Char"/>
    <w:basedOn w:val="DefaultParagraphFont"/>
    <w:link w:val="FootnoteText"/>
    <w:uiPriority w:val="99"/>
    <w:semiHidden/>
    <w:rsid w:val="00E76049"/>
    <w:rPr>
      <w:sz w:val="20"/>
      <w:szCs w:val="20"/>
    </w:rPr>
  </w:style>
  <w:style w:type="character" w:styleId="FootnoteReference">
    <w:name w:val="footnote reference"/>
    <w:basedOn w:val="DefaultParagraphFont"/>
    <w:uiPriority w:val="99"/>
    <w:semiHidden/>
    <w:unhideWhenUsed/>
    <w:rsid w:val="007D3F25"/>
    <w:rPr>
      <w:vertAlign w:val="superscript"/>
    </w:rPr>
  </w:style>
  <w:style w:type="paragraph" w:customStyle="1" w:styleId="para15">
    <w:name w:val="para 1.5"/>
    <w:basedOn w:val="Normal"/>
    <w:qFormat/>
    <w:rsid w:val="006E0043"/>
    <w:pPr>
      <w:spacing w:line="360" w:lineRule="auto"/>
    </w:pPr>
  </w:style>
  <w:style w:type="character" w:styleId="UnresolvedMention">
    <w:name w:val="Unresolved Mention"/>
    <w:basedOn w:val="DefaultParagraphFont"/>
    <w:uiPriority w:val="99"/>
    <w:semiHidden/>
    <w:unhideWhenUsed/>
    <w:rsid w:val="003B2EC9"/>
    <w:rPr>
      <w:color w:val="605E5C"/>
      <w:shd w:val="clear" w:color="auto" w:fill="E1DFDD"/>
    </w:rPr>
  </w:style>
  <w:style w:type="character" w:styleId="FollowedHyperlink">
    <w:name w:val="FollowedHyperlink"/>
    <w:basedOn w:val="DefaultParagraphFont"/>
    <w:uiPriority w:val="99"/>
    <w:semiHidden/>
    <w:unhideWhenUsed/>
    <w:rsid w:val="000C4C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143218">
      <w:bodyDiv w:val="1"/>
      <w:marLeft w:val="0"/>
      <w:marRight w:val="0"/>
      <w:marTop w:val="0"/>
      <w:marBottom w:val="0"/>
      <w:divBdr>
        <w:top w:val="none" w:sz="0" w:space="0" w:color="auto"/>
        <w:left w:val="none" w:sz="0" w:space="0" w:color="auto"/>
        <w:bottom w:val="none" w:sz="0" w:space="0" w:color="auto"/>
        <w:right w:val="none" w:sz="0" w:space="0" w:color="auto"/>
      </w:divBdr>
    </w:div>
    <w:div w:id="499590346">
      <w:bodyDiv w:val="1"/>
      <w:marLeft w:val="0"/>
      <w:marRight w:val="0"/>
      <w:marTop w:val="0"/>
      <w:marBottom w:val="0"/>
      <w:divBdr>
        <w:top w:val="none" w:sz="0" w:space="0" w:color="auto"/>
        <w:left w:val="none" w:sz="0" w:space="0" w:color="auto"/>
        <w:bottom w:val="none" w:sz="0" w:space="0" w:color="auto"/>
        <w:right w:val="none" w:sz="0" w:space="0" w:color="auto"/>
      </w:divBdr>
    </w:div>
    <w:div w:id="741568036">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779885010">
      <w:bodyDiv w:val="1"/>
      <w:marLeft w:val="0"/>
      <w:marRight w:val="0"/>
      <w:marTop w:val="0"/>
      <w:marBottom w:val="0"/>
      <w:divBdr>
        <w:top w:val="none" w:sz="0" w:space="0" w:color="auto"/>
        <w:left w:val="none" w:sz="0" w:space="0" w:color="auto"/>
        <w:bottom w:val="none" w:sz="0" w:space="0" w:color="auto"/>
        <w:right w:val="none" w:sz="0" w:space="0" w:color="auto"/>
      </w:divBdr>
    </w:div>
    <w:div w:id="914901380">
      <w:bodyDiv w:val="1"/>
      <w:marLeft w:val="0"/>
      <w:marRight w:val="0"/>
      <w:marTop w:val="0"/>
      <w:marBottom w:val="0"/>
      <w:divBdr>
        <w:top w:val="none" w:sz="0" w:space="0" w:color="auto"/>
        <w:left w:val="none" w:sz="0" w:space="0" w:color="auto"/>
        <w:bottom w:val="none" w:sz="0" w:space="0" w:color="auto"/>
        <w:right w:val="none" w:sz="0" w:space="0" w:color="auto"/>
      </w:divBdr>
    </w:div>
    <w:div w:id="1369531535">
      <w:bodyDiv w:val="1"/>
      <w:marLeft w:val="0"/>
      <w:marRight w:val="0"/>
      <w:marTop w:val="0"/>
      <w:marBottom w:val="0"/>
      <w:divBdr>
        <w:top w:val="none" w:sz="0" w:space="0" w:color="auto"/>
        <w:left w:val="none" w:sz="0" w:space="0" w:color="auto"/>
        <w:bottom w:val="none" w:sz="0" w:space="0" w:color="auto"/>
        <w:right w:val="none" w:sz="0" w:space="0" w:color="auto"/>
      </w:divBdr>
    </w:div>
    <w:div w:id="1819808543">
      <w:bodyDiv w:val="1"/>
      <w:marLeft w:val="0"/>
      <w:marRight w:val="0"/>
      <w:marTop w:val="0"/>
      <w:marBottom w:val="0"/>
      <w:divBdr>
        <w:top w:val="none" w:sz="0" w:space="0" w:color="auto"/>
        <w:left w:val="none" w:sz="0" w:space="0" w:color="auto"/>
        <w:bottom w:val="none" w:sz="0" w:space="0" w:color="auto"/>
        <w:right w:val="none" w:sz="0" w:space="0" w:color="auto"/>
      </w:divBdr>
    </w:div>
    <w:div w:id="2095584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fas.org/sgp/crs/misc/R44580.pdf" TargetMode="External"/><Relationship Id="rId13" Type="http://schemas.openxmlformats.org/officeDocument/2006/relationships/hyperlink" Target="https://www.nysenate.gov/legislation/bills/2017/s7797/amendment/original" TargetMode="External"/><Relationship Id="rId3" Type="http://schemas.openxmlformats.org/officeDocument/2006/relationships/hyperlink" Target="https://www.ncsl.org/research/labor-and-employment/covid-19-workers-compensation.aspx" TargetMode="External"/><Relationship Id="rId7" Type="http://schemas.openxmlformats.org/officeDocument/2006/relationships/hyperlink" Target="https://www.ncci.com/Articles/Pages/COVID-19.aspx" TargetMode="External"/><Relationship Id="rId12" Type="http://schemas.openxmlformats.org/officeDocument/2006/relationships/hyperlink" Target="https://fas.org/sgp/crs/misc/R42107.pdf" TargetMode="External"/><Relationship Id="rId2" Type="http://schemas.openxmlformats.org/officeDocument/2006/relationships/hyperlink" Target="https://www.ncsl.org/research/labor-and-employment/covid-19-workers-compensation.aspx" TargetMode="External"/><Relationship Id="rId1" Type="http://schemas.openxmlformats.org/officeDocument/2006/relationships/hyperlink" Target="https://doi.org/10.2105/AJPH.2018.304534" TargetMode="External"/><Relationship Id="rId6" Type="http://schemas.openxmlformats.org/officeDocument/2006/relationships/hyperlink" Target="https://www.ncsl.org/research/labor-and-employment/covid-19-workers-compensation.aspx" TargetMode="External"/><Relationship Id="rId11" Type="http://schemas.openxmlformats.org/officeDocument/2006/relationships/hyperlink" Target="https://www.emacweb.org/index.php/learn-about-emac/emac-reimbursement-process" TargetMode="External"/><Relationship Id="rId5" Type="http://schemas.openxmlformats.org/officeDocument/2006/relationships/hyperlink" Target="https://www.ncsl.org/research/labor-and-employment/covid-19-workers-compensation.aspx" TargetMode="External"/><Relationship Id="rId10" Type="http://schemas.openxmlformats.org/officeDocument/2006/relationships/hyperlink" Target="https://fas.org/sgp/crs/misc/R44580.pdf" TargetMode="External"/><Relationship Id="rId4" Type="http://schemas.openxmlformats.org/officeDocument/2006/relationships/hyperlink" Target="https://www.ncsl.org/research/labor-and-employment/covid-19-workers-compensation.aspx" TargetMode="External"/><Relationship Id="rId9" Type="http://schemas.openxmlformats.org/officeDocument/2006/relationships/hyperlink" Target="https://www.nasi.org/research/2019/report-workers%E2%80%99-compensation-benefits-costs-coverage-%E2%80%93-2017" TargetMode="External"/><Relationship Id="rId14" Type="http://schemas.openxmlformats.org/officeDocument/2006/relationships/hyperlink" Target="https://www.uniformlaws.org/committees/community-home?CommunityKey=565933ce-965f-4d3c-9c90-b00246f30f2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A2B60-CF41-4477-8EB9-0D0997005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9</Pages>
  <Words>2690</Words>
  <Characters>15336</Characters>
  <Application>Microsoft Office Word</Application>
  <DocSecurity>0</DocSecurity>
  <Lines>127</Lines>
  <Paragraphs>35</Paragraphs>
  <ScaleCrop>false</ScaleCrop>
  <Company/>
  <LinksUpToDate>false</LinksUpToDate>
  <CharactersWithSpaces>17991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145</cp:revision>
  <dcterms:created xsi:type="dcterms:W3CDTF">2020-08-04T02:42:00Z</dcterms:created>
  <dcterms:modified xsi:type="dcterms:W3CDTF">2020-08-08T00:00:00Z</dcterms:modified>
</cp:coreProperties>
</file>