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2429EE3" w14:textId="24CE35BF" w:rsidR="00B75B7F" w:rsidRPr="00C5100D" w:rsidRDefault="00C5100D" w:rsidP="00C5100D">
      <w:pPr>
        <w:spacing w:after="100" w:afterAutospacing="1"/>
        <w:jc w:val="center"/>
        <w:rPr>
          <w:b/>
          <w:bCs/>
          <w:sz w:val="24"/>
          <w:szCs w:val="24"/>
        </w:rPr>
      </w:pPr>
      <w:r w:rsidRPr="00C5100D">
        <w:rPr>
          <w:b/>
          <w:bCs/>
          <w:sz w:val="24"/>
          <w:szCs w:val="24"/>
        </w:rPr>
        <w:t xml:space="preserve">EMERGENCY AUTHORITIES </w:t>
      </w:r>
      <w:r w:rsidR="00CA1004">
        <w:rPr>
          <w:b/>
          <w:bCs/>
          <w:sz w:val="24"/>
          <w:szCs w:val="24"/>
        </w:rPr>
        <w:t>&amp;</w:t>
      </w:r>
      <w:r w:rsidRPr="00C5100D">
        <w:rPr>
          <w:b/>
          <w:bCs/>
          <w:sz w:val="24"/>
          <w:szCs w:val="24"/>
        </w:rPr>
        <w:t xml:space="preserve"> SYSTEMS</w:t>
      </w:r>
      <w:r w:rsidR="00CA1004">
        <w:rPr>
          <w:b/>
          <w:bCs/>
          <w:sz w:val="24"/>
          <w:szCs w:val="24"/>
        </w:rPr>
        <w:t xml:space="preserve"> TOOLKIT</w:t>
      </w:r>
    </w:p>
    <w:p w14:paraId="19B56E1F" w14:textId="77777777" w:rsidR="004531F5" w:rsidRDefault="00C5100D" w:rsidP="004531F5">
      <w:pPr>
        <w:jc w:val="center"/>
        <w:rPr>
          <w:b/>
          <w:bCs/>
          <w:sz w:val="24"/>
          <w:szCs w:val="24"/>
        </w:rPr>
      </w:pPr>
      <w:r w:rsidRPr="00C5100D">
        <w:rPr>
          <w:b/>
          <w:bCs/>
          <w:sz w:val="24"/>
          <w:szCs w:val="24"/>
        </w:rPr>
        <w:t>EXECUTIVE SUMMARY</w:t>
      </w:r>
    </w:p>
    <w:p w14:paraId="395481A2" w14:textId="2C1CD648" w:rsidR="004531F5" w:rsidRDefault="004531F5" w:rsidP="004531F5">
      <w:pPr>
        <w:jc w:val="center"/>
        <w:rPr>
          <w:b/>
          <w:bCs/>
          <w:sz w:val="24"/>
          <w:szCs w:val="24"/>
        </w:rPr>
      </w:pPr>
    </w:p>
    <w:p w14:paraId="4101956A" w14:textId="759308EC" w:rsidR="00CA1004" w:rsidRDefault="00CA1004" w:rsidP="00CA1004">
      <w:pPr>
        <w:spacing w:line="360" w:lineRule="auto"/>
        <w:ind w:left="576"/>
        <w:rPr>
          <w:b/>
          <w:bCs/>
          <w:sz w:val="24"/>
          <w:szCs w:val="24"/>
        </w:rPr>
      </w:pPr>
      <w:r w:rsidRPr="00CF24F3">
        <w:rPr>
          <w:b/>
          <w:bCs/>
          <w:i/>
          <w:iCs/>
        </w:rPr>
        <w:t>Notice to readers</w:t>
      </w:r>
      <w:r w:rsidRPr="007747E2">
        <w:rPr>
          <w:i/>
          <w:iCs/>
        </w:rPr>
        <w:t xml:space="preserve">: </w:t>
      </w:r>
      <w:r w:rsidRPr="00420287">
        <w:rPr>
          <w:i/>
          <w:iCs/>
        </w:rPr>
        <w:t xml:space="preserve">The COVID-19 pandemic has prompted the unprecedented widespread implementation of public health emergency legal authorities and programs. Because of the evolving nature of COVID-19 </w:t>
      </w:r>
      <w:r>
        <w:rPr>
          <w:i/>
          <w:iCs/>
        </w:rPr>
        <w:t>and other future public health emergencies</w:t>
      </w:r>
      <w:r w:rsidRPr="00420287">
        <w:rPr>
          <w:i/>
          <w:iCs/>
        </w:rPr>
        <w:t xml:space="preserve">, the description, interpretation, and ultimate efficacy of the legal authorities and programs </w:t>
      </w:r>
      <w:r>
        <w:rPr>
          <w:i/>
          <w:iCs/>
        </w:rPr>
        <w:t>discussed</w:t>
      </w:r>
      <w:r w:rsidRPr="00420287">
        <w:rPr>
          <w:i/>
          <w:iCs/>
        </w:rPr>
        <w:t xml:space="preserve"> </w:t>
      </w:r>
      <w:r>
        <w:rPr>
          <w:i/>
          <w:iCs/>
        </w:rPr>
        <w:t>here</w:t>
      </w:r>
      <w:r w:rsidRPr="00420287">
        <w:rPr>
          <w:i/>
          <w:iCs/>
        </w:rPr>
        <w:t xml:space="preserve"> may </w:t>
      </w:r>
      <w:r>
        <w:rPr>
          <w:i/>
          <w:iCs/>
        </w:rPr>
        <w:t xml:space="preserve">have changed since this document was created in </w:t>
      </w:r>
      <w:r w:rsidR="009A173D">
        <w:rPr>
          <w:i/>
          <w:iCs/>
        </w:rPr>
        <w:t>May 2020</w:t>
      </w:r>
      <w:r>
        <w:rPr>
          <w:i/>
          <w:iCs/>
        </w:rPr>
        <w:t>.</w:t>
      </w:r>
    </w:p>
    <w:p w14:paraId="59482D60" w14:textId="77777777" w:rsidR="00CA1004" w:rsidRDefault="00CA1004" w:rsidP="004531F5">
      <w:pPr>
        <w:jc w:val="center"/>
        <w:rPr>
          <w:b/>
          <w:bCs/>
          <w:sz w:val="24"/>
          <w:szCs w:val="24"/>
        </w:rPr>
      </w:pPr>
    </w:p>
    <w:p w14:paraId="3D1FEEA8" w14:textId="732D24C6" w:rsidR="006F2D7C" w:rsidRDefault="004531F5" w:rsidP="004531F5">
      <w:pPr>
        <w:spacing w:line="360" w:lineRule="auto"/>
        <w:rPr>
          <w:rFonts w:ascii="Calibri" w:eastAsia="Times New Roman" w:hAnsi="Calibri" w:cs="Calibri"/>
          <w:szCs w:val="20"/>
        </w:rPr>
      </w:pPr>
      <w:r>
        <w:rPr>
          <w:rFonts w:ascii="Calibri" w:eastAsia="Times New Roman" w:hAnsi="Calibri" w:cs="Calibri"/>
          <w:szCs w:val="20"/>
        </w:rPr>
        <w:t>This document provides a</w:t>
      </w:r>
      <w:r w:rsidR="00E251A5">
        <w:rPr>
          <w:rFonts w:ascii="Calibri" w:eastAsia="Times New Roman" w:hAnsi="Calibri" w:cs="Calibri"/>
          <w:szCs w:val="20"/>
        </w:rPr>
        <w:t>n</w:t>
      </w:r>
      <w:r>
        <w:rPr>
          <w:rFonts w:ascii="Calibri" w:eastAsia="Times New Roman" w:hAnsi="Calibri" w:cs="Calibri"/>
          <w:szCs w:val="20"/>
        </w:rPr>
        <w:t xml:space="preserve"> overview of important concepts related to emergency </w:t>
      </w:r>
      <w:r w:rsidR="00A66B85">
        <w:rPr>
          <w:rFonts w:ascii="Calibri" w:eastAsia="Times New Roman" w:hAnsi="Calibri" w:cs="Calibri"/>
          <w:szCs w:val="20"/>
        </w:rPr>
        <w:t xml:space="preserve">legal </w:t>
      </w:r>
      <w:r>
        <w:rPr>
          <w:rFonts w:ascii="Calibri" w:eastAsia="Times New Roman" w:hAnsi="Calibri" w:cs="Calibri"/>
          <w:szCs w:val="20"/>
        </w:rPr>
        <w:t>authorities</w:t>
      </w:r>
      <w:r w:rsidR="0011008D">
        <w:rPr>
          <w:rFonts w:ascii="Calibri" w:eastAsia="Times New Roman" w:hAnsi="Calibri" w:cs="Calibri"/>
          <w:szCs w:val="20"/>
        </w:rPr>
        <w:t xml:space="preserve"> and </w:t>
      </w:r>
      <w:r w:rsidR="00A66B85">
        <w:rPr>
          <w:rFonts w:ascii="Calibri" w:eastAsia="Times New Roman" w:hAnsi="Calibri" w:cs="Calibri"/>
          <w:szCs w:val="20"/>
        </w:rPr>
        <w:t xml:space="preserve">preparedness and response systems </w:t>
      </w:r>
      <w:r w:rsidR="0011008D">
        <w:rPr>
          <w:rFonts w:ascii="Calibri" w:eastAsia="Times New Roman" w:hAnsi="Calibri" w:cs="Calibri"/>
          <w:szCs w:val="20"/>
        </w:rPr>
        <w:t xml:space="preserve">to address emergencies. </w:t>
      </w:r>
      <w:r w:rsidR="006F2D7C">
        <w:rPr>
          <w:rFonts w:ascii="Calibri" w:eastAsia="Times New Roman" w:hAnsi="Calibri" w:cs="Calibri"/>
          <w:szCs w:val="20"/>
        </w:rPr>
        <w:t>It covers:</w:t>
      </w:r>
    </w:p>
    <w:p w14:paraId="41B57125" w14:textId="54AA215B" w:rsidR="006F2D7C" w:rsidRPr="009D50BB" w:rsidRDefault="009D50BB" w:rsidP="009D50BB">
      <w:pPr>
        <w:pStyle w:val="ListParagraph"/>
        <w:numPr>
          <w:ilvl w:val="0"/>
          <w:numId w:val="7"/>
        </w:numPr>
        <w:spacing w:line="360" w:lineRule="auto"/>
        <w:rPr>
          <w:rFonts w:ascii="Calibri" w:eastAsia="Times New Roman" w:hAnsi="Calibri" w:cs="Calibri"/>
          <w:szCs w:val="20"/>
        </w:rPr>
      </w:pPr>
      <w:r w:rsidRPr="009D50BB">
        <w:rPr>
          <w:rFonts w:ascii="Calibri" w:eastAsia="Times New Roman" w:hAnsi="Calibri" w:cs="Calibri"/>
          <w:szCs w:val="20"/>
        </w:rPr>
        <w:t>Federal,</w:t>
      </w:r>
      <w:r w:rsidR="00F17081" w:rsidRPr="009D50BB">
        <w:rPr>
          <w:rFonts w:ascii="Calibri" w:eastAsia="Times New Roman" w:hAnsi="Calibri" w:cs="Calibri"/>
          <w:szCs w:val="20"/>
        </w:rPr>
        <w:t xml:space="preserve"> s</w:t>
      </w:r>
      <w:r w:rsidR="008477EA" w:rsidRPr="009D50BB">
        <w:rPr>
          <w:rFonts w:ascii="Calibri" w:eastAsia="Times New Roman" w:hAnsi="Calibri" w:cs="Calibri"/>
          <w:szCs w:val="20"/>
        </w:rPr>
        <w:t xml:space="preserve">tate, tribal, local </w:t>
      </w:r>
      <w:r w:rsidR="00F17081" w:rsidRPr="009D50BB">
        <w:rPr>
          <w:rFonts w:ascii="Calibri" w:eastAsia="Times New Roman" w:hAnsi="Calibri" w:cs="Calibri"/>
          <w:szCs w:val="20"/>
        </w:rPr>
        <w:t>and</w:t>
      </w:r>
      <w:r w:rsidR="008477EA" w:rsidRPr="009D50BB">
        <w:rPr>
          <w:rFonts w:ascii="Calibri" w:eastAsia="Times New Roman" w:hAnsi="Calibri" w:cs="Calibri"/>
          <w:szCs w:val="20"/>
        </w:rPr>
        <w:t xml:space="preserve"> territorial emergency authorities</w:t>
      </w:r>
    </w:p>
    <w:p w14:paraId="1DCE86B6" w14:textId="12693883" w:rsidR="009D50BB" w:rsidRPr="009D50BB" w:rsidRDefault="009D50BB" w:rsidP="009D50BB">
      <w:pPr>
        <w:pStyle w:val="ListParagraph"/>
        <w:numPr>
          <w:ilvl w:val="0"/>
          <w:numId w:val="7"/>
        </w:numPr>
        <w:spacing w:line="360" w:lineRule="auto"/>
        <w:rPr>
          <w:rFonts w:ascii="Calibri" w:eastAsia="Times New Roman" w:hAnsi="Calibri" w:cs="Calibri"/>
          <w:szCs w:val="20"/>
        </w:rPr>
      </w:pPr>
      <w:r w:rsidRPr="009D50BB">
        <w:rPr>
          <w:rFonts w:ascii="Calibri" w:eastAsia="Times New Roman" w:hAnsi="Calibri" w:cs="Calibri"/>
          <w:szCs w:val="20"/>
        </w:rPr>
        <w:t>Liability, immunity and workers’ compensation considerations</w:t>
      </w:r>
    </w:p>
    <w:p w14:paraId="75452953" w14:textId="6F015C3F" w:rsidR="009D50BB" w:rsidRPr="009D50BB" w:rsidRDefault="009D50BB" w:rsidP="009D50BB">
      <w:pPr>
        <w:pStyle w:val="ListParagraph"/>
        <w:numPr>
          <w:ilvl w:val="0"/>
          <w:numId w:val="7"/>
        </w:numPr>
        <w:spacing w:line="360" w:lineRule="auto"/>
        <w:rPr>
          <w:rFonts w:ascii="Calibri" w:eastAsia="Times New Roman" w:hAnsi="Calibri" w:cs="Calibri"/>
          <w:szCs w:val="20"/>
        </w:rPr>
      </w:pPr>
      <w:r w:rsidRPr="009D50BB">
        <w:rPr>
          <w:rFonts w:ascii="Calibri" w:eastAsia="Times New Roman" w:hAnsi="Calibri" w:cs="Calibri"/>
          <w:szCs w:val="20"/>
        </w:rPr>
        <w:t xml:space="preserve">Mutual </w:t>
      </w:r>
      <w:r>
        <w:rPr>
          <w:rFonts w:ascii="Calibri" w:eastAsia="Times New Roman" w:hAnsi="Calibri" w:cs="Calibri"/>
          <w:szCs w:val="20"/>
        </w:rPr>
        <w:t>a</w:t>
      </w:r>
      <w:r w:rsidRPr="009D50BB">
        <w:rPr>
          <w:rFonts w:ascii="Calibri" w:eastAsia="Times New Roman" w:hAnsi="Calibri" w:cs="Calibri"/>
          <w:szCs w:val="20"/>
        </w:rPr>
        <w:t>id</w:t>
      </w:r>
      <w:r>
        <w:rPr>
          <w:rFonts w:ascii="Calibri" w:eastAsia="Times New Roman" w:hAnsi="Calibri" w:cs="Calibri"/>
          <w:szCs w:val="20"/>
        </w:rPr>
        <w:t xml:space="preserve"> agreements</w:t>
      </w:r>
    </w:p>
    <w:p w14:paraId="4B7E8D0E" w14:textId="7E473BD7" w:rsidR="00BC079F" w:rsidRDefault="00BC079F" w:rsidP="004531F5">
      <w:pPr>
        <w:spacing w:line="360" w:lineRule="auto"/>
        <w:rPr>
          <w:rFonts w:eastAsia="Times New Roman" w:cstheme="minorHAnsi"/>
          <w:szCs w:val="20"/>
        </w:rPr>
      </w:pPr>
      <w:r w:rsidRPr="00BC079F">
        <w:rPr>
          <w:rFonts w:eastAsia="Times New Roman" w:cstheme="minorHAnsi"/>
          <w:szCs w:val="20"/>
        </w:rPr>
        <w:t xml:space="preserve">More information about these and other related concepts are contained in Emergency Authorities </w:t>
      </w:r>
      <w:r w:rsidR="00385AE8">
        <w:rPr>
          <w:rFonts w:eastAsia="Times New Roman" w:cstheme="minorHAnsi"/>
          <w:szCs w:val="20"/>
        </w:rPr>
        <w:t>&amp;</w:t>
      </w:r>
      <w:r w:rsidRPr="00BC079F">
        <w:rPr>
          <w:rFonts w:eastAsia="Times New Roman" w:cstheme="minorHAnsi"/>
          <w:szCs w:val="20"/>
        </w:rPr>
        <w:t xml:space="preserve"> Systems Toolkit.</w:t>
      </w:r>
    </w:p>
    <w:p w14:paraId="1221F0B1" w14:textId="77777777" w:rsidR="00BC079F" w:rsidRDefault="00BC079F" w:rsidP="004531F5">
      <w:pPr>
        <w:spacing w:line="360" w:lineRule="auto"/>
        <w:rPr>
          <w:rFonts w:eastAsia="Times New Roman" w:cstheme="minorHAnsi"/>
          <w:szCs w:val="20"/>
        </w:rPr>
      </w:pPr>
    </w:p>
    <w:p w14:paraId="553AD3E0" w14:textId="482FC8EA" w:rsidR="006F2D7C" w:rsidRPr="000A4C42" w:rsidRDefault="00D62DB2" w:rsidP="004531F5">
      <w:pPr>
        <w:spacing w:line="360" w:lineRule="auto"/>
        <w:rPr>
          <w:rFonts w:eastAsia="Times New Roman" w:cstheme="minorHAnsi"/>
          <w:b/>
          <w:bCs/>
          <w:sz w:val="24"/>
        </w:rPr>
      </w:pPr>
      <w:r>
        <w:rPr>
          <w:rFonts w:eastAsia="Times New Roman" w:cstheme="minorHAnsi"/>
          <w:b/>
          <w:bCs/>
          <w:sz w:val="24"/>
        </w:rPr>
        <w:t>S</w:t>
      </w:r>
      <w:r w:rsidRPr="00D62DB2">
        <w:rPr>
          <w:rFonts w:eastAsia="Times New Roman" w:cstheme="minorHAnsi"/>
          <w:b/>
          <w:bCs/>
          <w:sz w:val="24"/>
        </w:rPr>
        <w:t xml:space="preserve">tate, </w:t>
      </w:r>
      <w:r>
        <w:rPr>
          <w:rFonts w:eastAsia="Times New Roman" w:cstheme="minorHAnsi"/>
          <w:b/>
          <w:bCs/>
          <w:sz w:val="24"/>
        </w:rPr>
        <w:t>T</w:t>
      </w:r>
      <w:r w:rsidRPr="00D62DB2">
        <w:rPr>
          <w:rFonts w:eastAsia="Times New Roman" w:cstheme="minorHAnsi"/>
          <w:b/>
          <w:bCs/>
          <w:sz w:val="24"/>
        </w:rPr>
        <w:t xml:space="preserve">ribal, </w:t>
      </w:r>
      <w:r>
        <w:rPr>
          <w:rFonts w:eastAsia="Times New Roman" w:cstheme="minorHAnsi"/>
          <w:b/>
          <w:bCs/>
          <w:sz w:val="24"/>
        </w:rPr>
        <w:t>L</w:t>
      </w:r>
      <w:r w:rsidRPr="00D62DB2">
        <w:rPr>
          <w:rFonts w:eastAsia="Times New Roman" w:cstheme="minorHAnsi"/>
          <w:b/>
          <w:bCs/>
          <w:sz w:val="24"/>
        </w:rPr>
        <w:t>ocal</w:t>
      </w:r>
      <w:r w:rsidR="00385AE8">
        <w:rPr>
          <w:rFonts w:eastAsia="Times New Roman" w:cstheme="minorHAnsi"/>
          <w:b/>
          <w:bCs/>
          <w:sz w:val="24"/>
        </w:rPr>
        <w:t>,</w:t>
      </w:r>
      <w:r w:rsidRPr="00D62DB2">
        <w:rPr>
          <w:rFonts w:eastAsia="Times New Roman" w:cstheme="minorHAnsi"/>
          <w:b/>
          <w:bCs/>
          <w:sz w:val="24"/>
        </w:rPr>
        <w:t xml:space="preserve"> </w:t>
      </w:r>
      <w:r w:rsidR="00385AE8">
        <w:rPr>
          <w:rFonts w:eastAsia="Times New Roman" w:cstheme="minorHAnsi"/>
          <w:b/>
          <w:bCs/>
          <w:sz w:val="24"/>
        </w:rPr>
        <w:t>and</w:t>
      </w:r>
      <w:r w:rsidRPr="00D62DB2">
        <w:rPr>
          <w:rFonts w:eastAsia="Times New Roman" w:cstheme="minorHAnsi"/>
          <w:b/>
          <w:bCs/>
          <w:sz w:val="24"/>
        </w:rPr>
        <w:t xml:space="preserve"> </w:t>
      </w:r>
      <w:r>
        <w:rPr>
          <w:rFonts w:eastAsia="Times New Roman" w:cstheme="minorHAnsi"/>
          <w:b/>
          <w:bCs/>
          <w:sz w:val="24"/>
        </w:rPr>
        <w:t>T</w:t>
      </w:r>
      <w:r w:rsidRPr="00D62DB2">
        <w:rPr>
          <w:rFonts w:eastAsia="Times New Roman" w:cstheme="minorHAnsi"/>
          <w:b/>
          <w:bCs/>
          <w:sz w:val="24"/>
        </w:rPr>
        <w:t xml:space="preserve">erritorial </w:t>
      </w:r>
      <w:r w:rsidR="00F37541" w:rsidRPr="000A4C42">
        <w:rPr>
          <w:rFonts w:eastAsia="Times New Roman" w:cstheme="minorHAnsi"/>
          <w:b/>
          <w:bCs/>
          <w:sz w:val="24"/>
        </w:rPr>
        <w:t>Emergency Authorities</w:t>
      </w:r>
    </w:p>
    <w:p w14:paraId="3046AF24" w14:textId="0FD258C6" w:rsidR="00F37541" w:rsidRDefault="00F37541" w:rsidP="004531F5">
      <w:pPr>
        <w:spacing w:line="360" w:lineRule="auto"/>
        <w:rPr>
          <w:rFonts w:eastAsia="Times New Roman" w:cstheme="minorHAnsi"/>
          <w:szCs w:val="20"/>
        </w:rPr>
      </w:pPr>
      <w:r>
        <w:rPr>
          <w:rFonts w:eastAsia="Times New Roman" w:cstheme="minorHAnsi"/>
          <w:szCs w:val="20"/>
        </w:rPr>
        <w:t xml:space="preserve">When a state, tribal, local or territorial (STLT) government decides whether to declare a state of emergency, this decision determines the legal and operational resources available to respond to an </w:t>
      </w:r>
      <w:r w:rsidR="00DD6AE1">
        <w:rPr>
          <w:rFonts w:eastAsia="Times New Roman" w:cstheme="minorHAnsi"/>
          <w:szCs w:val="20"/>
        </w:rPr>
        <w:t>event</w:t>
      </w:r>
      <w:r w:rsidR="00C373C3">
        <w:rPr>
          <w:rFonts w:eastAsia="Times New Roman" w:cstheme="minorHAnsi"/>
          <w:szCs w:val="20"/>
        </w:rPr>
        <w:t xml:space="preserve">, and </w:t>
      </w:r>
      <w:r w:rsidR="00D7160D">
        <w:rPr>
          <w:rFonts w:eastAsia="Times New Roman" w:cstheme="minorHAnsi"/>
          <w:szCs w:val="20"/>
        </w:rPr>
        <w:t>h</w:t>
      </w:r>
      <w:r>
        <w:rPr>
          <w:rFonts w:eastAsia="Times New Roman" w:cstheme="minorHAnsi"/>
          <w:szCs w:val="20"/>
        </w:rPr>
        <w:t>as implications for governments, the private and non-profit sectors, and the public. STLT and federal emergency legal authorities are operationalized by various actors guided by preparedness plans and systems</w:t>
      </w:r>
      <w:r w:rsidR="00996194">
        <w:rPr>
          <w:rFonts w:eastAsia="Times New Roman" w:cstheme="minorHAnsi"/>
          <w:szCs w:val="20"/>
        </w:rPr>
        <w:t>.</w:t>
      </w:r>
    </w:p>
    <w:p w14:paraId="3CFAF570" w14:textId="77777777" w:rsidR="0074629F" w:rsidRDefault="00B5202C" w:rsidP="007B4D22">
      <w:pPr>
        <w:pStyle w:val="ListParagraph"/>
        <w:numPr>
          <w:ilvl w:val="0"/>
          <w:numId w:val="4"/>
        </w:numPr>
        <w:spacing w:after="120" w:line="360" w:lineRule="auto"/>
        <w:contextualSpacing w:val="0"/>
        <w:rPr>
          <w:rFonts w:eastAsia="Times New Roman" w:cstheme="minorHAnsi"/>
          <w:szCs w:val="20"/>
        </w:rPr>
      </w:pPr>
      <w:r w:rsidRPr="0074629F">
        <w:rPr>
          <w:rFonts w:eastAsia="Times New Roman" w:cstheme="minorHAnsi"/>
          <w:b/>
          <w:bCs/>
          <w:szCs w:val="20"/>
        </w:rPr>
        <w:t>Emergency Declaration</w:t>
      </w:r>
      <w:r w:rsidRPr="0074629F">
        <w:rPr>
          <w:rFonts w:eastAsia="Times New Roman" w:cstheme="minorHAnsi"/>
          <w:szCs w:val="20"/>
        </w:rPr>
        <w:t xml:space="preserve"> </w:t>
      </w:r>
      <w:r w:rsidR="000A4C42" w:rsidRPr="0074629F">
        <w:rPr>
          <w:rFonts w:eastAsia="Times New Roman" w:cstheme="minorHAnsi"/>
          <w:szCs w:val="20"/>
        </w:rPr>
        <w:t xml:space="preserve">– </w:t>
      </w:r>
      <w:r w:rsidR="00C56673" w:rsidRPr="0074629F">
        <w:rPr>
          <w:rFonts w:eastAsia="Times New Roman" w:cstheme="minorHAnsi"/>
          <w:szCs w:val="20"/>
        </w:rPr>
        <w:t>A</w:t>
      </w:r>
      <w:r w:rsidR="00CA1D92" w:rsidRPr="0074629F">
        <w:rPr>
          <w:rFonts w:eastAsia="Times New Roman" w:cstheme="minorHAnsi"/>
          <w:szCs w:val="20"/>
        </w:rPr>
        <w:t xml:space="preserve">ll STLT governments have mechanisms that allow officials to declare </w:t>
      </w:r>
      <w:r w:rsidR="00185DAC" w:rsidRPr="0074629F">
        <w:rPr>
          <w:rFonts w:eastAsia="Times New Roman" w:cstheme="minorHAnsi"/>
          <w:szCs w:val="20"/>
        </w:rPr>
        <w:t>an</w:t>
      </w:r>
      <w:r w:rsidR="00CA1D92" w:rsidRPr="0074629F">
        <w:rPr>
          <w:rFonts w:eastAsia="Times New Roman" w:cstheme="minorHAnsi"/>
          <w:szCs w:val="20"/>
        </w:rPr>
        <w:t xml:space="preserve"> emergency, thereby activating </w:t>
      </w:r>
      <w:r w:rsidR="00185DAC" w:rsidRPr="0074629F">
        <w:rPr>
          <w:rFonts w:eastAsia="Times New Roman" w:cstheme="minorHAnsi"/>
          <w:szCs w:val="20"/>
        </w:rPr>
        <w:t xml:space="preserve">legal </w:t>
      </w:r>
      <w:r w:rsidR="00CA1D92" w:rsidRPr="0074629F">
        <w:rPr>
          <w:rFonts w:eastAsia="Times New Roman" w:cstheme="minorHAnsi"/>
          <w:szCs w:val="20"/>
        </w:rPr>
        <w:t xml:space="preserve">authorities and resources that </w:t>
      </w:r>
      <w:r w:rsidR="00110808" w:rsidRPr="0074629F">
        <w:rPr>
          <w:rFonts w:eastAsia="Times New Roman" w:cstheme="minorHAnsi"/>
          <w:szCs w:val="20"/>
        </w:rPr>
        <w:t>may be</w:t>
      </w:r>
      <w:r w:rsidR="00CA1D92" w:rsidRPr="0074629F">
        <w:rPr>
          <w:rFonts w:eastAsia="Times New Roman" w:cstheme="minorHAnsi"/>
          <w:szCs w:val="20"/>
        </w:rPr>
        <w:t xml:space="preserve"> unavailable in non-emergencies. </w:t>
      </w:r>
      <w:r w:rsidR="003D2F21" w:rsidRPr="0074629F">
        <w:rPr>
          <w:rFonts w:eastAsia="Times New Roman" w:cstheme="minorHAnsi"/>
          <w:szCs w:val="20"/>
        </w:rPr>
        <w:t xml:space="preserve">STLT </w:t>
      </w:r>
      <w:r w:rsidR="001747AD" w:rsidRPr="0074629F">
        <w:rPr>
          <w:rFonts w:eastAsia="Times New Roman" w:cstheme="minorHAnsi"/>
          <w:szCs w:val="20"/>
        </w:rPr>
        <w:t>are</w:t>
      </w:r>
      <w:r w:rsidR="00B81BE0" w:rsidRPr="0074629F">
        <w:rPr>
          <w:rFonts w:eastAsia="Times New Roman" w:cstheme="minorHAnsi"/>
          <w:szCs w:val="20"/>
        </w:rPr>
        <w:t xml:space="preserve"> authorized to </w:t>
      </w:r>
      <w:r w:rsidR="00063A36" w:rsidRPr="0074629F">
        <w:rPr>
          <w:rFonts w:eastAsia="Times New Roman" w:cstheme="minorHAnsi"/>
          <w:szCs w:val="20"/>
        </w:rPr>
        <w:t xml:space="preserve">declare </w:t>
      </w:r>
      <w:r w:rsidR="00CA1D92" w:rsidRPr="0074629F">
        <w:rPr>
          <w:rFonts w:eastAsia="Times New Roman" w:cstheme="minorHAnsi"/>
          <w:szCs w:val="20"/>
        </w:rPr>
        <w:t xml:space="preserve">one or more types of </w:t>
      </w:r>
      <w:r w:rsidR="004179F3" w:rsidRPr="0074629F">
        <w:rPr>
          <w:rFonts w:eastAsia="Times New Roman" w:cstheme="minorHAnsi"/>
          <w:szCs w:val="20"/>
        </w:rPr>
        <w:t xml:space="preserve">disasters and/or </w:t>
      </w:r>
      <w:r w:rsidR="00CA1D92" w:rsidRPr="0074629F">
        <w:rPr>
          <w:rFonts w:eastAsia="Times New Roman" w:cstheme="minorHAnsi"/>
          <w:szCs w:val="20"/>
        </w:rPr>
        <w:t>emergencies</w:t>
      </w:r>
      <w:r w:rsidR="006C4B69" w:rsidRPr="0074629F">
        <w:rPr>
          <w:rFonts w:eastAsia="Times New Roman" w:cstheme="minorHAnsi"/>
          <w:szCs w:val="20"/>
        </w:rPr>
        <w:t xml:space="preserve">, including public health </w:t>
      </w:r>
      <w:r w:rsidR="004179F3" w:rsidRPr="0074629F">
        <w:rPr>
          <w:rFonts w:eastAsia="Times New Roman" w:cstheme="minorHAnsi"/>
          <w:szCs w:val="20"/>
        </w:rPr>
        <w:t>emergencies</w:t>
      </w:r>
      <w:r w:rsidR="00CA1D92" w:rsidRPr="0074629F">
        <w:rPr>
          <w:rFonts w:eastAsia="Times New Roman" w:cstheme="minorHAnsi"/>
          <w:szCs w:val="20"/>
        </w:rPr>
        <w:t xml:space="preserve">. Other state or tribal officials such as the emergency management agency director, homeland security director, or agricultural director may have similar powers. </w:t>
      </w:r>
    </w:p>
    <w:p w14:paraId="3588F3AB" w14:textId="5FAD944C" w:rsidR="0074629F" w:rsidRDefault="00CB0370" w:rsidP="007B4D22">
      <w:pPr>
        <w:pStyle w:val="ListParagraph"/>
        <w:numPr>
          <w:ilvl w:val="0"/>
          <w:numId w:val="4"/>
        </w:numPr>
        <w:spacing w:after="120" w:line="360" w:lineRule="auto"/>
        <w:contextualSpacing w:val="0"/>
        <w:rPr>
          <w:rFonts w:eastAsia="Times New Roman" w:cstheme="minorHAnsi"/>
          <w:szCs w:val="20"/>
        </w:rPr>
      </w:pPr>
      <w:r w:rsidRPr="0074629F">
        <w:rPr>
          <w:rFonts w:eastAsia="Times New Roman" w:cstheme="minorHAnsi"/>
          <w:b/>
          <w:bCs/>
          <w:szCs w:val="20"/>
        </w:rPr>
        <w:t xml:space="preserve">Authorities Activated by </w:t>
      </w:r>
      <w:r w:rsidR="00D05AE2">
        <w:rPr>
          <w:rFonts w:eastAsia="Times New Roman" w:cstheme="minorHAnsi"/>
          <w:b/>
          <w:bCs/>
          <w:szCs w:val="20"/>
        </w:rPr>
        <w:t xml:space="preserve">an </w:t>
      </w:r>
      <w:r w:rsidRPr="0074629F">
        <w:rPr>
          <w:rFonts w:eastAsia="Times New Roman" w:cstheme="minorHAnsi"/>
          <w:b/>
          <w:bCs/>
          <w:szCs w:val="20"/>
        </w:rPr>
        <w:t>Emergency Declarations</w:t>
      </w:r>
      <w:r w:rsidR="00557783" w:rsidRPr="0074629F">
        <w:rPr>
          <w:rFonts w:eastAsia="Times New Roman" w:cstheme="minorHAnsi"/>
          <w:szCs w:val="20"/>
        </w:rPr>
        <w:t xml:space="preserve">– </w:t>
      </w:r>
      <w:r w:rsidR="00D545FF" w:rsidRPr="0074629F">
        <w:rPr>
          <w:rFonts w:eastAsia="Times New Roman" w:cstheme="minorHAnsi"/>
          <w:szCs w:val="20"/>
        </w:rPr>
        <w:t>An emergency d</w:t>
      </w:r>
      <w:r w:rsidR="00E37F3A" w:rsidRPr="0074629F">
        <w:rPr>
          <w:rFonts w:eastAsia="Times New Roman" w:cstheme="minorHAnsi"/>
          <w:szCs w:val="20"/>
        </w:rPr>
        <w:t xml:space="preserve">eclaration initiates an array of authorities and actions by </w:t>
      </w:r>
      <w:r w:rsidR="00D545FF" w:rsidRPr="0074629F">
        <w:rPr>
          <w:rFonts w:eastAsia="Times New Roman" w:cstheme="minorHAnsi"/>
          <w:szCs w:val="20"/>
        </w:rPr>
        <w:t>STLT</w:t>
      </w:r>
      <w:r w:rsidR="00E37F3A" w:rsidRPr="0074629F">
        <w:rPr>
          <w:rFonts w:eastAsia="Times New Roman" w:cstheme="minorHAnsi"/>
          <w:szCs w:val="20"/>
        </w:rPr>
        <w:t xml:space="preserve"> governments. Depending on the type of emergency declared, and the scope of authority granted to the official making the emergency declaration, the actions and </w:t>
      </w:r>
      <w:r w:rsidR="00E37F3A" w:rsidRPr="0074629F">
        <w:rPr>
          <w:rFonts w:eastAsia="Times New Roman" w:cstheme="minorHAnsi"/>
          <w:szCs w:val="20"/>
        </w:rPr>
        <w:lastRenderedPageBreak/>
        <w:t>authorities activated by an emergency declaration can include:</w:t>
      </w:r>
      <w:r w:rsidR="002657C8" w:rsidRPr="0074629F">
        <w:rPr>
          <w:rFonts w:eastAsia="Times New Roman" w:cstheme="minorHAnsi"/>
          <w:szCs w:val="20"/>
        </w:rPr>
        <w:t xml:space="preserve"> ac</w:t>
      </w:r>
      <w:r w:rsidR="00E37F3A" w:rsidRPr="0074629F">
        <w:rPr>
          <w:rFonts w:eastAsia="Times New Roman" w:cstheme="minorHAnsi"/>
          <w:szCs w:val="20"/>
        </w:rPr>
        <w:t>tivation emergency response plans and mutual aid agreement</w:t>
      </w:r>
      <w:r w:rsidR="00947290" w:rsidRPr="0074629F">
        <w:rPr>
          <w:rFonts w:eastAsia="Times New Roman" w:cstheme="minorHAnsi"/>
          <w:szCs w:val="20"/>
        </w:rPr>
        <w:t>; a</w:t>
      </w:r>
      <w:r w:rsidR="00E37F3A" w:rsidRPr="0074629F">
        <w:rPr>
          <w:rFonts w:eastAsia="Times New Roman" w:cstheme="minorHAnsi"/>
          <w:szCs w:val="20"/>
        </w:rPr>
        <w:t xml:space="preserve">ctivation of </w:t>
      </w:r>
      <w:r w:rsidR="00DD1708" w:rsidRPr="0074629F">
        <w:rPr>
          <w:rFonts w:eastAsia="Times New Roman" w:cstheme="minorHAnsi"/>
          <w:szCs w:val="20"/>
        </w:rPr>
        <w:t xml:space="preserve">the </w:t>
      </w:r>
      <w:r w:rsidR="00E37F3A" w:rsidRPr="0074629F">
        <w:rPr>
          <w:rFonts w:eastAsia="Times New Roman" w:cstheme="minorHAnsi"/>
          <w:szCs w:val="20"/>
        </w:rPr>
        <w:t>emergency operations center and incident command system (ICS)</w:t>
      </w:r>
      <w:r w:rsidR="00DD1708" w:rsidRPr="0074629F">
        <w:rPr>
          <w:rFonts w:eastAsia="Times New Roman" w:cstheme="minorHAnsi"/>
          <w:szCs w:val="20"/>
        </w:rPr>
        <w:t>; a</w:t>
      </w:r>
      <w:r w:rsidR="00E37F3A" w:rsidRPr="0074629F">
        <w:rPr>
          <w:rFonts w:eastAsia="Times New Roman" w:cstheme="minorHAnsi"/>
          <w:szCs w:val="20"/>
        </w:rPr>
        <w:t>uthorization to expend funds and deploy personnel, equipment, supplies, and stockpiles</w:t>
      </w:r>
      <w:r w:rsidR="00DD1708" w:rsidRPr="0074629F">
        <w:rPr>
          <w:rFonts w:eastAsia="Times New Roman" w:cstheme="minorHAnsi"/>
          <w:szCs w:val="20"/>
        </w:rPr>
        <w:t>;</w:t>
      </w:r>
      <w:r w:rsidR="00931A1A" w:rsidRPr="0074629F">
        <w:rPr>
          <w:rFonts w:eastAsia="Times New Roman" w:cstheme="minorHAnsi"/>
          <w:szCs w:val="20"/>
        </w:rPr>
        <w:t xml:space="preserve"> a</w:t>
      </w:r>
      <w:r w:rsidR="00E37F3A" w:rsidRPr="0074629F">
        <w:rPr>
          <w:rFonts w:eastAsia="Times New Roman" w:cstheme="minorHAnsi"/>
          <w:szCs w:val="20"/>
        </w:rPr>
        <w:t>ctivation of statutory immunities and liability protections for those involved in response activities</w:t>
      </w:r>
      <w:r w:rsidR="00931A1A" w:rsidRPr="0074629F">
        <w:rPr>
          <w:rFonts w:eastAsia="Times New Roman" w:cstheme="minorHAnsi"/>
          <w:szCs w:val="20"/>
        </w:rPr>
        <w:t>; s</w:t>
      </w:r>
      <w:r w:rsidR="00E37F3A" w:rsidRPr="0074629F">
        <w:rPr>
          <w:rFonts w:eastAsia="Times New Roman" w:cstheme="minorHAnsi"/>
          <w:szCs w:val="20"/>
        </w:rPr>
        <w:t>uspension and waiver of rules and regulations (and statutes, if allowed)</w:t>
      </w:r>
      <w:r w:rsidR="00931A1A" w:rsidRPr="0074629F">
        <w:rPr>
          <w:rFonts w:eastAsia="Times New Roman" w:cstheme="minorHAnsi"/>
          <w:szCs w:val="20"/>
        </w:rPr>
        <w:t>; and s</w:t>
      </w:r>
      <w:r w:rsidR="00E37F3A" w:rsidRPr="0074629F">
        <w:rPr>
          <w:rFonts w:eastAsia="Times New Roman" w:cstheme="minorHAnsi"/>
          <w:szCs w:val="20"/>
        </w:rPr>
        <w:t>treamlining of governmental administrative procedures such as procurement requirements.</w:t>
      </w:r>
    </w:p>
    <w:p w14:paraId="406475D0" w14:textId="0D7751C7" w:rsidR="00712A68" w:rsidRPr="0074629F" w:rsidRDefault="001F3BB2" w:rsidP="004531F5">
      <w:pPr>
        <w:pStyle w:val="ListParagraph"/>
        <w:numPr>
          <w:ilvl w:val="0"/>
          <w:numId w:val="4"/>
        </w:numPr>
        <w:spacing w:line="360" w:lineRule="auto"/>
        <w:rPr>
          <w:rFonts w:eastAsia="Times New Roman" w:cstheme="minorHAnsi"/>
          <w:szCs w:val="20"/>
        </w:rPr>
      </w:pPr>
      <w:r w:rsidRPr="0074629F">
        <w:rPr>
          <w:rFonts w:eastAsia="Times New Roman" w:cstheme="minorHAnsi"/>
          <w:b/>
          <w:bCs/>
        </w:rPr>
        <w:t>Authorities Without an Emergency Declaration</w:t>
      </w:r>
      <w:r w:rsidRPr="0074629F">
        <w:rPr>
          <w:rFonts w:eastAsia="Times New Roman" w:cstheme="minorHAnsi"/>
        </w:rPr>
        <w:t xml:space="preserve"> – </w:t>
      </w:r>
      <w:r w:rsidR="00712A68" w:rsidRPr="0074629F">
        <w:rPr>
          <w:rFonts w:eastAsia="Times New Roman" w:cstheme="minorHAnsi"/>
        </w:rPr>
        <w:t xml:space="preserve">State, tribal, and territorial officials </w:t>
      </w:r>
      <w:r w:rsidR="00931A1A" w:rsidRPr="0074629F">
        <w:rPr>
          <w:rFonts w:eastAsia="Times New Roman" w:cstheme="minorHAnsi"/>
        </w:rPr>
        <w:t xml:space="preserve">also </w:t>
      </w:r>
      <w:r w:rsidR="00712A68" w:rsidRPr="0074629F">
        <w:rPr>
          <w:rFonts w:eastAsia="Times New Roman" w:cstheme="minorHAnsi"/>
        </w:rPr>
        <w:t>have existing broad powers to address emergency situations by virtue of the statutory authorities granted to their positions without formally declaring a state of emergency. Local officials’ authorities to declare an emergency will depend on the authority granted to them under a state’s laws.</w:t>
      </w:r>
      <w:r w:rsidR="00A2645B" w:rsidRPr="00A2645B">
        <w:t xml:space="preserve"> </w:t>
      </w:r>
      <w:r w:rsidR="00A2645B" w:rsidRPr="0074629F">
        <w:rPr>
          <w:rFonts w:eastAsia="Times New Roman" w:cstheme="minorHAnsi"/>
        </w:rPr>
        <w:t>A STLT health officer’s non-emergency powers generally contain a broad grant of authority to, among other things, investigate the causes of disease, collect data, abate nuisances, and institute some quarantine and isolation measures.</w:t>
      </w:r>
      <w:r w:rsidR="001A443D" w:rsidRPr="0074629F">
        <w:rPr>
          <w:rFonts w:eastAsia="Times New Roman" w:cstheme="minorHAnsi"/>
        </w:rPr>
        <w:t xml:space="preserve"> Identifying authorities and capabilities to respond to </w:t>
      </w:r>
      <w:r w:rsidR="00217C66" w:rsidRPr="0074629F">
        <w:rPr>
          <w:rFonts w:eastAsia="Times New Roman" w:cstheme="minorHAnsi"/>
        </w:rPr>
        <w:t>events</w:t>
      </w:r>
      <w:r w:rsidR="001A443D" w:rsidRPr="0074629F">
        <w:rPr>
          <w:rFonts w:eastAsia="Times New Roman" w:cstheme="minorHAnsi"/>
        </w:rPr>
        <w:t xml:space="preserve"> without a</w:t>
      </w:r>
      <w:r w:rsidR="00BE65F8" w:rsidRPr="0074629F">
        <w:rPr>
          <w:rFonts w:eastAsia="Times New Roman" w:cstheme="minorHAnsi"/>
        </w:rPr>
        <w:t>n emergency</w:t>
      </w:r>
      <w:r w:rsidR="001A443D" w:rsidRPr="0074629F">
        <w:rPr>
          <w:rFonts w:eastAsia="Times New Roman" w:cstheme="minorHAnsi"/>
        </w:rPr>
        <w:t xml:space="preserve"> declaration is necessary to </w:t>
      </w:r>
      <w:r w:rsidR="0039470F" w:rsidRPr="0074629F">
        <w:rPr>
          <w:rFonts w:eastAsia="Times New Roman" w:cstheme="minorHAnsi"/>
        </w:rPr>
        <w:t xml:space="preserve">initiate </w:t>
      </w:r>
      <w:r w:rsidR="00BE65F8" w:rsidRPr="0074629F">
        <w:rPr>
          <w:rFonts w:eastAsia="Times New Roman" w:cstheme="minorHAnsi"/>
        </w:rPr>
        <w:t>action</w:t>
      </w:r>
      <w:r w:rsidR="001A443D" w:rsidRPr="0074629F">
        <w:rPr>
          <w:rFonts w:eastAsia="Times New Roman" w:cstheme="minorHAnsi"/>
        </w:rPr>
        <w:t xml:space="preserve"> </w:t>
      </w:r>
      <w:r w:rsidR="0039470F" w:rsidRPr="0074629F">
        <w:rPr>
          <w:rFonts w:eastAsia="Times New Roman" w:cstheme="minorHAnsi"/>
        </w:rPr>
        <w:t>before</w:t>
      </w:r>
      <w:r w:rsidR="001A443D" w:rsidRPr="0074629F">
        <w:rPr>
          <w:rFonts w:eastAsia="Times New Roman" w:cstheme="minorHAnsi"/>
        </w:rPr>
        <w:t xml:space="preserve"> an emergency is declared</w:t>
      </w:r>
      <w:r w:rsidR="0039470F" w:rsidRPr="0074629F">
        <w:rPr>
          <w:rFonts w:eastAsia="Times New Roman" w:cstheme="minorHAnsi"/>
        </w:rPr>
        <w:t xml:space="preserve"> or </w:t>
      </w:r>
      <w:r w:rsidR="001A443D" w:rsidRPr="0074629F">
        <w:rPr>
          <w:rFonts w:eastAsia="Times New Roman" w:cstheme="minorHAnsi"/>
        </w:rPr>
        <w:t>should an event not meet the statutory definition required to initiate an emergency declaration.</w:t>
      </w:r>
    </w:p>
    <w:p w14:paraId="2515564B" w14:textId="4395AED9" w:rsidR="006F2D7C" w:rsidRDefault="006F2D7C" w:rsidP="004531F5">
      <w:pPr>
        <w:spacing w:line="360" w:lineRule="auto"/>
        <w:rPr>
          <w:rFonts w:eastAsia="Times New Roman" w:cstheme="minorHAnsi"/>
          <w:szCs w:val="20"/>
        </w:rPr>
      </w:pPr>
    </w:p>
    <w:p w14:paraId="0C432D16" w14:textId="77777777" w:rsidR="00544E47" w:rsidRPr="009D6F7B" w:rsidRDefault="00544E47" w:rsidP="00544E47">
      <w:pPr>
        <w:spacing w:line="360" w:lineRule="auto"/>
        <w:rPr>
          <w:rFonts w:eastAsia="Times New Roman" w:cstheme="minorHAnsi"/>
          <w:b/>
          <w:bCs/>
          <w:color w:val="3C3030"/>
        </w:rPr>
      </w:pPr>
      <w:r w:rsidRPr="009D6F7B">
        <w:rPr>
          <w:rFonts w:eastAsia="Times New Roman" w:cstheme="minorHAnsi"/>
          <w:b/>
          <w:bCs/>
          <w:color w:val="3C3030"/>
        </w:rPr>
        <w:t>Federal Emergency Declarations and Authorities</w:t>
      </w:r>
    </w:p>
    <w:p w14:paraId="7558BD75" w14:textId="77777777" w:rsidR="0074629F" w:rsidRDefault="00544E47" w:rsidP="007B4D22">
      <w:pPr>
        <w:spacing w:after="120" w:line="360" w:lineRule="auto"/>
        <w:rPr>
          <w:rFonts w:eastAsia="Times New Roman" w:cstheme="minorHAnsi"/>
        </w:rPr>
      </w:pPr>
      <w:r>
        <w:rPr>
          <w:rFonts w:eastAsia="Times New Roman" w:cstheme="minorHAnsi"/>
        </w:rPr>
        <w:t>As with STLT law, federal law imbues designated federal officials with broad powers that allow them to respond to and assist jurisdictions in responding to emergencies even without a federal emergency declaration. Thus, the Secretary of Health and Human Services (HHS) has broad authority under sections 301 and 311 of the Public Health Service Act to provide assistance to states and localities.</w:t>
      </w:r>
      <w:r>
        <w:rPr>
          <w:rStyle w:val="FootnoteReference"/>
          <w:rFonts w:eastAsia="Times New Roman" w:cstheme="minorHAnsi"/>
        </w:rPr>
        <w:footnoteReference w:id="1"/>
      </w:r>
      <w:r>
        <w:rPr>
          <w:rFonts w:eastAsia="Times New Roman" w:cstheme="minorHAnsi"/>
        </w:rPr>
        <w:t xml:space="preserve"> Federal law also provides the president and other federal officials with authority to declare emergencies under specified conditions. Some of these federal authorities relevant to the public health context include</w:t>
      </w:r>
      <w:r w:rsidR="00355787">
        <w:rPr>
          <w:rFonts w:eastAsia="Times New Roman" w:cstheme="minorHAnsi"/>
        </w:rPr>
        <w:t xml:space="preserve"> the Stafford Act, the National </w:t>
      </w:r>
      <w:r w:rsidR="00BF0EC3">
        <w:rPr>
          <w:rFonts w:eastAsia="Times New Roman" w:cstheme="minorHAnsi"/>
        </w:rPr>
        <w:t>Emergencies</w:t>
      </w:r>
      <w:r w:rsidR="00355787">
        <w:rPr>
          <w:rFonts w:eastAsia="Times New Roman" w:cstheme="minorHAnsi"/>
        </w:rPr>
        <w:t xml:space="preserve"> Act</w:t>
      </w:r>
      <w:r w:rsidR="00BF0EC3">
        <w:rPr>
          <w:rFonts w:eastAsia="Times New Roman" w:cstheme="minorHAnsi"/>
        </w:rPr>
        <w:t>, P</w:t>
      </w:r>
      <w:r>
        <w:rPr>
          <w:rFonts w:eastAsia="Times New Roman" w:cstheme="minorHAnsi"/>
          <w:bdr w:val="none" w:sz="0" w:space="0" w:color="auto" w:frame="1"/>
        </w:rPr>
        <w:t xml:space="preserve">ublic Health Service Act </w:t>
      </w:r>
      <w:r w:rsidR="00BF0EC3">
        <w:rPr>
          <w:rFonts w:eastAsia="Times New Roman" w:cstheme="minorHAnsi"/>
          <w:bdr w:val="none" w:sz="0" w:space="0" w:color="auto" w:frame="1"/>
        </w:rPr>
        <w:t>s</w:t>
      </w:r>
      <w:r>
        <w:rPr>
          <w:rFonts w:eastAsia="Times New Roman" w:cstheme="minorHAnsi"/>
          <w:bdr w:val="none" w:sz="0" w:space="0" w:color="auto" w:frame="1"/>
        </w:rPr>
        <w:t>ection 319</w:t>
      </w:r>
      <w:r w:rsidR="00BF0EC3">
        <w:rPr>
          <w:rFonts w:eastAsia="Times New Roman" w:cstheme="minorHAnsi"/>
          <w:bdr w:val="none" w:sz="0" w:space="0" w:color="auto" w:frame="1"/>
        </w:rPr>
        <w:t>,</w:t>
      </w:r>
      <w:r>
        <w:rPr>
          <w:rFonts w:eastAsia="Times New Roman" w:cstheme="minorHAnsi"/>
          <w:bdr w:val="none" w:sz="0" w:space="0" w:color="auto" w:frame="1"/>
        </w:rPr>
        <w:t xml:space="preserve"> </w:t>
      </w:r>
      <w:r>
        <w:rPr>
          <w:rFonts w:eastAsia="Times New Roman" w:cstheme="minorHAnsi"/>
        </w:rPr>
        <w:t xml:space="preserve">and </w:t>
      </w:r>
      <w:r>
        <w:rPr>
          <w:rFonts w:eastAsia="Times New Roman" w:cstheme="minorHAnsi"/>
          <w:bdr w:val="none" w:sz="0" w:space="0" w:color="auto" w:frame="1"/>
        </w:rPr>
        <w:t xml:space="preserve">Social Security Act </w:t>
      </w:r>
      <w:r w:rsidR="00BF0EC3">
        <w:rPr>
          <w:rFonts w:eastAsia="Times New Roman" w:cstheme="minorHAnsi"/>
          <w:bdr w:val="none" w:sz="0" w:space="0" w:color="auto" w:frame="1"/>
        </w:rPr>
        <w:t>s</w:t>
      </w:r>
      <w:r>
        <w:rPr>
          <w:rFonts w:eastAsia="Times New Roman" w:cstheme="minorHAnsi"/>
          <w:bdr w:val="none" w:sz="0" w:space="0" w:color="auto" w:frame="1"/>
        </w:rPr>
        <w:t>ection 1135</w:t>
      </w:r>
      <w:r>
        <w:rPr>
          <w:rFonts w:eastAsia="Times New Roman" w:cstheme="minorHAnsi"/>
        </w:rPr>
        <w:t>.</w:t>
      </w:r>
      <w:r w:rsidR="00BF0EC3">
        <w:rPr>
          <w:rFonts w:eastAsia="Times New Roman" w:cstheme="minorHAnsi"/>
        </w:rPr>
        <w:t xml:space="preserve"> (See below for a description of each of these</w:t>
      </w:r>
      <w:r w:rsidR="009D1BC9">
        <w:rPr>
          <w:rFonts w:eastAsia="Times New Roman" w:cstheme="minorHAnsi"/>
        </w:rPr>
        <w:t xml:space="preserve"> acts.)</w:t>
      </w:r>
    </w:p>
    <w:p w14:paraId="6A9BA30A" w14:textId="327E86B5" w:rsidR="00544E47" w:rsidRPr="0074629F" w:rsidRDefault="00544E47" w:rsidP="001B0785">
      <w:pPr>
        <w:pStyle w:val="ListParagraph"/>
        <w:numPr>
          <w:ilvl w:val="0"/>
          <w:numId w:val="5"/>
        </w:numPr>
        <w:spacing w:line="360" w:lineRule="auto"/>
        <w:rPr>
          <w:rFonts w:eastAsia="Times New Roman" w:cstheme="minorHAnsi"/>
        </w:rPr>
      </w:pPr>
      <w:r w:rsidRPr="0074629F">
        <w:rPr>
          <w:rFonts w:eastAsia="Times New Roman" w:cstheme="minorHAnsi"/>
          <w:b/>
          <w:bCs/>
        </w:rPr>
        <w:t>Actions and Authorities Initiated by Federal Emergency Declarations</w:t>
      </w:r>
      <w:r w:rsidR="0074629F" w:rsidRPr="0074629F">
        <w:rPr>
          <w:rFonts w:eastAsia="Times New Roman" w:cstheme="minorHAnsi"/>
        </w:rPr>
        <w:t xml:space="preserve"> –</w:t>
      </w:r>
      <w:r w:rsidR="0074629F" w:rsidRPr="0074629F">
        <w:rPr>
          <w:rFonts w:eastAsia="Times New Roman" w:cstheme="minorHAnsi"/>
          <w:b/>
          <w:bCs/>
        </w:rPr>
        <w:t xml:space="preserve"> </w:t>
      </w:r>
      <w:r w:rsidRPr="0074629F">
        <w:rPr>
          <w:rFonts w:eastAsia="Times New Roman" w:cstheme="minorHAnsi"/>
        </w:rPr>
        <w:t>Federal emergency declarations activate legal and programmatic responses from federal agencies including:</w:t>
      </w:r>
      <w:r w:rsidR="009D1BC9" w:rsidRPr="0074629F">
        <w:rPr>
          <w:rFonts w:eastAsia="Times New Roman" w:cstheme="minorHAnsi"/>
        </w:rPr>
        <w:t xml:space="preserve"> i</w:t>
      </w:r>
      <w:r w:rsidRPr="0074629F">
        <w:rPr>
          <w:rFonts w:eastAsia="Times New Roman" w:cstheme="minorHAnsi"/>
        </w:rPr>
        <w:t xml:space="preserve">nitiating federal assistance to </w:t>
      </w:r>
      <w:r w:rsidRPr="0074629F">
        <w:rPr>
          <w:rFonts w:eastAsia="Times New Roman" w:cstheme="minorHAnsi"/>
          <w:szCs w:val="20"/>
        </w:rPr>
        <w:t>STLT governments</w:t>
      </w:r>
      <w:r w:rsidR="009D1BC9" w:rsidRPr="0074629F">
        <w:rPr>
          <w:rFonts w:eastAsia="Times New Roman" w:cstheme="minorHAnsi"/>
          <w:szCs w:val="20"/>
        </w:rPr>
        <w:t xml:space="preserve"> (e.g., </w:t>
      </w:r>
      <w:r w:rsidRPr="0074629F">
        <w:rPr>
          <w:rFonts w:eastAsia="Times New Roman" w:cstheme="minorHAnsi"/>
        </w:rPr>
        <w:t>financial, personnel, services, logistical, and technical assistance</w:t>
      </w:r>
      <w:r w:rsidR="009D1BC9" w:rsidRPr="0074629F">
        <w:rPr>
          <w:rFonts w:eastAsia="Times New Roman" w:cstheme="minorHAnsi"/>
        </w:rPr>
        <w:t xml:space="preserve">; </w:t>
      </w:r>
      <w:r w:rsidR="00D508FD" w:rsidRPr="0074629F">
        <w:rPr>
          <w:rFonts w:eastAsia="Times New Roman" w:cstheme="minorHAnsi"/>
        </w:rPr>
        <w:t>a</w:t>
      </w:r>
      <w:r w:rsidRPr="0074629F">
        <w:rPr>
          <w:rFonts w:eastAsia="Times New Roman" w:cstheme="minorHAnsi"/>
        </w:rPr>
        <w:t xml:space="preserve">ctivating emergency provisions in other </w:t>
      </w:r>
      <w:r w:rsidR="006D0DC2" w:rsidRPr="0074629F">
        <w:rPr>
          <w:rFonts w:eastAsia="Times New Roman" w:cstheme="minorHAnsi"/>
        </w:rPr>
        <w:t xml:space="preserve">federal </w:t>
      </w:r>
      <w:r w:rsidRPr="0074629F">
        <w:rPr>
          <w:rFonts w:eastAsia="Times New Roman" w:cstheme="minorHAnsi"/>
        </w:rPr>
        <w:t>laws</w:t>
      </w:r>
      <w:r w:rsidR="0015393F" w:rsidRPr="0074629F">
        <w:rPr>
          <w:rFonts w:eastAsia="Times New Roman" w:cstheme="minorHAnsi"/>
        </w:rPr>
        <w:t>; e</w:t>
      </w:r>
      <w:r w:rsidRPr="0074629F">
        <w:rPr>
          <w:rFonts w:eastAsia="Times New Roman" w:cstheme="minorHAnsi"/>
        </w:rPr>
        <w:t xml:space="preserve">asing regulatory requirements on </w:t>
      </w:r>
      <w:r w:rsidRPr="0074629F">
        <w:rPr>
          <w:rFonts w:eastAsia="Times New Roman" w:cstheme="minorHAnsi"/>
        </w:rPr>
        <w:lastRenderedPageBreak/>
        <w:t xml:space="preserve">individuals, organizations, and </w:t>
      </w:r>
      <w:r w:rsidR="0015393F" w:rsidRPr="0074629F">
        <w:rPr>
          <w:rFonts w:eastAsia="Times New Roman" w:cstheme="minorHAnsi"/>
        </w:rPr>
        <w:t xml:space="preserve">STLT </w:t>
      </w:r>
      <w:r w:rsidRPr="0074629F">
        <w:rPr>
          <w:rFonts w:eastAsia="Times New Roman" w:cstheme="minorHAnsi"/>
        </w:rPr>
        <w:t>governments</w:t>
      </w:r>
      <w:r w:rsidR="00FF01A7" w:rsidRPr="0074629F">
        <w:rPr>
          <w:rFonts w:eastAsia="Times New Roman" w:cstheme="minorHAnsi"/>
        </w:rPr>
        <w:t>; and ac</w:t>
      </w:r>
      <w:r w:rsidRPr="0074629F">
        <w:rPr>
          <w:rFonts w:eastAsia="Times New Roman" w:cstheme="minorHAnsi"/>
        </w:rPr>
        <w:t>tivating emergency response protocols and system</w:t>
      </w:r>
      <w:r w:rsidR="006A60FA" w:rsidRPr="0074629F">
        <w:rPr>
          <w:rFonts w:eastAsia="Times New Roman" w:cstheme="minorHAnsi"/>
        </w:rPr>
        <w:t>s</w:t>
      </w:r>
      <w:r w:rsidRPr="0074629F">
        <w:rPr>
          <w:rFonts w:eastAsia="Times New Roman" w:cstheme="minorHAnsi"/>
        </w:rPr>
        <w:t>.</w:t>
      </w:r>
    </w:p>
    <w:p w14:paraId="286AAD3A" w14:textId="77777777" w:rsidR="00ED7718" w:rsidRDefault="00ED7718" w:rsidP="004531F5">
      <w:pPr>
        <w:spacing w:line="360" w:lineRule="auto"/>
        <w:rPr>
          <w:rFonts w:eastAsia="Times New Roman" w:cstheme="minorHAnsi"/>
          <w:b/>
          <w:bCs/>
          <w:sz w:val="24"/>
        </w:rPr>
      </w:pPr>
    </w:p>
    <w:p w14:paraId="6061A66D" w14:textId="25116C0B" w:rsidR="00544E47" w:rsidRPr="009D6F7B" w:rsidRDefault="003F76D8" w:rsidP="00057D3E">
      <w:pPr>
        <w:keepNext/>
        <w:keepLines/>
        <w:spacing w:line="360" w:lineRule="auto"/>
        <w:rPr>
          <w:rFonts w:eastAsia="Times New Roman" w:cstheme="minorHAnsi"/>
          <w:b/>
          <w:bCs/>
          <w:szCs w:val="20"/>
        </w:rPr>
      </w:pPr>
      <w:r w:rsidRPr="009D6F7B">
        <w:rPr>
          <w:rFonts w:eastAsia="Times New Roman" w:cstheme="minorHAnsi"/>
          <w:b/>
          <w:bCs/>
          <w:szCs w:val="20"/>
        </w:rPr>
        <w:t>Key</w:t>
      </w:r>
      <w:r w:rsidR="003269EF" w:rsidRPr="009D6F7B">
        <w:rPr>
          <w:rFonts w:eastAsia="Times New Roman" w:cstheme="minorHAnsi"/>
          <w:b/>
          <w:bCs/>
          <w:szCs w:val="20"/>
        </w:rPr>
        <w:t xml:space="preserve"> Federal </w:t>
      </w:r>
      <w:r w:rsidR="00D8214B" w:rsidRPr="009D6F7B">
        <w:rPr>
          <w:rFonts w:eastAsia="Times New Roman" w:cstheme="minorHAnsi"/>
          <w:b/>
          <w:bCs/>
          <w:szCs w:val="20"/>
        </w:rPr>
        <w:t>Emergency Author</w:t>
      </w:r>
      <w:r w:rsidR="00ED7718" w:rsidRPr="009D6F7B">
        <w:rPr>
          <w:rFonts w:eastAsia="Times New Roman" w:cstheme="minorHAnsi"/>
          <w:b/>
          <w:bCs/>
          <w:szCs w:val="20"/>
        </w:rPr>
        <w:t xml:space="preserve">ity </w:t>
      </w:r>
      <w:r w:rsidR="003269EF" w:rsidRPr="009D6F7B">
        <w:rPr>
          <w:rFonts w:eastAsia="Times New Roman" w:cstheme="minorHAnsi"/>
          <w:b/>
          <w:bCs/>
          <w:szCs w:val="20"/>
        </w:rPr>
        <w:t>Laws</w:t>
      </w:r>
    </w:p>
    <w:p w14:paraId="4E5FD5DD" w14:textId="1AD80657" w:rsidR="0006008A" w:rsidRDefault="00C25311" w:rsidP="007B4D22">
      <w:pPr>
        <w:pStyle w:val="ListParagraph"/>
        <w:numPr>
          <w:ilvl w:val="0"/>
          <w:numId w:val="5"/>
        </w:numPr>
        <w:spacing w:after="120" w:line="360" w:lineRule="auto"/>
        <w:contextualSpacing w:val="0"/>
      </w:pPr>
      <w:r w:rsidRPr="00D8214B">
        <w:rPr>
          <w:b/>
          <w:bCs/>
        </w:rPr>
        <w:t>National Emergencies Act (NEA)</w:t>
      </w:r>
      <w:r w:rsidRPr="0006008A">
        <w:t>—</w:t>
      </w:r>
      <w:r w:rsidRPr="00BC079F">
        <w:t xml:space="preserve">Allows the president to declare a national emergency, which </w:t>
      </w:r>
      <w:r w:rsidR="00530EC5">
        <w:t xml:space="preserve">activates </w:t>
      </w:r>
      <w:r w:rsidRPr="00BC079F">
        <w:t>emergency authorities contained in other federal statutes.</w:t>
      </w:r>
      <w:r w:rsidR="00D302BA">
        <w:rPr>
          <w:rStyle w:val="FootnoteReference"/>
        </w:rPr>
        <w:footnoteReference w:id="2"/>
      </w:r>
      <w:r w:rsidRPr="00BC079F">
        <w:t xml:space="preserve"> NEA does not contain any specific emergency authority on its own but relies on the emergency authorities in other statutes, such as the Public Health Service Act. A declaration under the NEA (or the Stafford Act) and a Section 31</w:t>
      </w:r>
      <w:r w:rsidR="003071F4">
        <w:t>9</w:t>
      </w:r>
      <w:r w:rsidRPr="00BC079F">
        <w:t xml:space="preserve"> public health emergency declaration are required before the HHS secretary can exercise Social Security Act Section 1135 waiver authority.</w:t>
      </w:r>
    </w:p>
    <w:p w14:paraId="76EDF062" w14:textId="630D83AF" w:rsidR="00C67ADC" w:rsidRDefault="008C5BBD" w:rsidP="007B4D22">
      <w:pPr>
        <w:pStyle w:val="ListParagraph"/>
        <w:numPr>
          <w:ilvl w:val="0"/>
          <w:numId w:val="5"/>
        </w:numPr>
        <w:spacing w:after="120" w:line="360" w:lineRule="auto"/>
        <w:contextualSpacing w:val="0"/>
      </w:pPr>
      <w:r w:rsidRPr="0006008A">
        <w:rPr>
          <w:b/>
          <w:bCs/>
        </w:rPr>
        <w:t>Robert T. Stafford Disaster Relief and Emergency Assistance Act (Stafford Act)</w:t>
      </w:r>
      <w:r w:rsidRPr="0006008A">
        <w:t>—</w:t>
      </w:r>
      <w:r w:rsidRPr="00BC079F">
        <w:t xml:space="preserve">Authorizes the delivery of federal emergency technical, financial, logistical, and other assistance to </w:t>
      </w:r>
      <w:r w:rsidR="005C6637">
        <w:t>STLT</w:t>
      </w:r>
      <w:r w:rsidR="00EE6364">
        <w:t xml:space="preserve"> jurisdictions.</w:t>
      </w:r>
      <w:r w:rsidR="00486BF2">
        <w:rPr>
          <w:rStyle w:val="FootnoteReference"/>
        </w:rPr>
        <w:footnoteReference w:id="3"/>
      </w:r>
      <w:r w:rsidRPr="00BC079F">
        <w:t xml:space="preserve"> A governor</w:t>
      </w:r>
      <w:r w:rsidR="0096289A">
        <w:t>/tribal leader</w:t>
      </w:r>
      <w:r w:rsidRPr="00BC079F">
        <w:t xml:space="preserve"> must first determine that an event overwhelms the </w:t>
      </w:r>
      <w:r w:rsidR="0096289A">
        <w:t>jurisdiction’</w:t>
      </w:r>
      <w:r w:rsidR="0096289A" w:rsidRPr="00BC079F">
        <w:t>s</w:t>
      </w:r>
      <w:r w:rsidRPr="00BC079F">
        <w:t xml:space="preserve"> capacity to respond and request a presidential declaration under the Stafford Act before the president can declare all or a portion of a state a “major disaster” or “emergency” area. The Federal Emergency Management Agency (FEMA) coordinates administration of disaster relief resources and assistance to states. The President can declare an emergency without first receiving a request if the emergency involves an area of federal primary responsibility such as a federal building. A Stafford Act declaration can be used to </w:t>
      </w:r>
      <w:r w:rsidR="0087635E">
        <w:t>activate</w:t>
      </w:r>
      <w:r w:rsidRPr="00BC079F">
        <w:t xml:space="preserve"> other public health emergency response authorities such as Social Security Act </w:t>
      </w:r>
      <w:r w:rsidR="00561DF7">
        <w:t>s</w:t>
      </w:r>
      <w:r w:rsidRPr="00BC079F">
        <w:t>ection 1135 waiver authorities.</w:t>
      </w:r>
    </w:p>
    <w:p w14:paraId="32D52F1E" w14:textId="574337E7" w:rsidR="0010687D" w:rsidRDefault="00C67ADC" w:rsidP="006C0276">
      <w:pPr>
        <w:pStyle w:val="ListParagraph"/>
        <w:numPr>
          <w:ilvl w:val="0"/>
          <w:numId w:val="5"/>
        </w:numPr>
        <w:spacing w:after="120" w:line="360" w:lineRule="auto"/>
        <w:contextualSpacing w:val="0"/>
      </w:pPr>
      <w:r w:rsidRPr="00561DF7">
        <w:rPr>
          <w:b/>
          <w:bCs/>
        </w:rPr>
        <w:t>Public Health Service Act Section 319</w:t>
      </w:r>
      <w:r w:rsidRPr="00561DF7">
        <w:t>—</w:t>
      </w:r>
      <w:r w:rsidRPr="00BC079F">
        <w:t xml:space="preserve">Authorizes the HHS secretary to determine that a public health emergency exists, which </w:t>
      </w:r>
      <w:r w:rsidR="000A3503">
        <w:t>initiates</w:t>
      </w:r>
      <w:r w:rsidRPr="00BC079F">
        <w:t xml:space="preserve"> emergency powers that permit the federal government to assist </w:t>
      </w:r>
      <w:r w:rsidR="005F50CA">
        <w:t>STLT</w:t>
      </w:r>
      <w:r w:rsidRPr="00BC079F">
        <w:t xml:space="preserve"> governments, suspend or modify certain legal requirements, and expend available funds to address public health emergencies</w:t>
      </w:r>
      <w:r w:rsidR="00CA505A">
        <w:rPr>
          <w:rStyle w:val="FootnoteReference"/>
        </w:rPr>
        <w:footnoteReference w:id="4"/>
      </w:r>
      <w:r w:rsidRPr="00BC079F">
        <w:t xml:space="preserve">. A </w:t>
      </w:r>
      <w:r w:rsidR="005F50CA">
        <w:t>s</w:t>
      </w:r>
      <w:r w:rsidRPr="00BC079F">
        <w:t xml:space="preserve">ection 319 public health emergency declaration is separate and distinct from a presidential declaration under the National Emergencies Act or the </w:t>
      </w:r>
      <w:r w:rsidRPr="00BC079F">
        <w:lastRenderedPageBreak/>
        <w:t xml:space="preserve">Stafford Act. The secretary does not need a presidential declaration to issue a public health emergency declaration under </w:t>
      </w:r>
      <w:r w:rsidR="0010687D">
        <w:t>s</w:t>
      </w:r>
      <w:r w:rsidRPr="00BC079F">
        <w:t xml:space="preserve">ection 319; however, a presidential declaration is required in addition to a </w:t>
      </w:r>
      <w:r w:rsidR="0010687D">
        <w:t>s</w:t>
      </w:r>
      <w:r w:rsidRPr="00BC079F">
        <w:t xml:space="preserve">ection 319 declaration if the secretary wants to exercise waiver authority under Social Security Act </w:t>
      </w:r>
      <w:r w:rsidR="0010687D">
        <w:t>s</w:t>
      </w:r>
      <w:r w:rsidRPr="00BC079F">
        <w:t>ection 1135. Other sections of the Public Health Service Act, including Sections 301 and 311, permit the secretary to render assistance to states and localities without declaring a public health emergency.</w:t>
      </w:r>
    </w:p>
    <w:p w14:paraId="339E7B4D" w14:textId="13B1232D" w:rsidR="001E032E" w:rsidRPr="001E032E" w:rsidRDefault="00FB1F4E" w:rsidP="007B4D22">
      <w:pPr>
        <w:pStyle w:val="ListParagraph"/>
        <w:numPr>
          <w:ilvl w:val="0"/>
          <w:numId w:val="5"/>
        </w:numPr>
        <w:spacing w:after="120" w:line="360" w:lineRule="auto"/>
        <w:contextualSpacing w:val="0"/>
        <w:rPr>
          <w:rFonts w:eastAsia="Times New Roman" w:cstheme="minorHAnsi"/>
          <w:szCs w:val="20"/>
        </w:rPr>
      </w:pPr>
      <w:r w:rsidRPr="004F2B3F">
        <w:rPr>
          <w:b/>
          <w:bCs/>
        </w:rPr>
        <w:t>Social Security Act Section 1135—</w:t>
      </w:r>
      <w:r w:rsidRPr="00BC079F">
        <w:t>Authorizes the HHS secretary to temporarily waive or modify certain Medicare, Medicaid, Children’s Health Insurance Program (CHIP), and Health Insurance Portability and Accountability Act (HIPAA) requirements affecting healthcare facilities and providers during national emergencies.</w:t>
      </w:r>
      <w:r w:rsidR="005D42A6">
        <w:rPr>
          <w:rStyle w:val="FootnoteReference"/>
        </w:rPr>
        <w:footnoteReference w:id="5"/>
      </w:r>
      <w:r w:rsidRPr="00BC079F">
        <w:t xml:space="preserve"> Section 1135 waivers require both a presidential declaration under the National Emergencies Act or Stafford Act and a public health emergency determination by the HHS secretary under Public Health Service Act </w:t>
      </w:r>
      <w:r w:rsidR="00AF1781">
        <w:t>s</w:t>
      </w:r>
      <w:r w:rsidRPr="00BC079F">
        <w:t>ection 319. Once the 1135 waiver authority has been issued, individual providers’ requirements are not automatically modified; the waivers are implemented on a case-by-case basis through the Centers for Medicare &amp; Medicaid Services, HHS regional offices, and state health facility survey agencies.</w:t>
      </w:r>
    </w:p>
    <w:p w14:paraId="04310BBA" w14:textId="1479B670" w:rsidR="008176A5" w:rsidRPr="001E032E" w:rsidRDefault="005B4FD9" w:rsidP="008176A5">
      <w:pPr>
        <w:pStyle w:val="ListParagraph"/>
        <w:numPr>
          <w:ilvl w:val="0"/>
          <w:numId w:val="5"/>
        </w:numPr>
        <w:spacing w:line="360" w:lineRule="auto"/>
        <w:rPr>
          <w:rFonts w:eastAsia="Times New Roman" w:cstheme="minorHAnsi"/>
          <w:szCs w:val="20"/>
        </w:rPr>
      </w:pPr>
      <w:r w:rsidRPr="001E032E">
        <w:rPr>
          <w:b/>
          <w:bCs/>
        </w:rPr>
        <w:t>Pandemic and All-Hazards Preparedness and Advancing Innovation Act (PAHPAIA)</w:t>
      </w:r>
      <w:r>
        <w:t xml:space="preserve"> – Reauthorizes programs and initiatives to improve the nation’s public health preparedness, enhance the capacity of the emergency response workforce, and further address new and reemerging infectious diseases and other threats.</w:t>
      </w:r>
      <w:r>
        <w:rPr>
          <w:rStyle w:val="FootnoteReference"/>
        </w:rPr>
        <w:footnoteReference w:id="6"/>
      </w:r>
      <w:r>
        <w:t xml:space="preserve"> Like its precursors, PAHPAIA</w:t>
      </w:r>
      <w:r w:rsidRPr="001E032E">
        <w:rPr>
          <w:rFonts w:eastAsia="Times New Roman" w:cs="Arial"/>
          <w:color w:val="000000" w:themeColor="text1"/>
          <w:szCs w:val="20"/>
        </w:rPr>
        <w:t xml:space="preserve"> is primarily authorizing legislation that directs HHS to establish and continue positions and programs related to public health emergency preparedness and response</w:t>
      </w:r>
      <w:r w:rsidR="00BD7A92" w:rsidRPr="001E032E">
        <w:rPr>
          <w:rFonts w:eastAsia="Times New Roman" w:cs="Arial"/>
          <w:color w:val="000000" w:themeColor="text1"/>
          <w:szCs w:val="20"/>
        </w:rPr>
        <w:t>, including</w:t>
      </w:r>
      <w:r w:rsidR="008176A5" w:rsidRPr="001E032E">
        <w:rPr>
          <w:rFonts w:eastAsia="Times New Roman" w:cs="Arial"/>
          <w:color w:val="000000" w:themeColor="text1"/>
          <w:szCs w:val="20"/>
        </w:rPr>
        <w:t xml:space="preserve"> </w:t>
      </w:r>
      <w:r w:rsidR="008176A5">
        <w:t xml:space="preserve">provisions of PAHPAIA relevant to </w:t>
      </w:r>
      <w:r w:rsidR="000024FE">
        <w:t xml:space="preserve">STLT </w:t>
      </w:r>
      <w:r w:rsidR="008176A5">
        <w:t xml:space="preserve">public health in the following areas: </w:t>
      </w:r>
      <w:r w:rsidR="00BD7A92">
        <w:t xml:space="preserve">STLT </w:t>
      </w:r>
      <w:r w:rsidR="00C46C99">
        <w:t>emergency</w:t>
      </w:r>
      <w:r w:rsidR="008176A5">
        <w:t xml:space="preserve"> capacity</w:t>
      </w:r>
      <w:r w:rsidR="00C46C99">
        <w:t xml:space="preserve"> and funding</w:t>
      </w:r>
      <w:r w:rsidR="008176A5">
        <w:t xml:space="preserve">; healthcare sector emergency preparedness; emergency volunteers; at-risk individuals; and, infectious diseases and medical countermeasures and products. </w:t>
      </w:r>
    </w:p>
    <w:p w14:paraId="0145A037" w14:textId="77777777" w:rsidR="001E032E" w:rsidRDefault="001E032E" w:rsidP="00F41E10">
      <w:pPr>
        <w:spacing w:line="360" w:lineRule="auto"/>
        <w:rPr>
          <w:rFonts w:eastAsia="Times New Roman" w:cstheme="minorHAnsi"/>
          <w:b/>
          <w:bCs/>
          <w:color w:val="3C3030"/>
          <w:sz w:val="24"/>
          <w:szCs w:val="24"/>
        </w:rPr>
      </w:pPr>
    </w:p>
    <w:p w14:paraId="7EF8275B" w14:textId="7999BEBE" w:rsidR="00F2776E" w:rsidRPr="007B4D22" w:rsidRDefault="0089291C" w:rsidP="006E1262">
      <w:pPr>
        <w:keepNext/>
        <w:keepLines/>
        <w:spacing w:line="360" w:lineRule="auto"/>
        <w:rPr>
          <w:rFonts w:ascii="Calibri" w:eastAsia="Times New Roman" w:hAnsi="Calibri" w:cs="Calibri"/>
          <w:b/>
          <w:bCs/>
          <w:sz w:val="24"/>
        </w:rPr>
      </w:pPr>
      <w:bookmarkStart w:id="1" w:name="_Hlk34390013"/>
      <w:r w:rsidRPr="007B4D22">
        <w:rPr>
          <w:rFonts w:ascii="Calibri" w:eastAsia="Times New Roman" w:hAnsi="Calibri" w:cs="Calibri"/>
          <w:b/>
          <w:bCs/>
          <w:sz w:val="24"/>
        </w:rPr>
        <w:t>Liability, Immunity and Workers’ Compensation Considerations</w:t>
      </w:r>
    </w:p>
    <w:bookmarkEnd w:id="1"/>
    <w:p w14:paraId="65D8392D" w14:textId="28D7A59D" w:rsidR="0045479C" w:rsidRDefault="00F3716D" w:rsidP="00F3716D">
      <w:pPr>
        <w:spacing w:line="360" w:lineRule="auto"/>
      </w:pPr>
      <w:r>
        <w:t xml:space="preserve">Concerns about liability regularly arise during emergency response situations. Government employees, volunteers and healthcare providers, and entities such as businesses and nonprofits all worry about </w:t>
      </w:r>
      <w:r>
        <w:lastRenderedPageBreak/>
        <w:t xml:space="preserve">potential liability for their actions during an emergency. </w:t>
      </w:r>
      <w:r w:rsidR="004F2009">
        <w:t>They are also concerned about</w:t>
      </w:r>
      <w:r w:rsidR="003E6A03">
        <w:t xml:space="preserve"> if and how they will receive compensation if they are injured during their response</w:t>
      </w:r>
      <w:r w:rsidR="00EE0073">
        <w:t xml:space="preserve"> activities.</w:t>
      </w:r>
    </w:p>
    <w:p w14:paraId="5619640B" w14:textId="77777777" w:rsidR="00EE0073" w:rsidRDefault="00EE0073" w:rsidP="00F3716D">
      <w:pPr>
        <w:spacing w:line="360" w:lineRule="auto"/>
        <w:rPr>
          <w:b/>
          <w:bCs/>
        </w:rPr>
      </w:pPr>
    </w:p>
    <w:p w14:paraId="527A9C41" w14:textId="4FB461D1" w:rsidR="009D6D8E" w:rsidRPr="009D6D8E" w:rsidRDefault="009D6D8E" w:rsidP="00F3716D">
      <w:pPr>
        <w:spacing w:line="360" w:lineRule="auto"/>
        <w:rPr>
          <w:b/>
          <w:bCs/>
        </w:rPr>
      </w:pPr>
      <w:r w:rsidRPr="009D6D8E">
        <w:rPr>
          <w:b/>
          <w:bCs/>
        </w:rPr>
        <w:t>Potential Liabilities in Emergencies</w:t>
      </w:r>
    </w:p>
    <w:p w14:paraId="1538A5B8" w14:textId="1EEBADE3" w:rsidR="00F3716D" w:rsidRDefault="00F3716D" w:rsidP="00F3716D">
      <w:pPr>
        <w:spacing w:line="360" w:lineRule="auto"/>
      </w:pPr>
      <w:r>
        <w:t xml:space="preserve">Persons or entities (e.g., businesses, nonprofits) are legally responsible for their own acts or </w:t>
      </w:r>
      <w:r w:rsidR="004E3ADD">
        <w:t>omissions and</w:t>
      </w:r>
      <w:r w:rsidR="00A458AC">
        <w:t xml:space="preserve"> </w:t>
      </w:r>
      <w:r w:rsidR="005B6358">
        <w:t xml:space="preserve">may </w:t>
      </w:r>
      <w:r>
        <w:t xml:space="preserve">be vicariously liable for the acts or omissions of another person with whom they have a particular legal relationship (e.g., employee, agent, officer). Persons and entities involved in emergency response activities could be liable under a number of legal theories; most commonly, for civil tort liability. A tort is an action in which an actor (a person or entity) either intentionally or unintentionally causes harm to another person or property. Intentional torts occur when an actor intends to harm a person or property. Unintentional torts occur when an actor harms another person or property but did not intend to harm. </w:t>
      </w:r>
    </w:p>
    <w:p w14:paraId="393A3E83" w14:textId="77777777" w:rsidR="00F3716D" w:rsidRDefault="00F3716D" w:rsidP="00F3716D">
      <w:pPr>
        <w:spacing w:line="360" w:lineRule="auto"/>
      </w:pPr>
    </w:p>
    <w:p w14:paraId="0A7D0A0D" w14:textId="3FBCE183" w:rsidR="00F3716D" w:rsidRDefault="00F3716D" w:rsidP="00F3716D">
      <w:pPr>
        <w:spacing w:line="360" w:lineRule="auto"/>
      </w:pPr>
      <w:r>
        <w:t>Negligence is the most frequently identified unintentional tort and the legal theory most likely to arise from harms stemming from an emergency response.</w:t>
      </w:r>
      <w:r w:rsidR="00E32488">
        <w:rPr>
          <w:rStyle w:val="FootnoteReference"/>
        </w:rPr>
        <w:footnoteReference w:id="7"/>
      </w:r>
      <w:r>
        <w:t xml:space="preserve"> Negligence occurs when a person or entity with a duty to another fails in the performance of that duty, thereby causing harm to the other person. Within negligence there are a number of theories that could apply in the emergency response context: medical malpractice, failure to plan or prepare, breach of privacy and confidentiality, or premises liability. A claim of gross negligence, which can also encompass willful or wanton conduct, can arise if the conduct or failure to act is so reckless that it demonstrates disregard for whether injury or harm will occur. A person or entity may assert a defense of immunity against a negligence claim. </w:t>
      </w:r>
    </w:p>
    <w:p w14:paraId="79F73BC2" w14:textId="77777777" w:rsidR="00F3716D" w:rsidRDefault="00F3716D" w:rsidP="00F3716D">
      <w:pPr>
        <w:spacing w:line="360" w:lineRule="auto"/>
      </w:pPr>
    </w:p>
    <w:p w14:paraId="1CBC73AB" w14:textId="34D28A27" w:rsidR="00F3716D" w:rsidRPr="00306890" w:rsidRDefault="00F3716D" w:rsidP="00F3716D">
      <w:pPr>
        <w:spacing w:line="360" w:lineRule="auto"/>
        <w:rPr>
          <w:b/>
          <w:bCs/>
        </w:rPr>
      </w:pPr>
      <w:r w:rsidRPr="00306890">
        <w:rPr>
          <w:b/>
          <w:bCs/>
        </w:rPr>
        <w:t>Immunity</w:t>
      </w:r>
      <w:r w:rsidR="00306890" w:rsidRPr="00306890">
        <w:rPr>
          <w:b/>
          <w:bCs/>
        </w:rPr>
        <w:t xml:space="preserve"> in Emergencies</w:t>
      </w:r>
    </w:p>
    <w:p w14:paraId="04AE3A12" w14:textId="778A01E4" w:rsidR="00F3716D" w:rsidRDefault="00F3716D" w:rsidP="00F3716D">
      <w:pPr>
        <w:spacing w:line="360" w:lineRule="auto"/>
      </w:pPr>
      <w:r>
        <w:t xml:space="preserve">There are traditional immunities in the law as well as newer immunity protections that have been developed over the last </w:t>
      </w:r>
      <w:r w:rsidR="00B73120">
        <w:t>twenty years</w:t>
      </w:r>
      <w:r>
        <w:t xml:space="preserve"> in federal and </w:t>
      </w:r>
      <w:r w:rsidR="00B73120">
        <w:t>STLT law</w:t>
      </w:r>
      <w:r>
        <w:t xml:space="preserve">; together, these various laws form a patchwork of liability protections. These protections serve an important public policy function by ensuring that there are adequate numbers of medical, public health, and other individuals and institutions that are able to participate in preparedness and response efforts. Yet these protections can depend on the nature of the services provided by the person (volunteer vs. paid employee) and the extent of protections provided under the emergency response program the person is deployed under. </w:t>
      </w:r>
    </w:p>
    <w:p w14:paraId="2AF67AF0" w14:textId="77777777" w:rsidR="00F3716D" w:rsidRDefault="00F3716D" w:rsidP="00F3716D">
      <w:pPr>
        <w:spacing w:line="360" w:lineRule="auto"/>
      </w:pPr>
    </w:p>
    <w:p w14:paraId="4CD71E15" w14:textId="77777777" w:rsidR="00F3716D" w:rsidRDefault="00F3716D" w:rsidP="00F3716D">
      <w:pPr>
        <w:spacing w:line="360" w:lineRule="auto"/>
      </w:pPr>
      <w:r>
        <w:t xml:space="preserve">The defense of governmental or sovereign immunity is a traditional theory of immunity that has its roots in English common law. This doctrine holds that a government and employees and agents of the government cannot be sued for injuries that occur in the course of their official duties. This immunity, however, has been refined over time. In one approach, state and federal tort claims laws expressly allow governments to be sued like a private party with certain exceptions. In another approach, the overall concept of governmental immunity is retained but waived in some instances, such as when government employees have committed gross negligence, criminal acts, or violations of constitutional rights. </w:t>
      </w:r>
    </w:p>
    <w:p w14:paraId="73A9DDBF" w14:textId="77777777" w:rsidR="00F3716D" w:rsidRDefault="00F3716D" w:rsidP="00F3716D">
      <w:pPr>
        <w:spacing w:line="360" w:lineRule="auto"/>
      </w:pPr>
    </w:p>
    <w:p w14:paraId="721349E4" w14:textId="1D873007" w:rsidR="00642715" w:rsidRDefault="002F121A" w:rsidP="007B4D22">
      <w:pPr>
        <w:spacing w:after="120" w:line="360" w:lineRule="auto"/>
      </w:pPr>
      <w:r>
        <w:t>Several</w:t>
      </w:r>
      <w:r w:rsidR="00F3716D">
        <w:t xml:space="preserve"> federal, </w:t>
      </w:r>
      <w:r w:rsidR="006254E3">
        <w:t>S</w:t>
      </w:r>
      <w:r w:rsidR="00271AB3">
        <w:t>T</w:t>
      </w:r>
      <w:r w:rsidR="006254E3">
        <w:t>LT</w:t>
      </w:r>
      <w:r w:rsidR="00F3716D">
        <w:t xml:space="preserve">, and model laws have been created or refined that provide immunity and other liability protections for specific individuals, entities, or classes of actors for their roles in preparing for or responding to an emergency. </w:t>
      </w:r>
      <w:r w:rsidR="0048507E">
        <w:t xml:space="preserve">STLT jurisdictions have their own body of law regarding immunity protections during emergencies. </w:t>
      </w:r>
      <w:r w:rsidR="00642715">
        <w:t>Some of the</w:t>
      </w:r>
      <w:r w:rsidR="00095F70">
        <w:t xml:space="preserve"> key federal laws include</w:t>
      </w:r>
      <w:r w:rsidR="004D45F5">
        <w:t xml:space="preserve"> the </w:t>
      </w:r>
      <w:r w:rsidR="002D004E">
        <w:t>following:</w:t>
      </w:r>
    </w:p>
    <w:p w14:paraId="7CEA56DC" w14:textId="15E45E17" w:rsidR="002D004E" w:rsidRDefault="0048507E" w:rsidP="007B4D22">
      <w:pPr>
        <w:pStyle w:val="ListParagraph"/>
        <w:numPr>
          <w:ilvl w:val="0"/>
          <w:numId w:val="6"/>
        </w:numPr>
        <w:spacing w:after="120" w:line="360" w:lineRule="auto"/>
        <w:contextualSpacing w:val="0"/>
      </w:pPr>
      <w:r w:rsidRPr="0048507E">
        <w:rPr>
          <w:b/>
          <w:bCs/>
        </w:rPr>
        <w:t>Federal Tort Claims Act (FTCA)—</w:t>
      </w:r>
      <w:r w:rsidRPr="00BC079F">
        <w:t xml:space="preserve">Permits lawsuits to be brought against federal government </w:t>
      </w:r>
      <w:r w:rsidR="00335AA7">
        <w:t xml:space="preserve">and tribal </w:t>
      </w:r>
      <w:r w:rsidRPr="00BC079F">
        <w:t>employees in certain circumstances.</w:t>
      </w:r>
      <w:r w:rsidR="00EF3B25">
        <w:rPr>
          <w:rStyle w:val="FootnoteReference"/>
        </w:rPr>
        <w:footnoteReference w:id="8"/>
      </w:r>
      <w:r w:rsidRPr="00BC079F">
        <w:t xml:space="preserve"> FTCA allows individuals to seek compensation when they are injured by </w:t>
      </w:r>
      <w:r w:rsidR="00335AA7">
        <w:t xml:space="preserve">government </w:t>
      </w:r>
      <w:r w:rsidRPr="00BC079F">
        <w:t xml:space="preserve">employees acting within the scope of their duties. The act immunizes government employees from tort liability (except in certain instances); the federal government assumes an employee’s role as defendant in a lawsuit against the employee. </w:t>
      </w:r>
      <w:r w:rsidR="00B33744" w:rsidRPr="00B33744">
        <w:t>In the Indian Self-Determination and Education Assistance Act</w:t>
      </w:r>
      <w:r w:rsidR="00B33744" w:rsidRPr="00B33744">
        <w:rPr>
          <w:vertAlign w:val="superscript"/>
        </w:rPr>
        <w:footnoteReference w:id="9"/>
      </w:r>
      <w:r w:rsidR="00B33744" w:rsidRPr="00B33744">
        <w:t>, Congress extended FTCA coverage to negligent acts of tribal contractors fulfilling federal contracts, grants, or cooperative agreements, including those with the Indian Health Service</w:t>
      </w:r>
      <w:r w:rsidR="002211FF">
        <w:t xml:space="preserve">. </w:t>
      </w:r>
    </w:p>
    <w:p w14:paraId="48D972BC" w14:textId="276FE596" w:rsidR="002D004E" w:rsidRDefault="002D004E" w:rsidP="007B4D22">
      <w:pPr>
        <w:pStyle w:val="ListParagraph"/>
        <w:numPr>
          <w:ilvl w:val="0"/>
          <w:numId w:val="6"/>
        </w:numPr>
        <w:spacing w:after="120" w:line="360" w:lineRule="auto"/>
        <w:contextualSpacing w:val="0"/>
      </w:pPr>
      <w:r w:rsidRPr="00BC079F">
        <w:rPr>
          <w:b/>
          <w:bCs/>
        </w:rPr>
        <w:t>Volunteer Protection Act—</w:t>
      </w:r>
      <w:r w:rsidRPr="00BC079F">
        <w:t>Provides immunity from ordinary negligence to volunteers of nonprofit organizations or governmental entities. It does not cover gross negligence, willful misconduct, recklessness or acts committed by the volunteer while intoxicated or operating a motor vehicle.</w:t>
      </w:r>
      <w:r w:rsidR="00271AB3">
        <w:rPr>
          <w:rStyle w:val="FootnoteReference"/>
        </w:rPr>
        <w:footnoteReference w:id="10"/>
      </w:r>
      <w:r w:rsidRPr="00BC079F">
        <w:t xml:space="preserve"> It does not cover organizational entities of any type or persons volunteering at private businesses. The act does not require a declared emergency for its protections to apply.</w:t>
      </w:r>
    </w:p>
    <w:p w14:paraId="5D1C4452" w14:textId="165DBAA7" w:rsidR="002D004E" w:rsidRDefault="002D004E" w:rsidP="0055374D">
      <w:pPr>
        <w:pStyle w:val="ListParagraph"/>
        <w:keepNext/>
        <w:numPr>
          <w:ilvl w:val="0"/>
          <w:numId w:val="6"/>
        </w:numPr>
        <w:spacing w:line="360" w:lineRule="auto"/>
      </w:pPr>
      <w:r w:rsidRPr="00BC079F">
        <w:rPr>
          <w:b/>
          <w:bCs/>
        </w:rPr>
        <w:t>Public Readiness and Emergency Preparedness Act (PREP Act)—</w:t>
      </w:r>
      <w:r w:rsidRPr="00BC079F">
        <w:t xml:space="preserve">Authorizes the HHS secretary to issue a declaration that provides immunity from tort liability for claims of loss caused by </w:t>
      </w:r>
      <w:r w:rsidRPr="00BC079F">
        <w:lastRenderedPageBreak/>
        <w:t>countermeasures against diseases or other threats of public health emergencies.</w:t>
      </w:r>
      <w:r w:rsidR="00477EB7">
        <w:rPr>
          <w:rStyle w:val="FootnoteReference"/>
        </w:rPr>
        <w:footnoteReference w:id="11"/>
      </w:r>
      <w:r w:rsidRPr="00BC079F">
        <w:t xml:space="preserve"> The act covers persons and entities involved in the manufacture, testing, distribution, administration, and use of covered countermeasures. A PREP Act declaration is different from and independent of other federal emergency declarations. A separate emergency declaration under Public Health Service Act </w:t>
      </w:r>
      <w:r w:rsidR="0042130D">
        <w:t>s</w:t>
      </w:r>
      <w:r w:rsidRPr="00BC079F">
        <w:t>ection 319 or another statute is not required for PREP Act immunities take effect.</w:t>
      </w:r>
    </w:p>
    <w:p w14:paraId="42D6B56E" w14:textId="77777777" w:rsidR="00F3716D" w:rsidRDefault="00F3716D" w:rsidP="00F3716D">
      <w:pPr>
        <w:spacing w:line="360" w:lineRule="auto"/>
      </w:pPr>
    </w:p>
    <w:p w14:paraId="41FB11EE" w14:textId="77777777" w:rsidR="00F3716D" w:rsidRPr="007B4D22" w:rsidRDefault="00F3716D" w:rsidP="00F3716D">
      <w:pPr>
        <w:spacing w:line="360" w:lineRule="auto"/>
        <w:rPr>
          <w:b/>
          <w:bCs/>
          <w:sz w:val="24"/>
          <w:szCs w:val="24"/>
        </w:rPr>
      </w:pPr>
      <w:r w:rsidRPr="007B4D22">
        <w:rPr>
          <w:b/>
          <w:bCs/>
          <w:sz w:val="24"/>
          <w:szCs w:val="24"/>
        </w:rPr>
        <w:t>Workers’ Compensation and Disability Resources</w:t>
      </w:r>
    </w:p>
    <w:p w14:paraId="57EBB08D" w14:textId="77777777" w:rsidR="00F3716D" w:rsidRDefault="00F3716D" w:rsidP="00F3716D">
      <w:pPr>
        <w:spacing w:line="360" w:lineRule="auto"/>
      </w:pPr>
      <w:r>
        <w:t xml:space="preserve">Volunteers and other responders who participate in emergency response events may be injured during their deployment. Depending on the circumstances, workers’ compensation and other disability benefits may be available to provide payment for injuries received while participating in a response. These protections, however, are highly dependent on the nature of the services provided by the person (volunteer vs. paid employee) and an individual’s access to alternative compensation mechanisms. Workers’ compensation laws are enacted and administered by states. As such, each program is unique and the requirements for coverage and the types and amounts of benefits vary state to state. Some types of organizations or activities are exempted from coverage under state workers’ compensation programs, including nonprofit, charitable, or religious institutions, small businesses under a specific size, and hazardous occupations. Some states also exempt domestic service, agricultural employment, casual laborers, and state and local employees. Some of these groups may be provided coverage through other mechanisms, such as disability insurance or union agreements. </w:t>
      </w:r>
    </w:p>
    <w:p w14:paraId="07E0E9F1" w14:textId="77777777" w:rsidR="00F3716D" w:rsidRDefault="00F3716D" w:rsidP="00F3716D">
      <w:pPr>
        <w:spacing w:line="360" w:lineRule="auto"/>
      </w:pPr>
    </w:p>
    <w:p w14:paraId="5A7B786C" w14:textId="77777777" w:rsidR="00F3716D" w:rsidRDefault="00F3716D" w:rsidP="00F3716D">
      <w:pPr>
        <w:spacing w:line="360" w:lineRule="auto"/>
      </w:pPr>
      <w:r>
        <w:t xml:space="preserve">Persons who act as volunteers in an emergency response scenario may not be eligible for coverage under a state’s workers’ compensation law because they are not considered to be employees while they are volunteering. Other considerations that can affect the determination of whether a person is eligible for workers’ compensation include which state law applies in an interstate deployment, who is covered under a state’s workers’ compensation law, who the employer is during the deployment, and what scope of activities are covered during the deployment. </w:t>
      </w:r>
    </w:p>
    <w:p w14:paraId="4DC7B813" w14:textId="77777777" w:rsidR="00F3716D" w:rsidRDefault="00F3716D" w:rsidP="00F3716D">
      <w:pPr>
        <w:spacing w:line="360" w:lineRule="auto"/>
      </w:pPr>
    </w:p>
    <w:p w14:paraId="497E38D8" w14:textId="16FB6CE7" w:rsidR="00271AB3" w:rsidRDefault="00F3716D" w:rsidP="004B49F2">
      <w:pPr>
        <w:spacing w:line="360" w:lineRule="auto"/>
      </w:pPr>
      <w:r>
        <w:t xml:space="preserve">As an addition or an alternative to workers’ compensation, an individual may have access to other sources of disability benefits. Some people may have coverage for work-related or non-work-related injuries through paid sick leave, temporary or short-term disability benefits/insurance, and long-term </w:t>
      </w:r>
      <w:r>
        <w:lastRenderedPageBreak/>
        <w:t xml:space="preserve">disability insurance. Not all persons have access to these additional resources, however, unless an employer offers them or a person obtains an individual disability policy. The specifics of a disability policy will dictate whether coverage is available only for work-related injuries or for non-work-related injuries that may occur during a volunteer emergency response deployment. Federal and state laws have created mechanisms or funds to compensate specific groups of people based on their occupation or involvement in a specific injurious event. </w:t>
      </w:r>
      <w:r w:rsidR="006F316C">
        <w:t xml:space="preserve">One such </w:t>
      </w:r>
      <w:r w:rsidR="004B49F2">
        <w:t xml:space="preserve">federal law is the </w:t>
      </w:r>
      <w:r w:rsidR="00271AB3" w:rsidRPr="004B49F2">
        <w:t>Federal Employees Compensation Act (FECA)</w:t>
      </w:r>
      <w:r w:rsidR="004B49F2">
        <w:t>, which pr</w:t>
      </w:r>
      <w:r w:rsidR="00271AB3" w:rsidRPr="00BC079F">
        <w:t>ovides workers’ compensation to civilian federal employees who are injured or killed during the course of their duties.</w:t>
      </w:r>
      <w:r w:rsidR="00271AB3">
        <w:rPr>
          <w:rStyle w:val="FootnoteReference"/>
        </w:rPr>
        <w:footnoteReference w:id="12"/>
      </w:r>
      <w:r w:rsidR="00271AB3" w:rsidRPr="00BC079F">
        <w:t xml:space="preserve"> Volunteers who may deploy in states under federal programs like the National Disaster Medical System or are otherwise deemed to be federal employees are covered under FECA.</w:t>
      </w:r>
    </w:p>
    <w:p w14:paraId="25851208" w14:textId="2342923A" w:rsidR="00F3716D" w:rsidRDefault="00F3716D" w:rsidP="004531F5">
      <w:pPr>
        <w:spacing w:line="360" w:lineRule="auto"/>
      </w:pPr>
    </w:p>
    <w:p w14:paraId="4BF073DE" w14:textId="3CAEA10F" w:rsidR="00562920" w:rsidRPr="00562920" w:rsidRDefault="00562920" w:rsidP="004531F5">
      <w:pPr>
        <w:spacing w:line="360" w:lineRule="auto"/>
        <w:rPr>
          <w:b/>
          <w:bCs/>
          <w:sz w:val="24"/>
          <w:szCs w:val="24"/>
        </w:rPr>
      </w:pPr>
      <w:r w:rsidRPr="00562920">
        <w:rPr>
          <w:b/>
          <w:bCs/>
          <w:sz w:val="24"/>
          <w:szCs w:val="24"/>
        </w:rPr>
        <w:t>Mutual Aid Agreements</w:t>
      </w:r>
    </w:p>
    <w:p w14:paraId="52A2ADC9" w14:textId="77777777" w:rsidR="00EF3B25" w:rsidRDefault="00562920" w:rsidP="00BC079F">
      <w:pPr>
        <w:spacing w:line="360" w:lineRule="auto"/>
        <w:rPr>
          <w:rFonts w:eastAsia="Times New Roman" w:cstheme="minorHAnsi"/>
          <w:szCs w:val="20"/>
        </w:rPr>
      </w:pPr>
      <w:r>
        <w:t xml:space="preserve">Mutual aid agreements in which jurisdictions agree to exchange assistance during emergencies can also provide a source of immunity. Jurisdictions may have multiple mutual aid agreements with different parties. A key mutual aid tool is the </w:t>
      </w:r>
      <w:r w:rsidRPr="00BC079F">
        <w:t>Emergency Management Assistance Compact (EMAC)</w:t>
      </w:r>
      <w:r>
        <w:t xml:space="preserve">, which is a </w:t>
      </w:r>
      <w:r w:rsidRPr="00BC079F">
        <w:t>congressionally authorized interstate mutual aid compact that provides a mechanism through which states can provide assistance to other states during emergencies.</w:t>
      </w:r>
      <w:r>
        <w:rPr>
          <w:rStyle w:val="FootnoteReference"/>
        </w:rPr>
        <w:footnoteReference w:id="13"/>
      </w:r>
      <w:r w:rsidRPr="00BC079F">
        <w:t xml:space="preserve"> All states</w:t>
      </w:r>
      <w:r>
        <w:t>, DC and some territories</w:t>
      </w:r>
      <w:r w:rsidRPr="00BC079F">
        <w:t xml:space="preserve"> have joined EMAC by adopting model language into their state’s statutes. EMAC addresses reimbursement, liability, compensation, and licensure issues.</w:t>
      </w:r>
    </w:p>
    <w:p w14:paraId="11A57D54" w14:textId="5B4A9D56" w:rsidR="00622518" w:rsidRDefault="00622518" w:rsidP="004531F5">
      <w:pPr>
        <w:spacing w:line="360" w:lineRule="auto"/>
        <w:rPr>
          <w:rFonts w:eastAsia="Times New Roman" w:cstheme="minorHAnsi"/>
          <w:szCs w:val="20"/>
        </w:rPr>
      </w:pPr>
    </w:p>
    <w:p w14:paraId="5882C5C8" w14:textId="2BEA65D2" w:rsidR="00E7725E" w:rsidRDefault="00E7725E" w:rsidP="004531F5">
      <w:pPr>
        <w:spacing w:line="360" w:lineRule="auto"/>
        <w:rPr>
          <w:rFonts w:eastAsia="Times New Roman" w:cstheme="minorHAnsi"/>
          <w:szCs w:val="20"/>
        </w:rPr>
      </w:pPr>
    </w:p>
    <w:p w14:paraId="5A50ECCC" w14:textId="61A24601" w:rsidR="00E7725E" w:rsidRPr="00EF3B25" w:rsidRDefault="00AE4D0D" w:rsidP="004531F5">
      <w:pPr>
        <w:spacing w:line="360" w:lineRule="auto"/>
        <w:rPr>
          <w:rFonts w:eastAsia="Times New Roman" w:cstheme="minorHAnsi"/>
          <w:szCs w:val="20"/>
        </w:rPr>
      </w:pPr>
      <w:r>
        <w:rPr>
          <w:noProof/>
        </w:rPr>
        <mc:AlternateContent>
          <mc:Choice Requires="wps">
            <w:drawing>
              <wp:anchor distT="45720" distB="45720" distL="114300" distR="114300" simplePos="0" relativeHeight="251659264" behindDoc="0" locked="0" layoutInCell="1" allowOverlap="1" wp14:anchorId="2964825C" wp14:editId="7DCA6E5E">
                <wp:simplePos x="0" y="0"/>
                <wp:positionH relativeFrom="margin">
                  <wp:align>center</wp:align>
                </wp:positionH>
                <wp:positionV relativeFrom="paragraph">
                  <wp:posOffset>1531620</wp:posOffset>
                </wp:positionV>
                <wp:extent cx="5513705" cy="1404620"/>
                <wp:effectExtent l="0" t="0" r="10795" b="254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13705" cy="1404620"/>
                        </a:xfrm>
                        <a:prstGeom prst="rect">
                          <a:avLst/>
                        </a:prstGeom>
                        <a:solidFill>
                          <a:srgbClr val="FFFFFF"/>
                        </a:solidFill>
                        <a:ln w="9525">
                          <a:solidFill>
                            <a:srgbClr val="000000"/>
                          </a:solidFill>
                          <a:miter lim="800000"/>
                          <a:headEnd/>
                          <a:tailEnd/>
                        </a:ln>
                      </wps:spPr>
                      <wps:txbx>
                        <w:txbxContent>
                          <w:p w14:paraId="70F9477D" w14:textId="77777777" w:rsidR="00AE4D0D" w:rsidRPr="004C64AD" w:rsidRDefault="00AE4D0D" w:rsidP="00AE4D0D">
                            <w:pPr>
                              <w:rPr>
                                <w:sz w:val="20"/>
                                <w:szCs w:val="20"/>
                              </w:rPr>
                            </w:pPr>
                            <w:r w:rsidRPr="004C64AD">
                              <w:rPr>
                                <w:sz w:val="20"/>
                                <w:szCs w:val="20"/>
                              </w:rPr>
                              <w:t xml:space="preserve">This CSTE project was funded under a cooperative agreement with the Centers for Disease Control and Prevention (NU38OT000297-01-00). The </w:t>
                            </w:r>
                            <w:r>
                              <w:rPr>
                                <w:sz w:val="20"/>
                                <w:szCs w:val="20"/>
                              </w:rPr>
                              <w:t>document</w:t>
                            </w:r>
                            <w:r w:rsidRPr="004C64AD">
                              <w:rPr>
                                <w:sz w:val="20"/>
                                <w:szCs w:val="20"/>
                              </w:rPr>
                              <w:t xml:space="preserve"> was authored for CSTE by Patricia </w:t>
                            </w:r>
                            <w:r>
                              <w:rPr>
                                <w:sz w:val="20"/>
                                <w:szCs w:val="20"/>
                              </w:rPr>
                              <w:t xml:space="preserve">I. </w:t>
                            </w:r>
                            <w:r w:rsidRPr="004C64AD">
                              <w:rPr>
                                <w:sz w:val="20"/>
                                <w:szCs w:val="20"/>
                              </w:rPr>
                              <w:t>Elliott JD, MPH</w:t>
                            </w:r>
                            <w:r>
                              <w:rPr>
                                <w:sz w:val="20"/>
                                <w:szCs w:val="20"/>
                              </w:rPr>
                              <w:t xml:space="preserve"> of Health|Environment Concepts.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964825C" id="_x0000_t202" coordsize="21600,21600" o:spt="202" path="m,l,21600r21600,l21600,xe">
                <v:stroke joinstyle="miter"/>
                <v:path gradientshapeok="t" o:connecttype="rect"/>
              </v:shapetype>
              <v:shape id="Text Box 2" o:spid="_x0000_s1026" type="#_x0000_t202" style="position:absolute;margin-left:0;margin-top:120.6pt;width:434.15pt;height:110.6pt;z-index:251659264;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">
                <v:textbox style="mso-fit-shape-to-text:t">
                  <w:txbxContent>
                    <w:p w14:paraId="70F9477D" w14:textId="77777777" w:rsidR="00AE4D0D" w:rsidRPr="004C64AD" w:rsidRDefault="00AE4D0D" w:rsidP="00AE4D0D">
                      <w:pPr>
                        <w:rPr>
                          <w:sz w:val="20"/>
                          <w:szCs w:val="20"/>
                        </w:rPr>
                      </w:pPr>
                      <w:r w:rsidRPr="004C64AD">
                        <w:rPr>
                          <w:sz w:val="20"/>
                          <w:szCs w:val="20"/>
                        </w:rPr>
                        <w:t xml:space="preserve">This CSTE project was funded under a cooperative agreement with the Centers for Disease Control and Prevention (NU38OT000297-01-00). The </w:t>
                      </w:r>
                      <w:r>
                        <w:rPr>
                          <w:sz w:val="20"/>
                          <w:szCs w:val="20"/>
                        </w:rPr>
                        <w:t>document</w:t>
                      </w:r>
                      <w:r w:rsidRPr="004C64AD">
                        <w:rPr>
                          <w:sz w:val="20"/>
                          <w:szCs w:val="20"/>
                        </w:rPr>
                        <w:t xml:space="preserve"> was authored for CSTE by Patricia </w:t>
                      </w:r>
                      <w:r>
                        <w:rPr>
                          <w:sz w:val="20"/>
                          <w:szCs w:val="20"/>
                        </w:rPr>
                        <w:t xml:space="preserve">I. </w:t>
                      </w:r>
                      <w:r w:rsidRPr="004C64AD">
                        <w:rPr>
                          <w:sz w:val="20"/>
                          <w:szCs w:val="20"/>
                        </w:rPr>
                        <w:t>Elliott JD, MPH</w:t>
                      </w:r>
                      <w:r>
                        <w:rPr>
                          <w:sz w:val="20"/>
                          <w:szCs w:val="20"/>
                        </w:rPr>
                        <w:t xml:space="preserve"> of Health|Environment Concepts.</w:t>
                      </w:r>
                    </w:p>
                  </w:txbxContent>
                </v:textbox>
                <w10:wrap type="square" anchorx="margin"/>
              </v:shape>
            </w:pict>
          </mc:Fallback>
        </mc:AlternateContent>
      </w:r>
    </w:p>
    <w:sectPr w:rsidR="00E7725E" w:rsidRPr="00EF3B25" w:rsidSect="004A4AE5">
      <w:headerReference w:type="default"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5070424" w14:textId="77777777" w:rsidR="00544E47" w:rsidRDefault="00544E47" w:rsidP="00544E47">
      <w:r>
        <w:separator/>
      </w:r>
    </w:p>
  </w:endnote>
  <w:endnote w:type="continuationSeparator" w:id="0">
    <w:p w14:paraId="7BB2D98B" w14:textId="77777777" w:rsidR="00544E47" w:rsidRDefault="00544E47" w:rsidP="00544E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82743612"/>
      <w:docPartObj>
        <w:docPartGallery w:val="Page Numbers (Bottom of Page)"/>
        <w:docPartUnique/>
      </w:docPartObj>
    </w:sdtPr>
    <w:sdtEndPr>
      <w:rPr>
        <w:noProof/>
      </w:rPr>
    </w:sdtEndPr>
    <w:sdtContent>
      <w:p w14:paraId="2AA03A7D" w14:textId="0B1668B8" w:rsidR="00095EE9" w:rsidRDefault="00095EE9" w:rsidP="00095EE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AB91B2" w14:textId="77777777" w:rsidR="003A6A18" w:rsidRDefault="003A6A18" w:rsidP="003A6A18">
    <w:pPr>
      <w:ind w:left="720"/>
      <w:jc w:val="center"/>
      <w:rPr>
        <w:i/>
        <w:iCs/>
        <w:sz w:val="20"/>
        <w:szCs w:val="20"/>
      </w:rPr>
    </w:pPr>
    <w:r w:rsidRPr="00026FC3">
      <w:rPr>
        <w:i/>
        <w:iCs/>
        <w:sz w:val="20"/>
        <w:szCs w:val="20"/>
      </w:rPr>
      <w:t>NOTICE: This resource is for informational purposes only</w:t>
    </w:r>
    <w:r>
      <w:rPr>
        <w:i/>
        <w:iCs/>
        <w:sz w:val="20"/>
        <w:szCs w:val="20"/>
      </w:rPr>
      <w:t xml:space="preserve">. It </w:t>
    </w:r>
    <w:r w:rsidRPr="00026FC3">
      <w:rPr>
        <w:i/>
        <w:iCs/>
        <w:sz w:val="20"/>
        <w:szCs w:val="20"/>
      </w:rPr>
      <w:t xml:space="preserve">is not intended as a </w:t>
    </w:r>
  </w:p>
  <w:p w14:paraId="08846D87" w14:textId="2751C336" w:rsidR="00C55D9B" w:rsidRDefault="003A6A18" w:rsidP="003A6A18">
    <w:pPr>
      <w:pStyle w:val="Footer"/>
      <w:jc w:val="center"/>
    </w:pPr>
    <w:r w:rsidRPr="00026FC3">
      <w:rPr>
        <w:i/>
        <w:iCs/>
        <w:sz w:val="20"/>
        <w:szCs w:val="20"/>
      </w:rPr>
      <w:t>substitute for professional legal or other advice.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CBF3FB5" w14:textId="77777777" w:rsidR="00544E47" w:rsidRDefault="00544E47" w:rsidP="00544E47">
      <w:r>
        <w:separator/>
      </w:r>
    </w:p>
  </w:footnote>
  <w:footnote w:type="continuationSeparator" w:id="0">
    <w:p w14:paraId="284C6C73" w14:textId="77777777" w:rsidR="00544E47" w:rsidRDefault="00544E47" w:rsidP="00544E47">
      <w:r>
        <w:continuationSeparator/>
      </w:r>
    </w:p>
  </w:footnote>
  <w:footnote w:id="1">
    <w:p w14:paraId="356F7BF9" w14:textId="0BCE9836" w:rsidR="00B15976" w:rsidRPr="00B15976" w:rsidRDefault="00B15976" w:rsidP="00B15976">
      <w:pPr>
        <w:tabs>
          <w:tab w:val="left" w:pos="686"/>
        </w:tabs>
        <w:rPr>
          <w:b/>
          <w:bCs/>
          <w:sz w:val="20"/>
          <w:szCs w:val="20"/>
        </w:rPr>
      </w:pPr>
      <w:r>
        <w:rPr>
          <w:b/>
          <w:bCs/>
          <w:sz w:val="20"/>
          <w:szCs w:val="20"/>
          <w:highlight w:val="yellow"/>
        </w:rPr>
        <w:t>Footnotes will be streamlined and edited to style guide once text is finalized</w:t>
      </w:r>
    </w:p>
    <w:p w14:paraId="6FCA9CFB" w14:textId="5CF81CA3" w:rsidR="00544E47" w:rsidRDefault="00544E47" w:rsidP="00544E47">
      <w:pPr>
        <w:pStyle w:val="FootnoteText"/>
      </w:pPr>
      <w:r>
        <w:rPr>
          <w:rStyle w:val="FootnoteReference"/>
        </w:rPr>
        <w:footnoteRef/>
      </w:r>
      <w:r>
        <w:t xml:space="preserve"> CDC. Selected Federal Legal Authorities Pertinent to Public Health Emergencies. August 2017. Retrieved from </w:t>
      </w:r>
      <w:hyperlink r:id="rId1" w:history="1">
        <w:r>
          <w:rPr>
            <w:rStyle w:val="Hyperlink"/>
          </w:rPr>
          <w:t>https://www.cdc.gov/phlp/docs/ph-emergencies.pdf</w:t>
        </w:r>
      </w:hyperlink>
      <w:r>
        <w:t>.</w:t>
      </w:r>
    </w:p>
  </w:footnote>
  <w:footnote w:id="2">
    <w:p w14:paraId="27B2DD04" w14:textId="2949D10E" w:rsidR="00D302BA" w:rsidRDefault="00D302BA">
      <w:pPr>
        <w:pStyle w:val="FootnoteText"/>
      </w:pPr>
      <w:r>
        <w:rPr>
          <w:rStyle w:val="FootnoteReference"/>
        </w:rPr>
        <w:footnoteRef/>
      </w:r>
      <w:r>
        <w:t xml:space="preserve"> </w:t>
      </w:r>
      <w:bookmarkStart w:id="0" w:name="_Hlk20320961"/>
      <w:r>
        <w:t>National Emergencies Act, Pub. L. No. 94-412. Codified at 50 U.S.C. §1601 - §1651.</w:t>
      </w:r>
      <w:bookmarkEnd w:id="0"/>
    </w:p>
  </w:footnote>
  <w:footnote w:id="3">
    <w:p w14:paraId="65408E1B" w14:textId="702890B1" w:rsidR="00486BF2" w:rsidRDefault="00486BF2">
      <w:pPr>
        <w:pStyle w:val="FootnoteText"/>
      </w:pPr>
      <w:r>
        <w:rPr>
          <w:rStyle w:val="FootnoteReference"/>
        </w:rPr>
        <w:footnoteRef/>
      </w:r>
      <w:r>
        <w:t xml:space="preserve"> </w:t>
      </w:r>
      <w:r w:rsidR="00F017DE" w:rsidRPr="00F017DE">
        <w:t xml:space="preserve">Robert T. Stafford Disaster Relief and Emergency Assistance Act of 1988. Pub. L. No. 100-707; amending Pub. L. No. 93-288. Codified at 42 U.S.C. §§ 5121-5207. </w:t>
      </w:r>
      <w:r w:rsidR="0015221E" w:rsidRPr="00A9426E">
        <w:rPr>
          <w:i/>
          <w:iCs/>
        </w:rPr>
        <w:t>Note</w:t>
      </w:r>
      <w:r w:rsidR="0015221E">
        <w:t xml:space="preserve"> that the Disaster Recovery Reform Act of 2018 (DRRA) significantly amended the Stafford Act by, among other things, increasing federal investment in pre-disaster mitigation, raising reimbursement rates for STLT governments on some disaster costs, and authorizing STLT governments to administer housing assistance grants</w:t>
      </w:r>
      <w:r w:rsidR="00A9426E">
        <w:t xml:space="preserve">. </w:t>
      </w:r>
      <w:r w:rsidR="005C6EA3">
        <w:t>The Disaster Recovery Reform Act of 2018. Pub. L. No. 115–254, div. D. Codified in part at 42 U.S.C. §§ 5121-5207. The DRRA was included in the FAA Reauthorization Act (Pub. L. No. 115-254) as subdivision D.</w:t>
      </w:r>
    </w:p>
  </w:footnote>
  <w:footnote w:id="4">
    <w:p w14:paraId="48C47AA0" w14:textId="0C3DF872" w:rsidR="00CA505A" w:rsidRDefault="00CA505A">
      <w:pPr>
        <w:pStyle w:val="FootnoteText"/>
      </w:pPr>
      <w:r>
        <w:rPr>
          <w:rStyle w:val="FootnoteReference"/>
        </w:rPr>
        <w:footnoteRef/>
      </w:r>
      <w:r>
        <w:t xml:space="preserve"> </w:t>
      </w:r>
      <w:r w:rsidRPr="00CA505A">
        <w:t>Public Health Service Act, Pub. L. No. 104-321; Codified at 42 U.S.C. § 247d.</w:t>
      </w:r>
      <w:r>
        <w:t xml:space="preserve"> </w:t>
      </w:r>
    </w:p>
  </w:footnote>
  <w:footnote w:id="5">
    <w:p w14:paraId="0D9F2BD3" w14:textId="43D9D97C" w:rsidR="005D42A6" w:rsidRDefault="005D42A6">
      <w:pPr>
        <w:pStyle w:val="FootnoteText"/>
      </w:pPr>
      <w:r>
        <w:rPr>
          <w:rStyle w:val="FootnoteReference"/>
        </w:rPr>
        <w:footnoteRef/>
      </w:r>
      <w:r>
        <w:t xml:space="preserve"> </w:t>
      </w:r>
      <w:r w:rsidR="00E92049" w:rsidRPr="00E92049">
        <w:t>Social Security Act, Pub. L. No. 74-271, as amended. Codified at 42 U.S.C. ch. 7.</w:t>
      </w:r>
      <w:r w:rsidR="00F06D3E">
        <w:t xml:space="preserve"> </w:t>
      </w:r>
      <w:r w:rsidR="00F06D3E" w:rsidRPr="00F06D3E">
        <w:rPr>
          <w:i/>
          <w:iCs/>
        </w:rPr>
        <w:t>See</w:t>
      </w:r>
      <w:r w:rsidR="00F06D3E">
        <w:t xml:space="preserve"> </w:t>
      </w:r>
      <w:r w:rsidR="00F84D36">
        <w:t>42 U.S.C. §1320b–5.</w:t>
      </w:r>
    </w:p>
  </w:footnote>
  <w:footnote w:id="6">
    <w:p w14:paraId="146BD6C7" w14:textId="54765D52" w:rsidR="005B4FD9" w:rsidRDefault="005B4FD9" w:rsidP="005B4FD9">
      <w:pPr>
        <w:pStyle w:val="FootnoteText"/>
      </w:pPr>
      <w:r>
        <w:rPr>
          <w:rStyle w:val="FootnoteReference"/>
        </w:rPr>
        <w:footnoteRef/>
      </w:r>
      <w:r>
        <w:t xml:space="preserve"> Pandemic and All-Hazards Preparedness and Advancing Innovation Act of 2019, Pub. L. No. 116-22.</w:t>
      </w:r>
      <w:r w:rsidR="00E60FAD">
        <w:t xml:space="preserve"> Signed into law in June 2019, PAHPAIA is the latest reauthorization of the Pandemic and All-Hazards Preparedness Act first enacted in 2006</w:t>
      </w:r>
      <w:r w:rsidR="00120C80">
        <w:t xml:space="preserve"> (Pub. L. No. 109-417) and reauthorized in 2013 (Pub. L. No. 113–5). </w:t>
      </w:r>
      <w:r w:rsidR="00C46C99" w:rsidRPr="00C46C99">
        <w:t>PAHPAIA amends various provisions of Public Health Service Act and the Federal Food, Drug, and Cosmetic Act to effectuate the reauthorized act.</w:t>
      </w:r>
    </w:p>
  </w:footnote>
  <w:footnote w:id="7">
    <w:p w14:paraId="4C243F06" w14:textId="640D5EA7" w:rsidR="00E32488" w:rsidRDefault="00E32488">
      <w:pPr>
        <w:pStyle w:val="FootnoteText"/>
      </w:pPr>
      <w:r>
        <w:rPr>
          <w:rStyle w:val="FootnoteReference"/>
        </w:rPr>
        <w:footnoteRef/>
      </w:r>
      <w:r>
        <w:t xml:space="preserve"> </w:t>
      </w:r>
      <w:r w:rsidR="00B50824">
        <w:t>R</w:t>
      </w:r>
      <w:r w:rsidR="00B50824" w:rsidRPr="00B50824">
        <w:t>eaders should examine the laws in their own jurisdictions to determine how the theories of liability discussed here would be addressed in their specific jurisdictions.</w:t>
      </w:r>
    </w:p>
  </w:footnote>
  <w:footnote w:id="8">
    <w:p w14:paraId="2BDF446F" w14:textId="0CE744D1" w:rsidR="00EF3B25" w:rsidRDefault="00EF3B25">
      <w:pPr>
        <w:pStyle w:val="FootnoteText"/>
      </w:pPr>
      <w:r>
        <w:rPr>
          <w:rStyle w:val="FootnoteReference"/>
        </w:rPr>
        <w:footnoteRef/>
      </w:r>
      <w:r>
        <w:t xml:space="preserve"> </w:t>
      </w:r>
      <w:r w:rsidR="00CC659B" w:rsidRPr="00CC659B">
        <w:t>Federal Tort Claims Act, as amended. Codified at 28 U.S.C. §§1346(b), 2671-2680.</w:t>
      </w:r>
    </w:p>
  </w:footnote>
  <w:footnote w:id="9">
    <w:p w14:paraId="188243AF" w14:textId="13A2078C" w:rsidR="00B33744" w:rsidRDefault="00B33744" w:rsidP="00B33744">
      <w:pPr>
        <w:pStyle w:val="FootnoteText"/>
      </w:pPr>
      <w:r>
        <w:rPr>
          <w:rStyle w:val="FootnoteReference"/>
        </w:rPr>
        <w:footnoteRef/>
      </w:r>
      <w:r>
        <w:t xml:space="preserve"> Indian Self-Determination and Education Assistance Act of 1975. Pub. Law. No. 93–638, as amended. Codified at 25 U.S.C. 450f (d) and 25 U.S.C. 458aaa–15</w:t>
      </w:r>
      <w:r w:rsidR="009F6074">
        <w:t>.</w:t>
      </w:r>
      <w:r>
        <w:t xml:space="preserve"> </w:t>
      </w:r>
    </w:p>
  </w:footnote>
  <w:footnote w:id="10">
    <w:p w14:paraId="0AC7833D" w14:textId="02DD6A31" w:rsidR="00271AB3" w:rsidRDefault="00271AB3">
      <w:pPr>
        <w:pStyle w:val="FootnoteText"/>
      </w:pPr>
      <w:r>
        <w:rPr>
          <w:rStyle w:val="FootnoteReference"/>
        </w:rPr>
        <w:footnoteRef/>
      </w:r>
      <w:r>
        <w:t xml:space="preserve"> </w:t>
      </w:r>
      <w:r w:rsidR="00477EB7" w:rsidRPr="00477EB7">
        <w:t>Volunteer Protection Act of 1977, Pub. L. No. Pub. L. 105-19. Codified at 42 USC §14501 et seq.</w:t>
      </w:r>
    </w:p>
  </w:footnote>
  <w:footnote w:id="11">
    <w:p w14:paraId="3672419C" w14:textId="6059639C" w:rsidR="00477EB7" w:rsidRDefault="00477EB7">
      <w:pPr>
        <w:pStyle w:val="FootnoteText"/>
      </w:pPr>
      <w:r>
        <w:rPr>
          <w:rStyle w:val="FootnoteReference"/>
        </w:rPr>
        <w:footnoteRef/>
      </w:r>
      <w:r>
        <w:t xml:space="preserve"> </w:t>
      </w:r>
      <w:r w:rsidR="006103B5" w:rsidRPr="006103B5">
        <w:t>Public Readiness and Emergency Preparedness Response Act of 2005, Pub. L. No. 109-148. Codified in the Public Health Service Act at 42 U.S.C. §247d-6d and §247d-6e.</w:t>
      </w:r>
    </w:p>
  </w:footnote>
  <w:footnote w:id="12">
    <w:p w14:paraId="0A579C4D" w14:textId="14D18E1D" w:rsidR="00271AB3" w:rsidRDefault="00271AB3" w:rsidP="00271AB3">
      <w:pPr>
        <w:pStyle w:val="FootnoteText"/>
      </w:pPr>
      <w:r>
        <w:rPr>
          <w:rStyle w:val="FootnoteReference"/>
        </w:rPr>
        <w:footnoteRef/>
      </w:r>
      <w:r>
        <w:t xml:space="preserve"> </w:t>
      </w:r>
      <w:r w:rsidR="007C0F4B" w:rsidRPr="007C0F4B">
        <w:t>Federal Employees’ Compensation Act. Codified at 5 U.S.C. §§8101 et seq</w:t>
      </w:r>
      <w:r w:rsidR="006C0276">
        <w:t>.</w:t>
      </w:r>
    </w:p>
  </w:footnote>
  <w:footnote w:id="13">
    <w:p w14:paraId="493577D2" w14:textId="77777777" w:rsidR="00562920" w:rsidRDefault="00562920" w:rsidP="00562920">
      <w:pPr>
        <w:pStyle w:val="FootnoteText"/>
      </w:pPr>
      <w:r>
        <w:rPr>
          <w:rStyle w:val="FootnoteReference"/>
        </w:rPr>
        <w:footnoteRef/>
      </w:r>
      <w:r>
        <w:t xml:space="preserve"> </w:t>
      </w:r>
      <w:r w:rsidRPr="00E50B74">
        <w:t>Emergency Management Assistance Compact, Pub. L. No. 104-321, 110 Stat. 3877.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76EA7F" w14:textId="77CDEB48" w:rsidR="00095EE9" w:rsidRPr="00141DB6" w:rsidRDefault="00141DB6" w:rsidP="00141DB6">
    <w:pPr>
      <w:tabs>
        <w:tab w:val="center" w:pos="4680"/>
        <w:tab w:val="right" w:pos="9360"/>
      </w:tabs>
      <w:jc w:val="center"/>
    </w:pPr>
    <w:r w:rsidRPr="000E2930">
      <w:rPr>
        <w:highlight w:val="yellow"/>
      </w:rPr>
      <w:t>DRAFT 1.1             DO NOT CITE OR CIRCULATE BEYOND CSTE REVIEWERS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C0D801" w14:textId="5340648F" w:rsidR="00C55D9B" w:rsidRPr="00141DB6" w:rsidRDefault="00141DB6" w:rsidP="00141DB6">
    <w:pPr>
      <w:tabs>
        <w:tab w:val="center" w:pos="4680"/>
        <w:tab w:val="right" w:pos="9360"/>
      </w:tabs>
      <w:jc w:val="center"/>
    </w:pPr>
    <w:r w:rsidRPr="000E2930">
      <w:rPr>
        <w:highlight w:val="yellow"/>
      </w:rPr>
      <w:t>DRAFT 1.1             DO NOT CITE OR CIRCULATE BEYOND CSTE REVIEWERS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2706C41"/>
    <w:multiLevelType w:val="hybridMultilevel"/>
    <w:tmpl w:val="B62AEF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98C4DEE"/>
    <w:multiLevelType w:val="hybridMultilevel"/>
    <w:tmpl w:val="D6BEC30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602532B2"/>
    <w:multiLevelType w:val="hybridMultilevel"/>
    <w:tmpl w:val="081A242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 w15:restartNumberingAfterBreak="0">
    <w:nsid w:val="63B61538"/>
    <w:multiLevelType w:val="hybridMultilevel"/>
    <w:tmpl w:val="8FE4BD9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68682485"/>
    <w:multiLevelType w:val="hybridMultilevel"/>
    <w:tmpl w:val="269EC89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7D434D2F"/>
    <w:multiLevelType w:val="hybridMultilevel"/>
    <w:tmpl w:val="8392EBD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num w:numId="1">
    <w:abstractNumId w:val="5"/>
  </w:num>
  <w:num w:numId="2">
    <w:abstractNumId w:val="2"/>
  </w:num>
  <w:num w:numId="3">
    <w:abstractNumId w:val="2"/>
  </w:num>
  <w:num w:numId="4">
    <w:abstractNumId w:val="1"/>
  </w:num>
  <w:num w:numId="5">
    <w:abstractNumId w:val="4"/>
  </w:num>
  <w:num w:numId="6">
    <w:abstractNumId w:val="3"/>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2"/>
  <w:displayBackgroundShape/>
  <w:defaultTabStop w:val="28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100D"/>
    <w:rsid w:val="000024FE"/>
    <w:rsid w:val="00031405"/>
    <w:rsid w:val="00057D3E"/>
    <w:rsid w:val="0006008A"/>
    <w:rsid w:val="00063A36"/>
    <w:rsid w:val="0007737F"/>
    <w:rsid w:val="00083BA6"/>
    <w:rsid w:val="00095EE9"/>
    <w:rsid w:val="00095F70"/>
    <w:rsid w:val="000A3503"/>
    <w:rsid w:val="000A4C42"/>
    <w:rsid w:val="0010687D"/>
    <w:rsid w:val="0011008D"/>
    <w:rsid w:val="00110808"/>
    <w:rsid w:val="00120C80"/>
    <w:rsid w:val="001317AF"/>
    <w:rsid w:val="0013738D"/>
    <w:rsid w:val="00141DB6"/>
    <w:rsid w:val="00151278"/>
    <w:rsid w:val="0015221E"/>
    <w:rsid w:val="0015393F"/>
    <w:rsid w:val="001747AD"/>
    <w:rsid w:val="00185DAC"/>
    <w:rsid w:val="001A443D"/>
    <w:rsid w:val="001E032E"/>
    <w:rsid w:val="001F3BB2"/>
    <w:rsid w:val="00217C66"/>
    <w:rsid w:val="002211FF"/>
    <w:rsid w:val="0025718E"/>
    <w:rsid w:val="002657C8"/>
    <w:rsid w:val="00271AB3"/>
    <w:rsid w:val="002D004E"/>
    <w:rsid w:val="002F121A"/>
    <w:rsid w:val="00306890"/>
    <w:rsid w:val="003071F4"/>
    <w:rsid w:val="00314FF4"/>
    <w:rsid w:val="00321CDA"/>
    <w:rsid w:val="003269EF"/>
    <w:rsid w:val="00335AA7"/>
    <w:rsid w:val="00355787"/>
    <w:rsid w:val="00385AE8"/>
    <w:rsid w:val="0039470F"/>
    <w:rsid w:val="003A6A18"/>
    <w:rsid w:val="003C1E57"/>
    <w:rsid w:val="003D2F21"/>
    <w:rsid w:val="003E6A03"/>
    <w:rsid w:val="003F76D8"/>
    <w:rsid w:val="004046DA"/>
    <w:rsid w:val="004179F3"/>
    <w:rsid w:val="0042130D"/>
    <w:rsid w:val="00435CDA"/>
    <w:rsid w:val="00436237"/>
    <w:rsid w:val="004531F5"/>
    <w:rsid w:val="0045479C"/>
    <w:rsid w:val="00476446"/>
    <w:rsid w:val="00477EB7"/>
    <w:rsid w:val="0048507E"/>
    <w:rsid w:val="00486BF2"/>
    <w:rsid w:val="00495518"/>
    <w:rsid w:val="004A4AE5"/>
    <w:rsid w:val="004B49F2"/>
    <w:rsid w:val="004C371D"/>
    <w:rsid w:val="004D45F5"/>
    <w:rsid w:val="004E3ADD"/>
    <w:rsid w:val="004F2009"/>
    <w:rsid w:val="004F2B3F"/>
    <w:rsid w:val="00530EC5"/>
    <w:rsid w:val="00544E47"/>
    <w:rsid w:val="0055374D"/>
    <w:rsid w:val="00557783"/>
    <w:rsid w:val="00561DF7"/>
    <w:rsid w:val="00562920"/>
    <w:rsid w:val="0057277F"/>
    <w:rsid w:val="005B4FD9"/>
    <w:rsid w:val="005B6358"/>
    <w:rsid w:val="005B6FB3"/>
    <w:rsid w:val="005C4254"/>
    <w:rsid w:val="005C6637"/>
    <w:rsid w:val="005C6EA3"/>
    <w:rsid w:val="005D3148"/>
    <w:rsid w:val="005D42A6"/>
    <w:rsid w:val="005F05E4"/>
    <w:rsid w:val="005F50CA"/>
    <w:rsid w:val="005F61B0"/>
    <w:rsid w:val="006103B5"/>
    <w:rsid w:val="00622518"/>
    <w:rsid w:val="006254E3"/>
    <w:rsid w:val="00642715"/>
    <w:rsid w:val="00680452"/>
    <w:rsid w:val="00690733"/>
    <w:rsid w:val="006A1B5D"/>
    <w:rsid w:val="006A60FA"/>
    <w:rsid w:val="006C0276"/>
    <w:rsid w:val="006C4B69"/>
    <w:rsid w:val="006D0DC2"/>
    <w:rsid w:val="006E1262"/>
    <w:rsid w:val="006F2D7C"/>
    <w:rsid w:val="006F316C"/>
    <w:rsid w:val="00702B9E"/>
    <w:rsid w:val="00712A68"/>
    <w:rsid w:val="0074629F"/>
    <w:rsid w:val="007B4D22"/>
    <w:rsid w:val="007C0F4B"/>
    <w:rsid w:val="008176A5"/>
    <w:rsid w:val="008477EA"/>
    <w:rsid w:val="008624BC"/>
    <w:rsid w:val="0087635E"/>
    <w:rsid w:val="0089291C"/>
    <w:rsid w:val="008C5BBD"/>
    <w:rsid w:val="008D178D"/>
    <w:rsid w:val="00922077"/>
    <w:rsid w:val="0093030B"/>
    <w:rsid w:val="00931A1A"/>
    <w:rsid w:val="00947290"/>
    <w:rsid w:val="009516DF"/>
    <w:rsid w:val="0096289A"/>
    <w:rsid w:val="0097158F"/>
    <w:rsid w:val="0097203A"/>
    <w:rsid w:val="00996194"/>
    <w:rsid w:val="009A173D"/>
    <w:rsid w:val="009D1BC9"/>
    <w:rsid w:val="009D50BB"/>
    <w:rsid w:val="009D6D8E"/>
    <w:rsid w:val="009D6F7B"/>
    <w:rsid w:val="009F6074"/>
    <w:rsid w:val="00A2645B"/>
    <w:rsid w:val="00A458AC"/>
    <w:rsid w:val="00A66B85"/>
    <w:rsid w:val="00A9426E"/>
    <w:rsid w:val="00AA000C"/>
    <w:rsid w:val="00AD14E2"/>
    <w:rsid w:val="00AE4D0D"/>
    <w:rsid w:val="00AF1781"/>
    <w:rsid w:val="00AF6F02"/>
    <w:rsid w:val="00B15976"/>
    <w:rsid w:val="00B33744"/>
    <w:rsid w:val="00B50824"/>
    <w:rsid w:val="00B5202C"/>
    <w:rsid w:val="00B611A2"/>
    <w:rsid w:val="00B73120"/>
    <w:rsid w:val="00B75B7F"/>
    <w:rsid w:val="00B81BE0"/>
    <w:rsid w:val="00BC079F"/>
    <w:rsid w:val="00BC2BE4"/>
    <w:rsid w:val="00BD2AD8"/>
    <w:rsid w:val="00BD7A92"/>
    <w:rsid w:val="00BE65F8"/>
    <w:rsid w:val="00BF0EC3"/>
    <w:rsid w:val="00C007B4"/>
    <w:rsid w:val="00C25311"/>
    <w:rsid w:val="00C373C3"/>
    <w:rsid w:val="00C46082"/>
    <w:rsid w:val="00C46C99"/>
    <w:rsid w:val="00C5100D"/>
    <w:rsid w:val="00C55D9B"/>
    <w:rsid w:val="00C56673"/>
    <w:rsid w:val="00C67ADC"/>
    <w:rsid w:val="00CA1004"/>
    <w:rsid w:val="00CA1D92"/>
    <w:rsid w:val="00CA505A"/>
    <w:rsid w:val="00CB0370"/>
    <w:rsid w:val="00CC659B"/>
    <w:rsid w:val="00D05AE2"/>
    <w:rsid w:val="00D302BA"/>
    <w:rsid w:val="00D35652"/>
    <w:rsid w:val="00D508FD"/>
    <w:rsid w:val="00D545FF"/>
    <w:rsid w:val="00D55433"/>
    <w:rsid w:val="00D62DB2"/>
    <w:rsid w:val="00D7160D"/>
    <w:rsid w:val="00D8214B"/>
    <w:rsid w:val="00DC2734"/>
    <w:rsid w:val="00DD1708"/>
    <w:rsid w:val="00DD6AE1"/>
    <w:rsid w:val="00DD6B8A"/>
    <w:rsid w:val="00E22A94"/>
    <w:rsid w:val="00E251A5"/>
    <w:rsid w:val="00E32488"/>
    <w:rsid w:val="00E37F3A"/>
    <w:rsid w:val="00E50B74"/>
    <w:rsid w:val="00E60FAD"/>
    <w:rsid w:val="00E63A52"/>
    <w:rsid w:val="00E65297"/>
    <w:rsid w:val="00E72E66"/>
    <w:rsid w:val="00E74654"/>
    <w:rsid w:val="00E7725E"/>
    <w:rsid w:val="00E87374"/>
    <w:rsid w:val="00E92049"/>
    <w:rsid w:val="00ED7718"/>
    <w:rsid w:val="00EE0073"/>
    <w:rsid w:val="00EE6364"/>
    <w:rsid w:val="00EF3B25"/>
    <w:rsid w:val="00F017DE"/>
    <w:rsid w:val="00F06D3E"/>
    <w:rsid w:val="00F144D2"/>
    <w:rsid w:val="00F17081"/>
    <w:rsid w:val="00F2776E"/>
    <w:rsid w:val="00F3716D"/>
    <w:rsid w:val="00F37541"/>
    <w:rsid w:val="00F41E10"/>
    <w:rsid w:val="00F84D36"/>
    <w:rsid w:val="00F94ABE"/>
    <w:rsid w:val="00F95BEE"/>
    <w:rsid w:val="00FB1F4E"/>
    <w:rsid w:val="00FF01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colormenu v:ext="edit" fillcolor="none"/>
    </o:shapedefaults>
    <o:shapelayout v:ext="edit">
      <o:idmap v:ext="edit" data="1"/>
    </o:shapelayout>
  </w:shapeDefaults>
  <w:decimalSymbol w:val="."/>
  <w:listSeparator w:val=","/>
  <w14:docId w14:val="4169F6AC"/>
  <w15:chartTrackingRefBased/>
  <w15:docId w15:val="{AAB8C1F4-43CE-40D3-B609-E4CCBEB2A8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15">
    <w:name w:val="norm 1.5"/>
    <w:basedOn w:val="Normal"/>
    <w:qFormat/>
    <w:rsid w:val="00C007B4"/>
    <w:pPr>
      <w:spacing w:line="360" w:lineRule="auto"/>
    </w:pPr>
  </w:style>
  <w:style w:type="character" w:styleId="Hyperlink">
    <w:name w:val="Hyperlink"/>
    <w:basedOn w:val="DefaultParagraphFont"/>
    <w:uiPriority w:val="99"/>
    <w:semiHidden/>
    <w:unhideWhenUsed/>
    <w:rsid w:val="00544E47"/>
    <w:rPr>
      <w:color w:val="0000FF"/>
      <w:u w:val="single"/>
    </w:rPr>
  </w:style>
  <w:style w:type="paragraph" w:styleId="FootnoteText">
    <w:name w:val="footnote text"/>
    <w:basedOn w:val="Normal"/>
    <w:link w:val="FootnoteTextChar"/>
    <w:uiPriority w:val="99"/>
    <w:semiHidden/>
    <w:unhideWhenUsed/>
    <w:rsid w:val="00544E47"/>
    <w:rPr>
      <w:sz w:val="20"/>
      <w:szCs w:val="20"/>
    </w:rPr>
  </w:style>
  <w:style w:type="character" w:customStyle="1" w:styleId="FootnoteTextChar">
    <w:name w:val="Footnote Text Char"/>
    <w:basedOn w:val="DefaultParagraphFont"/>
    <w:link w:val="FootnoteText"/>
    <w:uiPriority w:val="99"/>
    <w:semiHidden/>
    <w:rsid w:val="00544E47"/>
    <w:rPr>
      <w:sz w:val="20"/>
      <w:szCs w:val="20"/>
    </w:rPr>
  </w:style>
  <w:style w:type="paragraph" w:styleId="ListParagraph">
    <w:name w:val="List Paragraph"/>
    <w:basedOn w:val="Normal"/>
    <w:uiPriority w:val="34"/>
    <w:qFormat/>
    <w:rsid w:val="00544E47"/>
    <w:pPr>
      <w:ind w:left="720"/>
      <w:contextualSpacing/>
    </w:pPr>
  </w:style>
  <w:style w:type="character" w:styleId="FootnoteReference">
    <w:name w:val="footnote reference"/>
    <w:basedOn w:val="DefaultParagraphFont"/>
    <w:uiPriority w:val="99"/>
    <w:semiHidden/>
    <w:unhideWhenUsed/>
    <w:rsid w:val="00544E47"/>
    <w:rPr>
      <w:vertAlign w:val="superscript"/>
    </w:rPr>
  </w:style>
  <w:style w:type="paragraph" w:styleId="Header">
    <w:name w:val="header"/>
    <w:basedOn w:val="Normal"/>
    <w:link w:val="HeaderChar"/>
    <w:uiPriority w:val="99"/>
    <w:unhideWhenUsed/>
    <w:rsid w:val="00095EE9"/>
    <w:pPr>
      <w:tabs>
        <w:tab w:val="center" w:pos="4680"/>
        <w:tab w:val="right" w:pos="9360"/>
      </w:tabs>
    </w:pPr>
  </w:style>
  <w:style w:type="character" w:customStyle="1" w:styleId="HeaderChar">
    <w:name w:val="Header Char"/>
    <w:basedOn w:val="DefaultParagraphFont"/>
    <w:link w:val="Header"/>
    <w:uiPriority w:val="99"/>
    <w:rsid w:val="00095EE9"/>
  </w:style>
  <w:style w:type="paragraph" w:styleId="Footer">
    <w:name w:val="footer"/>
    <w:basedOn w:val="Normal"/>
    <w:link w:val="FooterChar"/>
    <w:uiPriority w:val="99"/>
    <w:unhideWhenUsed/>
    <w:rsid w:val="00095EE9"/>
    <w:pPr>
      <w:tabs>
        <w:tab w:val="center" w:pos="4680"/>
        <w:tab w:val="right" w:pos="9360"/>
      </w:tabs>
    </w:pPr>
  </w:style>
  <w:style w:type="character" w:customStyle="1" w:styleId="FooterChar">
    <w:name w:val="Footer Char"/>
    <w:basedOn w:val="DefaultParagraphFont"/>
    <w:link w:val="Footer"/>
    <w:uiPriority w:val="99"/>
    <w:rsid w:val="00095E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71479940">
      <w:bodyDiv w:val="1"/>
      <w:marLeft w:val="0"/>
      <w:marRight w:val="0"/>
      <w:marTop w:val="0"/>
      <w:marBottom w:val="0"/>
      <w:divBdr>
        <w:top w:val="none" w:sz="0" w:space="0" w:color="auto"/>
        <w:left w:val="none" w:sz="0" w:space="0" w:color="auto"/>
        <w:bottom w:val="none" w:sz="0" w:space="0" w:color="auto"/>
        <w:right w:val="none" w:sz="0" w:space="0" w:color="auto"/>
      </w:divBdr>
    </w:div>
    <w:div w:id="743918464">
      <w:bodyDiv w:val="1"/>
      <w:marLeft w:val="0"/>
      <w:marRight w:val="0"/>
      <w:marTop w:val="0"/>
      <w:marBottom w:val="0"/>
      <w:divBdr>
        <w:top w:val="none" w:sz="0" w:space="0" w:color="auto"/>
        <w:left w:val="none" w:sz="0" w:space="0" w:color="auto"/>
        <w:bottom w:val="none" w:sz="0" w:space="0" w:color="auto"/>
        <w:right w:val="none" w:sz="0" w:space="0" w:color="auto"/>
      </w:divBdr>
    </w:div>
    <w:div w:id="805467484">
      <w:bodyDiv w:val="1"/>
      <w:marLeft w:val="0"/>
      <w:marRight w:val="0"/>
      <w:marTop w:val="0"/>
      <w:marBottom w:val="0"/>
      <w:divBdr>
        <w:top w:val="none" w:sz="0" w:space="0" w:color="auto"/>
        <w:left w:val="none" w:sz="0" w:space="0" w:color="auto"/>
        <w:bottom w:val="none" w:sz="0" w:space="0" w:color="auto"/>
        <w:right w:val="none" w:sz="0" w:space="0" w:color="auto"/>
      </w:divBdr>
    </w:div>
    <w:div w:id="882015726">
      <w:bodyDiv w:val="1"/>
      <w:marLeft w:val="0"/>
      <w:marRight w:val="0"/>
      <w:marTop w:val="0"/>
      <w:marBottom w:val="0"/>
      <w:divBdr>
        <w:top w:val="none" w:sz="0" w:space="0" w:color="auto"/>
        <w:left w:val="none" w:sz="0" w:space="0" w:color="auto"/>
        <w:bottom w:val="none" w:sz="0" w:space="0" w:color="auto"/>
        <w:right w:val="none" w:sz="0" w:space="0" w:color="auto"/>
      </w:divBdr>
    </w:div>
    <w:div w:id="897858751">
      <w:bodyDiv w:val="1"/>
      <w:marLeft w:val="0"/>
      <w:marRight w:val="0"/>
      <w:marTop w:val="0"/>
      <w:marBottom w:val="0"/>
      <w:divBdr>
        <w:top w:val="none" w:sz="0" w:space="0" w:color="auto"/>
        <w:left w:val="none" w:sz="0" w:space="0" w:color="auto"/>
        <w:bottom w:val="none" w:sz="0" w:space="0" w:color="auto"/>
        <w:right w:val="none" w:sz="0" w:space="0" w:color="auto"/>
      </w:divBdr>
    </w:div>
    <w:div w:id="1072628474">
      <w:bodyDiv w:val="1"/>
      <w:marLeft w:val="0"/>
      <w:marRight w:val="0"/>
      <w:marTop w:val="0"/>
      <w:marBottom w:val="0"/>
      <w:divBdr>
        <w:top w:val="none" w:sz="0" w:space="0" w:color="auto"/>
        <w:left w:val="none" w:sz="0" w:space="0" w:color="auto"/>
        <w:bottom w:val="none" w:sz="0" w:space="0" w:color="auto"/>
        <w:right w:val="none" w:sz="0" w:space="0" w:color="auto"/>
      </w:divBdr>
    </w:div>
    <w:div w:id="1506087374">
      <w:bodyDiv w:val="1"/>
      <w:marLeft w:val="0"/>
      <w:marRight w:val="0"/>
      <w:marTop w:val="0"/>
      <w:marBottom w:val="0"/>
      <w:divBdr>
        <w:top w:val="none" w:sz="0" w:space="0" w:color="auto"/>
        <w:left w:val="none" w:sz="0" w:space="0" w:color="auto"/>
        <w:bottom w:val="none" w:sz="0" w:space="0" w:color="auto"/>
        <w:right w:val="none" w:sz="0" w:space="0" w:color="auto"/>
      </w:divBdr>
    </w:div>
    <w:div w:id="1957785635">
      <w:bodyDiv w:val="1"/>
      <w:marLeft w:val="0"/>
      <w:marRight w:val="0"/>
      <w:marTop w:val="0"/>
      <w:marBottom w:val="0"/>
      <w:divBdr>
        <w:top w:val="none" w:sz="0" w:space="0" w:color="auto"/>
        <w:left w:val="none" w:sz="0" w:space="0" w:color="auto"/>
        <w:bottom w:val="none" w:sz="0" w:space="0" w:color="auto"/>
        <w:right w:val="none" w:sz="0" w:space="0" w:color="auto"/>
      </w:divBdr>
    </w:div>
    <w:div w:id="1971782888">
      <w:bodyDiv w:val="1"/>
      <w:marLeft w:val="0"/>
      <w:marRight w:val="0"/>
      <w:marTop w:val="0"/>
      <w:marBottom w:val="0"/>
      <w:divBdr>
        <w:top w:val="none" w:sz="0" w:space="0" w:color="auto"/>
        <w:left w:val="none" w:sz="0" w:space="0" w:color="auto"/>
        <w:bottom w:val="none" w:sz="0" w:space="0" w:color="auto"/>
        <w:right w:val="none" w:sz="0" w:space="0" w:color="auto"/>
      </w:divBdr>
    </w:div>
    <w:div w:id="2017420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www.cdc.gov/phlp/docs/ph-emergencie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C3C377-BBE6-4620-A140-B6940F18EE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8</Pages>
  <Words>2742</Words>
  <Characters>15635</Characters>
  <Application>Microsoft Office Word</Application>
  <DocSecurity>0</DocSecurity>
  <Lines>130</Lines>
  <Paragraphs>36</Paragraphs>
  <ScaleCrop>false</ScaleCrop>
  <Company/>
  <LinksUpToDate>false</LinksUpToDate>
  <CharactersWithSpaces>18341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Elliott</dc:creator>
  <cp:keywords/>
  <dc:description/>
  <cp:lastModifiedBy>Patricia Elliott</cp:lastModifiedBy>
  <cp:revision>17</cp:revision>
  <dcterms:created xsi:type="dcterms:W3CDTF">2020-08-08T00:16:00Z</dcterms:created>
  <dcterms:modified xsi:type="dcterms:W3CDTF">2020-08-08T00:30:00Z</dcterms:modified>
</cp:coreProperties>
</file>