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47FFE" w14:textId="295A3556" w:rsidR="0099702B" w:rsidRPr="002634FA" w:rsidRDefault="00FA65E7" w:rsidP="00FA65E7">
      <w:pPr>
        <w:spacing w:after="120"/>
        <w:jc w:val="center"/>
        <w:rPr>
          <w:rFonts w:eastAsia="Times New Roman" w:cs="Helvetica"/>
          <w:b/>
          <w:bCs/>
          <w:color w:val="000000" w:themeColor="text1"/>
          <w:spacing w:val="15"/>
          <w:kern w:val="36"/>
          <w:sz w:val="24"/>
          <w:szCs w:val="24"/>
        </w:rPr>
      </w:pPr>
      <w:r w:rsidRPr="002634FA">
        <w:rPr>
          <w:rFonts w:eastAsia="Times New Roman" w:cs="Helvetica"/>
          <w:b/>
          <w:bCs/>
          <w:color w:val="000000" w:themeColor="text1"/>
          <w:spacing w:val="15"/>
          <w:kern w:val="36"/>
          <w:sz w:val="24"/>
          <w:szCs w:val="24"/>
        </w:rPr>
        <w:t xml:space="preserve">LIABILITY IN </w:t>
      </w:r>
      <w:r w:rsidR="00C6091B" w:rsidRPr="002634FA">
        <w:rPr>
          <w:rFonts w:eastAsia="Times New Roman" w:cs="Helvetica"/>
          <w:b/>
          <w:bCs/>
          <w:color w:val="000000" w:themeColor="text1"/>
          <w:spacing w:val="15"/>
          <w:kern w:val="36"/>
          <w:sz w:val="24"/>
          <w:szCs w:val="24"/>
        </w:rPr>
        <w:t>EMERGENCY PREPAREDNESS AND RESPONSE</w:t>
      </w:r>
    </w:p>
    <w:p w14:paraId="485078AE" w14:textId="77777777" w:rsidR="007B2356" w:rsidRDefault="007B2356" w:rsidP="007B2356">
      <w:pPr>
        <w:spacing w:after="120"/>
        <w:jc w:val="center"/>
        <w:rPr>
          <w:rFonts w:eastAsia="Times New Roman" w:cs="Helvetica"/>
          <w:b/>
          <w:bCs/>
          <w:color w:val="333333"/>
          <w:spacing w:val="15"/>
          <w:kern w:val="36"/>
          <w:sz w:val="28"/>
          <w:szCs w:val="28"/>
        </w:rPr>
      </w:pPr>
      <w:r w:rsidRPr="0088233E">
        <w:rPr>
          <w:i/>
          <w:iCs/>
          <w:sz w:val="20"/>
          <w:szCs w:val="20"/>
          <w:highlight w:val="yellow"/>
        </w:rPr>
        <w:t>(</w:t>
      </w:r>
      <w:r w:rsidRPr="0088233E">
        <w:rPr>
          <w:b/>
          <w:bCs/>
          <w:i/>
          <w:iCs/>
          <w:sz w:val="20"/>
          <w:szCs w:val="20"/>
          <w:highlight w:val="yellow"/>
        </w:rPr>
        <w:t>Note to Reviewers:</w:t>
      </w:r>
      <w:r w:rsidRPr="0088233E">
        <w:rPr>
          <w:i/>
          <w:iCs/>
          <w:sz w:val="20"/>
          <w:szCs w:val="20"/>
          <w:highlight w:val="yellow"/>
        </w:rPr>
        <w:t xml:space="preserve"> For use in EAS and EmVol toolkits)</w:t>
      </w:r>
    </w:p>
    <w:p w14:paraId="52328D97" w14:textId="77777777" w:rsidR="007B2356" w:rsidRDefault="007B2356" w:rsidP="007B2356">
      <w:pPr>
        <w:spacing w:line="360" w:lineRule="auto"/>
        <w:rPr>
          <w:rFonts w:eastAsia="Times New Roman" w:cs="Arial"/>
          <w:b/>
          <w:bCs/>
          <w:color w:val="3C3030"/>
          <w:sz w:val="24"/>
          <w:szCs w:val="24"/>
        </w:rPr>
      </w:pPr>
    </w:p>
    <w:p w14:paraId="786EC6A6" w14:textId="0749A8D1" w:rsidR="007B2356" w:rsidRPr="00420287" w:rsidRDefault="007B2356" w:rsidP="007B2356">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173A90">
        <w:rPr>
          <w:i/>
          <w:iCs/>
        </w:rPr>
        <w:t>July</w:t>
      </w:r>
      <w:r w:rsidRPr="00173A90">
        <w:rPr>
          <w:i/>
          <w:iCs/>
        </w:rPr>
        <w:t xml:space="preserve"> 2020</w:t>
      </w:r>
      <w:r>
        <w:rPr>
          <w:i/>
          <w:iCs/>
        </w:rPr>
        <w:t>.</w:t>
      </w:r>
    </w:p>
    <w:p w14:paraId="350AF624" w14:textId="77777777" w:rsidR="00FA65E7" w:rsidRPr="00FA65E7" w:rsidRDefault="00FA65E7" w:rsidP="00FA65E7">
      <w:pPr>
        <w:spacing w:after="120"/>
        <w:jc w:val="center"/>
        <w:rPr>
          <w:rFonts w:eastAsia="Times New Roman" w:cs="Helvetica"/>
          <w:b/>
          <w:bCs/>
          <w:color w:val="333333"/>
          <w:spacing w:val="15"/>
          <w:kern w:val="36"/>
          <w:sz w:val="24"/>
          <w:szCs w:val="24"/>
        </w:rPr>
      </w:pPr>
    </w:p>
    <w:p w14:paraId="7460FB12" w14:textId="77777777" w:rsidR="00FA65E7" w:rsidRDefault="0099702B" w:rsidP="00FA65E7">
      <w:pPr>
        <w:spacing w:line="360" w:lineRule="auto"/>
        <w:rPr>
          <w:rFonts w:eastAsia="Times New Roman" w:cs="Arial"/>
          <w:b/>
          <w:bCs/>
          <w:color w:val="3C3030"/>
          <w:sz w:val="24"/>
          <w:szCs w:val="24"/>
        </w:rPr>
      </w:pPr>
      <w:r w:rsidRPr="0099702B">
        <w:rPr>
          <w:rFonts w:eastAsia="Times New Roman" w:cs="Arial"/>
          <w:b/>
          <w:bCs/>
          <w:color w:val="3C3030"/>
          <w:sz w:val="24"/>
          <w:szCs w:val="24"/>
        </w:rPr>
        <w:t>Overview</w:t>
      </w:r>
    </w:p>
    <w:p w14:paraId="70B18C01" w14:textId="2EA0D6D2" w:rsidR="00235B7F" w:rsidRDefault="00AD62B5" w:rsidP="00FA65E7">
      <w:pPr>
        <w:spacing w:line="360" w:lineRule="auto"/>
        <w:rPr>
          <w:rFonts w:eastAsia="Times New Roman" w:cs="Arial"/>
          <w:color w:val="000000" w:themeColor="text1"/>
          <w:szCs w:val="20"/>
        </w:rPr>
      </w:pPr>
      <w:r w:rsidRPr="0099702B">
        <w:rPr>
          <w:rFonts w:eastAsia="Times New Roman" w:cs="Arial"/>
          <w:color w:val="000000" w:themeColor="text1"/>
          <w:szCs w:val="20"/>
        </w:rPr>
        <w:t>Liability occurs when a person or entity is found to be legally responsible for their actions or their failure to act</w:t>
      </w:r>
      <w:r>
        <w:rPr>
          <w:rFonts w:eastAsia="Times New Roman" w:cs="Arial"/>
          <w:color w:val="000000" w:themeColor="text1"/>
          <w:szCs w:val="20"/>
        </w:rPr>
        <w:t xml:space="preserve"> in a situation. </w:t>
      </w:r>
      <w:r w:rsidR="0099702B" w:rsidRPr="0099702B">
        <w:rPr>
          <w:rFonts w:eastAsia="Times New Roman" w:cs="Arial"/>
          <w:color w:val="000000" w:themeColor="text1"/>
          <w:szCs w:val="20"/>
        </w:rPr>
        <w:t>Concerns about potential liabilit</w:t>
      </w:r>
      <w:r w:rsidR="003A710A">
        <w:rPr>
          <w:rFonts w:eastAsia="Times New Roman" w:cs="Arial"/>
          <w:color w:val="000000" w:themeColor="text1"/>
          <w:szCs w:val="20"/>
        </w:rPr>
        <w:t>ies</w:t>
      </w:r>
      <w:r w:rsidR="0099702B" w:rsidRPr="0099702B">
        <w:rPr>
          <w:rFonts w:eastAsia="Times New Roman" w:cs="Arial"/>
          <w:color w:val="000000" w:themeColor="text1"/>
          <w:szCs w:val="20"/>
        </w:rPr>
        <w:t xml:space="preserve"> regularly arise during emergency response situations. Individual government employees, volunteers, and healthcare </w:t>
      </w:r>
      <w:r w:rsidR="008C7195">
        <w:rPr>
          <w:rFonts w:eastAsia="Times New Roman" w:cs="Arial"/>
          <w:color w:val="000000" w:themeColor="text1"/>
          <w:szCs w:val="20"/>
        </w:rPr>
        <w:t>professionals</w:t>
      </w:r>
      <w:r w:rsidR="0099702B" w:rsidRPr="0099702B">
        <w:rPr>
          <w:rFonts w:eastAsia="Times New Roman" w:cs="Arial"/>
          <w:color w:val="000000" w:themeColor="text1"/>
          <w:szCs w:val="20"/>
        </w:rPr>
        <w:t xml:space="preserve">, as well as entities such as businesses and nonprofit organizations, worry about </w:t>
      </w:r>
      <w:r w:rsidR="004170CB">
        <w:rPr>
          <w:rFonts w:eastAsia="Times New Roman" w:cs="Arial"/>
          <w:color w:val="000000" w:themeColor="text1"/>
          <w:szCs w:val="20"/>
        </w:rPr>
        <w:t>possible</w:t>
      </w:r>
      <w:r w:rsidR="0099702B" w:rsidRPr="0099702B">
        <w:rPr>
          <w:rFonts w:eastAsia="Times New Roman" w:cs="Arial"/>
          <w:color w:val="000000" w:themeColor="text1"/>
          <w:szCs w:val="20"/>
        </w:rPr>
        <w:t xml:space="preserve"> liabilit</w:t>
      </w:r>
      <w:r w:rsidR="004170CB">
        <w:rPr>
          <w:rFonts w:eastAsia="Times New Roman" w:cs="Arial"/>
          <w:color w:val="000000" w:themeColor="text1"/>
          <w:szCs w:val="20"/>
        </w:rPr>
        <w:t>ies</w:t>
      </w:r>
      <w:r w:rsidR="0099702B" w:rsidRPr="0099702B">
        <w:rPr>
          <w:rFonts w:eastAsia="Times New Roman" w:cs="Arial"/>
          <w:color w:val="000000" w:themeColor="text1"/>
          <w:szCs w:val="20"/>
        </w:rPr>
        <w:t xml:space="preserve"> </w:t>
      </w:r>
      <w:r w:rsidR="00860914">
        <w:rPr>
          <w:rFonts w:eastAsia="Times New Roman" w:cs="Arial"/>
          <w:color w:val="000000" w:themeColor="text1"/>
          <w:szCs w:val="20"/>
        </w:rPr>
        <w:t>that</w:t>
      </w:r>
      <w:r w:rsidR="0077739B">
        <w:rPr>
          <w:rFonts w:eastAsia="Times New Roman" w:cs="Arial"/>
          <w:color w:val="000000" w:themeColor="text1"/>
          <w:szCs w:val="20"/>
        </w:rPr>
        <w:t xml:space="preserve"> could arise from their participation in </w:t>
      </w:r>
      <w:r w:rsidR="00D556B5">
        <w:rPr>
          <w:rFonts w:eastAsia="Times New Roman" w:cs="Arial"/>
          <w:color w:val="000000" w:themeColor="text1"/>
          <w:szCs w:val="20"/>
        </w:rPr>
        <w:t xml:space="preserve">an emergency response. </w:t>
      </w:r>
      <w:r w:rsidR="0009614B">
        <w:rPr>
          <w:rFonts w:eastAsia="Times New Roman" w:cs="Arial"/>
          <w:color w:val="000000" w:themeColor="text1"/>
          <w:szCs w:val="20"/>
        </w:rPr>
        <w:t xml:space="preserve">Perceptions </w:t>
      </w:r>
      <w:r w:rsidR="00BF3BE2">
        <w:rPr>
          <w:rFonts w:eastAsia="Times New Roman" w:cs="Arial"/>
          <w:color w:val="000000" w:themeColor="text1"/>
          <w:szCs w:val="20"/>
        </w:rPr>
        <w:t>about</w:t>
      </w:r>
      <w:r w:rsidR="0009614B">
        <w:rPr>
          <w:rFonts w:eastAsia="Times New Roman" w:cs="Arial"/>
          <w:color w:val="000000" w:themeColor="text1"/>
          <w:szCs w:val="20"/>
        </w:rPr>
        <w:t xml:space="preserve"> potential liabilit</w:t>
      </w:r>
      <w:r w:rsidR="00BF3BE2">
        <w:rPr>
          <w:rFonts w:eastAsia="Times New Roman" w:cs="Arial"/>
          <w:color w:val="000000" w:themeColor="text1"/>
          <w:szCs w:val="20"/>
        </w:rPr>
        <w:t>ies</w:t>
      </w:r>
      <w:r w:rsidR="0009614B">
        <w:rPr>
          <w:rFonts w:eastAsia="Times New Roman" w:cs="Arial"/>
          <w:color w:val="000000" w:themeColor="text1"/>
          <w:szCs w:val="20"/>
        </w:rPr>
        <w:t xml:space="preserve"> </w:t>
      </w:r>
      <w:r w:rsidR="008667B2">
        <w:rPr>
          <w:rFonts w:eastAsia="Times New Roman" w:cs="Arial"/>
          <w:color w:val="000000" w:themeColor="text1"/>
          <w:szCs w:val="20"/>
        </w:rPr>
        <w:t>can</w:t>
      </w:r>
      <w:r w:rsidR="00BC4AA8">
        <w:rPr>
          <w:rFonts w:eastAsia="Times New Roman" w:cs="Arial"/>
          <w:color w:val="000000" w:themeColor="text1"/>
          <w:szCs w:val="20"/>
        </w:rPr>
        <w:t xml:space="preserve"> </w:t>
      </w:r>
      <w:r w:rsidR="009512A4">
        <w:rPr>
          <w:rFonts w:eastAsia="Times New Roman" w:cs="Arial"/>
          <w:color w:val="000000" w:themeColor="text1"/>
          <w:szCs w:val="20"/>
        </w:rPr>
        <w:t xml:space="preserve">also </w:t>
      </w:r>
      <w:r w:rsidR="00E05A6A">
        <w:rPr>
          <w:rFonts w:eastAsia="Times New Roman" w:cs="Arial"/>
          <w:color w:val="000000" w:themeColor="text1"/>
          <w:szCs w:val="20"/>
        </w:rPr>
        <w:t>limit the willingness of</w:t>
      </w:r>
      <w:r w:rsidR="00536ABE">
        <w:rPr>
          <w:rFonts w:eastAsia="Times New Roman" w:cs="Arial"/>
          <w:color w:val="000000" w:themeColor="text1"/>
          <w:szCs w:val="20"/>
        </w:rPr>
        <w:t xml:space="preserve"> </w:t>
      </w:r>
      <w:r w:rsidR="0057202D">
        <w:rPr>
          <w:rFonts w:eastAsia="Times New Roman" w:cs="Arial"/>
          <w:color w:val="000000" w:themeColor="text1"/>
          <w:szCs w:val="20"/>
        </w:rPr>
        <w:t>prospective</w:t>
      </w:r>
      <w:r w:rsidR="00536ABE">
        <w:rPr>
          <w:rFonts w:eastAsia="Times New Roman" w:cs="Arial"/>
          <w:color w:val="000000" w:themeColor="text1"/>
          <w:szCs w:val="20"/>
        </w:rPr>
        <w:t xml:space="preserve"> volunteers and others to </w:t>
      </w:r>
      <w:r w:rsidR="00796A79">
        <w:rPr>
          <w:rFonts w:eastAsia="Times New Roman" w:cs="Arial"/>
          <w:color w:val="000000" w:themeColor="text1"/>
          <w:szCs w:val="20"/>
        </w:rPr>
        <w:t>become involved in e</w:t>
      </w:r>
      <w:r w:rsidR="00D31CAE">
        <w:rPr>
          <w:rFonts w:eastAsia="Times New Roman" w:cs="Arial"/>
          <w:color w:val="000000" w:themeColor="text1"/>
          <w:szCs w:val="20"/>
        </w:rPr>
        <w:t>mergency preparedness and response</w:t>
      </w:r>
      <w:r w:rsidR="0031317D">
        <w:rPr>
          <w:rFonts w:eastAsia="Times New Roman" w:cs="Arial"/>
          <w:color w:val="000000" w:themeColor="text1"/>
          <w:szCs w:val="20"/>
        </w:rPr>
        <w:t xml:space="preserve"> activities.</w:t>
      </w:r>
      <w:r w:rsidR="0031317D">
        <w:rPr>
          <w:rStyle w:val="FootnoteReference"/>
          <w:rFonts w:eastAsia="Times New Roman" w:cs="Arial"/>
          <w:color w:val="000000" w:themeColor="text1"/>
          <w:szCs w:val="20"/>
        </w:rPr>
        <w:footnoteReference w:id="1"/>
      </w:r>
    </w:p>
    <w:p w14:paraId="1E00CFAA" w14:textId="7B494AAD" w:rsidR="003B040B" w:rsidRDefault="003B040B" w:rsidP="00FA65E7">
      <w:pPr>
        <w:spacing w:line="360" w:lineRule="auto"/>
        <w:rPr>
          <w:rFonts w:eastAsia="Times New Roman" w:cs="Arial"/>
          <w:color w:val="000000" w:themeColor="text1"/>
          <w:szCs w:val="20"/>
        </w:rPr>
      </w:pPr>
    </w:p>
    <w:p w14:paraId="4CB3A34A" w14:textId="45C2C16A" w:rsidR="00AE599C" w:rsidRPr="008D6E61" w:rsidRDefault="00744249" w:rsidP="00AE599C">
      <w:pPr>
        <w:spacing w:line="360" w:lineRule="auto"/>
        <w:rPr>
          <w:rFonts w:eastAsia="Times New Roman" w:cs="Arial"/>
          <w:color w:val="3C3030"/>
        </w:rPr>
      </w:pPr>
      <w:r>
        <w:rPr>
          <w:noProof/>
        </w:rPr>
        <mc:AlternateContent>
          <mc:Choice Requires="wps">
            <w:drawing>
              <wp:anchor distT="45720" distB="45720" distL="114300" distR="114300" simplePos="0" relativeHeight="251659264" behindDoc="0" locked="0" layoutInCell="1" allowOverlap="1" wp14:anchorId="3C804D0D" wp14:editId="444C4EDA">
                <wp:simplePos x="0" y="0"/>
                <wp:positionH relativeFrom="margin">
                  <wp:align>center</wp:align>
                </wp:positionH>
                <wp:positionV relativeFrom="paragraph">
                  <wp:posOffset>1132205</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73DAD64B" w14:textId="77777777" w:rsidR="00744249" w:rsidRPr="00CA76E9" w:rsidRDefault="00744249" w:rsidP="00744249">
                            <w:pPr>
                              <w:spacing w:after="120"/>
                              <w:jc w:val="center"/>
                              <w:rPr>
                                <w:i/>
                                <w:iCs/>
                              </w:rPr>
                            </w:pPr>
                            <w:r w:rsidRPr="00CA76E9">
                              <w:rPr>
                                <w:i/>
                                <w:iCs/>
                              </w:rPr>
                              <w:t xml:space="preserve">[Call out </w:t>
                            </w:r>
                            <w:r>
                              <w:rPr>
                                <w:i/>
                                <w:iCs/>
                              </w:rPr>
                              <w:t xml:space="preserve">box </w:t>
                            </w:r>
                            <w:r w:rsidRPr="00CA76E9">
                              <w:rPr>
                                <w:i/>
                                <w:iCs/>
                              </w:rPr>
                              <w:t>for first page of document]</w:t>
                            </w:r>
                          </w:p>
                          <w:p w14:paraId="2D5BFB86" w14:textId="77777777" w:rsidR="00744249" w:rsidRDefault="00744249" w:rsidP="00744249">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804D0D" id="_x0000_t202" coordsize="21600,21600" o:spt="202" path="m,l,21600r21600,l21600,xe">
                <v:stroke joinstyle="miter"/>
                <v:path gradientshapeok="t" o:connecttype="rect"/>
              </v:shapetype>
              <v:shape id="Text Box 2" o:spid="_x0000_s1026" type="#_x0000_t202" style="position:absolute;margin-left:0;margin-top:89.15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">
                <v:textbox>
                  <w:txbxContent>
                    <w:p w14:paraId="73DAD64B" w14:textId="77777777" w:rsidR="00744249" w:rsidRPr="00CA76E9" w:rsidRDefault="00744249" w:rsidP="00744249">
                      <w:pPr>
                        <w:spacing w:after="120"/>
                        <w:jc w:val="center"/>
                        <w:rPr>
                          <w:i/>
                          <w:iCs/>
                        </w:rPr>
                      </w:pPr>
                      <w:r w:rsidRPr="00CA76E9">
                        <w:rPr>
                          <w:i/>
                          <w:iCs/>
                        </w:rPr>
                        <w:t xml:space="preserve">[Call out </w:t>
                      </w:r>
                      <w:r>
                        <w:rPr>
                          <w:i/>
                          <w:iCs/>
                        </w:rPr>
                        <w:t xml:space="preserve">box </w:t>
                      </w:r>
                      <w:r w:rsidRPr="00CA76E9">
                        <w:rPr>
                          <w:i/>
                          <w:iCs/>
                        </w:rPr>
                        <w:t>for first page of document]</w:t>
                      </w:r>
                    </w:p>
                    <w:p w14:paraId="2D5BFB86" w14:textId="77777777" w:rsidR="00744249" w:rsidRDefault="00744249" w:rsidP="00744249">
                      <w:r>
                        <w:t>Please see the Practice Guide accompanying this toolkit for access to practice notices, legal analysis tools, examples, and templates.</w:t>
                      </w:r>
                    </w:p>
                  </w:txbxContent>
                </v:textbox>
                <w10:wrap type="topAndBottom" anchorx="margin"/>
              </v:shape>
            </w:pict>
          </mc:Fallback>
        </mc:AlternateContent>
      </w:r>
      <w:r w:rsidR="003B040B" w:rsidRPr="00E2727F">
        <w:rPr>
          <w:rFonts w:eastAsia="Times New Roman" w:cs="Arial"/>
          <w:color w:val="000000" w:themeColor="text1"/>
          <w:szCs w:val="20"/>
        </w:rPr>
        <w:t xml:space="preserve">This document </w:t>
      </w:r>
      <w:r w:rsidR="00AE599C" w:rsidRPr="00E2727F">
        <w:rPr>
          <w:rFonts w:eastAsia="Times New Roman" w:cs="Arial"/>
          <w:color w:val="000000" w:themeColor="text1"/>
          <w:szCs w:val="20"/>
        </w:rPr>
        <w:t>describes some of the possible theories of liability that could arise from emergency response activities.</w:t>
      </w:r>
      <w:r w:rsidR="00E2727F">
        <w:rPr>
          <w:rFonts w:eastAsia="Times New Roman" w:cs="Arial"/>
          <w:color w:val="000000" w:themeColor="text1"/>
          <w:szCs w:val="20"/>
        </w:rPr>
        <w:t xml:space="preserve"> It </w:t>
      </w:r>
      <w:r w:rsidR="00B30486">
        <w:rPr>
          <w:rFonts w:eastAsia="Times New Roman" w:cs="Arial"/>
          <w:color w:val="000000" w:themeColor="text1"/>
          <w:szCs w:val="20"/>
        </w:rPr>
        <w:t xml:space="preserve">should be </w:t>
      </w:r>
      <w:r w:rsidR="00D1406D">
        <w:rPr>
          <w:rFonts w:eastAsia="Times New Roman" w:cs="Arial"/>
          <w:color w:val="000000" w:themeColor="text1"/>
          <w:szCs w:val="20"/>
        </w:rPr>
        <w:t>reviewed in conjunction with two other</w:t>
      </w:r>
      <w:r w:rsidR="007D0E9F">
        <w:rPr>
          <w:rFonts w:eastAsia="Times New Roman" w:cs="Arial"/>
          <w:color w:val="000000" w:themeColor="text1"/>
          <w:szCs w:val="20"/>
        </w:rPr>
        <w:t xml:space="preserve"> documents in this seri</w:t>
      </w:r>
      <w:r w:rsidR="00117346">
        <w:rPr>
          <w:rFonts w:eastAsia="Times New Roman" w:cs="Arial"/>
          <w:color w:val="000000" w:themeColor="text1"/>
          <w:szCs w:val="20"/>
        </w:rPr>
        <w:t>es: Immunity in</w:t>
      </w:r>
      <w:r w:rsidR="003767F5">
        <w:rPr>
          <w:rFonts w:eastAsia="Times New Roman" w:cs="Arial"/>
          <w:color w:val="3C3030"/>
        </w:rPr>
        <w:t xml:space="preserve"> Emergency Preparedness and Response</w:t>
      </w:r>
      <w:r w:rsidR="00DD4C56">
        <w:rPr>
          <w:rFonts w:eastAsia="Times New Roman" w:cs="Arial"/>
          <w:color w:val="000000" w:themeColor="text1"/>
          <w:szCs w:val="20"/>
        </w:rPr>
        <w:t xml:space="preserve"> and Workers’ Compensation </w:t>
      </w:r>
      <w:r w:rsidR="003767F5">
        <w:rPr>
          <w:rFonts w:eastAsia="Times New Roman" w:cs="Arial"/>
          <w:color w:val="3C3030"/>
        </w:rPr>
        <w:t>in Emergency Preparedness and Response</w:t>
      </w:r>
      <w:r w:rsidR="00DD4C56">
        <w:rPr>
          <w:rFonts w:eastAsia="Times New Roman" w:cs="Arial"/>
          <w:color w:val="000000" w:themeColor="text1"/>
          <w:szCs w:val="20"/>
        </w:rPr>
        <w:t>.</w:t>
      </w:r>
      <w:r w:rsidR="0056051D">
        <w:rPr>
          <w:rFonts w:eastAsia="Times New Roman" w:cs="Arial"/>
          <w:color w:val="000000" w:themeColor="text1"/>
          <w:szCs w:val="20"/>
        </w:rPr>
        <w:t xml:space="preserve"> These documents </w:t>
      </w:r>
      <w:r w:rsidR="001F47C8">
        <w:rPr>
          <w:rFonts w:eastAsia="Times New Roman" w:cs="Arial"/>
          <w:color w:val="000000" w:themeColor="text1"/>
          <w:szCs w:val="20"/>
        </w:rPr>
        <w:t>i</w:t>
      </w:r>
      <w:r w:rsidR="003D199D">
        <w:rPr>
          <w:rFonts w:eastAsia="Times New Roman" w:cs="Arial"/>
          <w:color w:val="000000" w:themeColor="text1"/>
          <w:szCs w:val="20"/>
        </w:rPr>
        <w:t xml:space="preserve">dentify </w:t>
      </w:r>
      <w:r w:rsidR="0021473D">
        <w:rPr>
          <w:rFonts w:eastAsia="Times New Roman" w:cs="Arial"/>
          <w:color w:val="000000" w:themeColor="text1"/>
          <w:szCs w:val="20"/>
        </w:rPr>
        <w:t xml:space="preserve">immunity protections </w:t>
      </w:r>
      <w:r w:rsidR="001F47C8">
        <w:rPr>
          <w:rFonts w:eastAsia="Times New Roman" w:cs="Arial"/>
          <w:color w:val="000000" w:themeColor="text1"/>
          <w:szCs w:val="20"/>
        </w:rPr>
        <w:t xml:space="preserve">to address the potential </w:t>
      </w:r>
      <w:r w:rsidR="001F47C8">
        <w:rPr>
          <w:rFonts w:eastAsia="Times New Roman" w:cs="Arial"/>
          <w:color w:val="000000" w:themeColor="text1"/>
          <w:szCs w:val="20"/>
        </w:rPr>
        <w:lastRenderedPageBreak/>
        <w:t>theories of liability raised here</w:t>
      </w:r>
      <w:r w:rsidR="00EA4DF0">
        <w:rPr>
          <w:rFonts w:eastAsia="Times New Roman" w:cs="Arial"/>
          <w:color w:val="000000" w:themeColor="text1"/>
          <w:szCs w:val="20"/>
        </w:rPr>
        <w:t>,</w:t>
      </w:r>
      <w:r w:rsidR="001F47C8">
        <w:rPr>
          <w:rFonts w:eastAsia="Times New Roman" w:cs="Arial"/>
          <w:color w:val="000000" w:themeColor="text1"/>
          <w:szCs w:val="20"/>
        </w:rPr>
        <w:t xml:space="preserve"> </w:t>
      </w:r>
      <w:r w:rsidR="0021473D">
        <w:rPr>
          <w:rFonts w:eastAsia="Times New Roman" w:cs="Arial"/>
          <w:color w:val="000000" w:themeColor="text1"/>
          <w:szCs w:val="20"/>
        </w:rPr>
        <w:t>and</w:t>
      </w:r>
      <w:r w:rsidR="00DE370F">
        <w:rPr>
          <w:rFonts w:eastAsia="Times New Roman" w:cs="Arial"/>
          <w:color w:val="000000" w:themeColor="text1"/>
          <w:szCs w:val="20"/>
        </w:rPr>
        <w:t xml:space="preserve"> potential </w:t>
      </w:r>
      <w:r w:rsidR="00CE70F4">
        <w:rPr>
          <w:rFonts w:eastAsia="Times New Roman" w:cs="Arial"/>
          <w:color w:val="000000" w:themeColor="text1"/>
          <w:szCs w:val="20"/>
        </w:rPr>
        <w:t xml:space="preserve">avenues for </w:t>
      </w:r>
      <w:r w:rsidR="00EA4DF0">
        <w:rPr>
          <w:rFonts w:eastAsia="Times New Roman" w:cs="Arial"/>
          <w:color w:val="000000" w:themeColor="text1"/>
          <w:szCs w:val="20"/>
        </w:rPr>
        <w:t xml:space="preserve">workers’ </w:t>
      </w:r>
      <w:r w:rsidR="00DE370F">
        <w:rPr>
          <w:rFonts w:eastAsia="Times New Roman" w:cs="Arial"/>
          <w:color w:val="000000" w:themeColor="text1"/>
          <w:szCs w:val="20"/>
        </w:rPr>
        <w:t xml:space="preserve">compensation. </w:t>
      </w:r>
      <w:r w:rsidR="00B80994">
        <w:rPr>
          <w:rFonts w:eastAsia="Times New Roman" w:cs="Arial"/>
          <w:color w:val="000000" w:themeColor="text1"/>
          <w:szCs w:val="20"/>
        </w:rPr>
        <w:t>Finally</w:t>
      </w:r>
      <w:r w:rsidR="00AE599C">
        <w:rPr>
          <w:rFonts w:eastAsia="Times New Roman" w:cs="Arial"/>
          <w:color w:val="000000" w:themeColor="text1"/>
          <w:szCs w:val="20"/>
        </w:rPr>
        <w:t>, this document</w:t>
      </w:r>
      <w:r w:rsidR="00AE599C" w:rsidRPr="0099702B">
        <w:rPr>
          <w:rFonts w:eastAsia="Times New Roman" w:cs="Arial"/>
          <w:color w:val="000000" w:themeColor="text1"/>
          <w:szCs w:val="20"/>
        </w:rPr>
        <w:t xml:space="preserve"> is intended to provide general information on the topics presented</w:t>
      </w:r>
      <w:r w:rsidR="007D6506">
        <w:rPr>
          <w:rFonts w:eastAsia="Times New Roman" w:cs="Arial"/>
          <w:color w:val="000000" w:themeColor="text1"/>
          <w:szCs w:val="20"/>
        </w:rPr>
        <w:t xml:space="preserve">; it </w:t>
      </w:r>
      <w:r w:rsidR="00AE599C" w:rsidRPr="0099702B">
        <w:rPr>
          <w:rFonts w:eastAsia="Times New Roman" w:cs="Arial"/>
          <w:color w:val="000000" w:themeColor="text1"/>
          <w:szCs w:val="20"/>
        </w:rPr>
        <w:t xml:space="preserve">is not intended to </w:t>
      </w:r>
      <w:r w:rsidR="00C86FF5">
        <w:rPr>
          <w:rFonts w:eastAsia="Times New Roman" w:cs="Arial"/>
          <w:color w:val="000000" w:themeColor="text1"/>
          <w:szCs w:val="20"/>
        </w:rPr>
        <w:t xml:space="preserve">be a comprehensive treatment of </w:t>
      </w:r>
      <w:r w:rsidR="009000BE">
        <w:rPr>
          <w:rFonts w:eastAsia="Times New Roman" w:cs="Arial"/>
          <w:color w:val="000000" w:themeColor="text1"/>
          <w:szCs w:val="20"/>
        </w:rPr>
        <w:t xml:space="preserve">the law or </w:t>
      </w:r>
      <w:r w:rsidR="00C53A2F">
        <w:rPr>
          <w:rFonts w:eastAsia="Times New Roman" w:cs="Arial"/>
          <w:color w:val="000000" w:themeColor="text1"/>
          <w:szCs w:val="20"/>
        </w:rPr>
        <w:t xml:space="preserve">to </w:t>
      </w:r>
      <w:r w:rsidR="00AE599C" w:rsidRPr="0099702B">
        <w:rPr>
          <w:rFonts w:eastAsia="Times New Roman" w:cs="Arial"/>
          <w:color w:val="000000" w:themeColor="text1"/>
          <w:szCs w:val="20"/>
        </w:rPr>
        <w:t>provide legal advice.</w:t>
      </w:r>
      <w:r w:rsidR="00946260">
        <w:rPr>
          <w:rFonts w:eastAsia="Times New Roman" w:cs="Arial"/>
          <w:color w:val="000000" w:themeColor="text1"/>
          <w:szCs w:val="20"/>
        </w:rPr>
        <w:t xml:space="preserve"> </w:t>
      </w:r>
      <w:r w:rsidR="007630F9">
        <w:rPr>
          <w:rFonts w:eastAsia="Times New Roman" w:cs="Arial"/>
          <w:color w:val="000000" w:themeColor="text1"/>
          <w:szCs w:val="20"/>
        </w:rPr>
        <w:t xml:space="preserve">The laws surrounding </w:t>
      </w:r>
      <w:r w:rsidR="00C22478">
        <w:rPr>
          <w:rFonts w:eastAsia="Times New Roman" w:cs="Arial"/>
          <w:color w:val="000000" w:themeColor="text1"/>
          <w:szCs w:val="20"/>
        </w:rPr>
        <w:t>liability</w:t>
      </w:r>
      <w:r w:rsidR="005619E9">
        <w:rPr>
          <w:rFonts w:eastAsia="Times New Roman" w:cs="Arial"/>
          <w:color w:val="000000" w:themeColor="text1"/>
          <w:szCs w:val="20"/>
        </w:rPr>
        <w:t xml:space="preserve"> </w:t>
      </w:r>
      <w:r w:rsidR="00FD366A">
        <w:rPr>
          <w:rFonts w:eastAsia="Times New Roman" w:cs="Arial"/>
          <w:color w:val="000000" w:themeColor="text1"/>
          <w:szCs w:val="20"/>
        </w:rPr>
        <w:t xml:space="preserve">are a mix of </w:t>
      </w:r>
      <w:r w:rsidR="004B273B">
        <w:rPr>
          <w:rFonts w:eastAsia="Times New Roman" w:cs="Arial"/>
          <w:color w:val="000000" w:themeColor="text1"/>
          <w:szCs w:val="20"/>
        </w:rPr>
        <w:t xml:space="preserve">common law </w:t>
      </w:r>
      <w:r w:rsidR="004757F9">
        <w:rPr>
          <w:rFonts w:eastAsia="Times New Roman" w:cs="Arial"/>
          <w:color w:val="000000" w:themeColor="text1"/>
          <w:szCs w:val="20"/>
        </w:rPr>
        <w:t xml:space="preserve">decisions (represented in </w:t>
      </w:r>
      <w:r w:rsidR="004D661F">
        <w:rPr>
          <w:rFonts w:eastAsia="Times New Roman" w:cs="Arial"/>
          <w:color w:val="000000" w:themeColor="text1"/>
          <w:szCs w:val="20"/>
        </w:rPr>
        <w:t xml:space="preserve">the </w:t>
      </w:r>
      <w:r w:rsidR="004757F9">
        <w:rPr>
          <w:rFonts w:eastAsia="Times New Roman" w:cs="Arial"/>
          <w:color w:val="000000" w:themeColor="text1"/>
          <w:szCs w:val="20"/>
        </w:rPr>
        <w:t>case law</w:t>
      </w:r>
      <w:r w:rsidR="00FD22F0">
        <w:rPr>
          <w:rFonts w:eastAsia="Times New Roman" w:cs="Arial"/>
          <w:color w:val="000000" w:themeColor="text1"/>
          <w:szCs w:val="20"/>
        </w:rPr>
        <w:t xml:space="preserve"> of individual jurisdictions</w:t>
      </w:r>
      <w:r w:rsidR="00F1769F">
        <w:rPr>
          <w:rFonts w:eastAsia="Times New Roman" w:cs="Arial"/>
          <w:color w:val="000000" w:themeColor="text1"/>
          <w:szCs w:val="20"/>
        </w:rPr>
        <w:t>)</w:t>
      </w:r>
      <w:r w:rsidR="00DA3C5D">
        <w:rPr>
          <w:rFonts w:eastAsia="Times New Roman" w:cs="Arial"/>
          <w:color w:val="000000" w:themeColor="text1"/>
          <w:szCs w:val="20"/>
        </w:rPr>
        <w:t>, sta</w:t>
      </w:r>
      <w:r w:rsidR="009A7BE0">
        <w:rPr>
          <w:rFonts w:eastAsia="Times New Roman" w:cs="Arial"/>
          <w:color w:val="000000" w:themeColor="text1"/>
          <w:szCs w:val="20"/>
        </w:rPr>
        <w:t xml:space="preserve">tutory </w:t>
      </w:r>
      <w:r w:rsidR="0012380C">
        <w:rPr>
          <w:rFonts w:eastAsia="Times New Roman" w:cs="Arial"/>
          <w:color w:val="000000" w:themeColor="text1"/>
          <w:szCs w:val="20"/>
        </w:rPr>
        <w:t>law</w:t>
      </w:r>
      <w:r w:rsidR="00635ABF">
        <w:rPr>
          <w:rFonts w:eastAsia="Times New Roman" w:cs="Arial"/>
          <w:color w:val="000000" w:themeColor="text1"/>
          <w:szCs w:val="20"/>
        </w:rPr>
        <w:t xml:space="preserve">, </w:t>
      </w:r>
      <w:r w:rsidR="009A7BE0">
        <w:rPr>
          <w:rFonts w:eastAsia="Times New Roman" w:cs="Arial"/>
          <w:color w:val="000000" w:themeColor="text1"/>
          <w:szCs w:val="20"/>
        </w:rPr>
        <w:t xml:space="preserve">and constitutional </w:t>
      </w:r>
      <w:r w:rsidR="00102376">
        <w:rPr>
          <w:rFonts w:eastAsia="Times New Roman" w:cs="Arial"/>
          <w:color w:val="000000" w:themeColor="text1"/>
          <w:szCs w:val="20"/>
        </w:rPr>
        <w:t>law</w:t>
      </w:r>
      <w:r w:rsidR="00216741">
        <w:rPr>
          <w:rFonts w:eastAsia="Times New Roman" w:cs="Arial"/>
          <w:color w:val="000000" w:themeColor="text1"/>
          <w:szCs w:val="20"/>
        </w:rPr>
        <w:t xml:space="preserve"> </w:t>
      </w:r>
      <w:r w:rsidR="00D04357">
        <w:rPr>
          <w:rFonts w:eastAsia="Times New Roman" w:cs="Arial"/>
          <w:color w:val="000000" w:themeColor="text1"/>
          <w:szCs w:val="20"/>
        </w:rPr>
        <w:t>in individual</w:t>
      </w:r>
      <w:r w:rsidR="007651C8">
        <w:rPr>
          <w:rFonts w:eastAsia="Times New Roman" w:cs="Arial"/>
          <w:color w:val="000000" w:themeColor="text1"/>
          <w:szCs w:val="20"/>
        </w:rPr>
        <w:t xml:space="preserve"> s</w:t>
      </w:r>
      <w:r w:rsidR="0080483B">
        <w:rPr>
          <w:rFonts w:eastAsia="Times New Roman" w:cs="Arial"/>
          <w:color w:val="000000" w:themeColor="text1"/>
          <w:szCs w:val="20"/>
        </w:rPr>
        <w:t>tate</w:t>
      </w:r>
      <w:r w:rsidR="008379B6">
        <w:rPr>
          <w:rFonts w:eastAsia="Times New Roman" w:cs="Arial"/>
          <w:color w:val="000000" w:themeColor="text1"/>
          <w:szCs w:val="20"/>
        </w:rPr>
        <w:t>s</w:t>
      </w:r>
      <w:r w:rsidR="0080483B">
        <w:rPr>
          <w:rFonts w:eastAsia="Times New Roman" w:cs="Arial"/>
          <w:color w:val="000000" w:themeColor="text1"/>
          <w:szCs w:val="20"/>
        </w:rPr>
        <w:t>, trib</w:t>
      </w:r>
      <w:r w:rsidR="008379B6">
        <w:rPr>
          <w:rFonts w:eastAsia="Times New Roman" w:cs="Arial"/>
          <w:color w:val="000000" w:themeColor="text1"/>
          <w:szCs w:val="20"/>
        </w:rPr>
        <w:t>es</w:t>
      </w:r>
      <w:r w:rsidR="0080483B">
        <w:rPr>
          <w:rFonts w:eastAsia="Times New Roman" w:cs="Arial"/>
          <w:color w:val="000000" w:themeColor="text1"/>
          <w:szCs w:val="20"/>
        </w:rPr>
        <w:t xml:space="preserve">, </w:t>
      </w:r>
      <w:r w:rsidR="008379B6">
        <w:rPr>
          <w:rFonts w:eastAsia="Times New Roman" w:cs="Arial"/>
          <w:color w:val="000000" w:themeColor="text1"/>
          <w:szCs w:val="20"/>
        </w:rPr>
        <w:t xml:space="preserve">and </w:t>
      </w:r>
      <w:r w:rsidR="0080483B">
        <w:rPr>
          <w:rFonts w:eastAsia="Times New Roman" w:cs="Arial"/>
          <w:color w:val="000000" w:themeColor="text1"/>
          <w:szCs w:val="20"/>
        </w:rPr>
        <w:t>territori</w:t>
      </w:r>
      <w:r w:rsidR="008379B6">
        <w:rPr>
          <w:rFonts w:eastAsia="Times New Roman" w:cs="Arial"/>
          <w:color w:val="000000" w:themeColor="text1"/>
          <w:szCs w:val="20"/>
        </w:rPr>
        <w:t>es</w:t>
      </w:r>
      <w:r w:rsidR="00854797">
        <w:rPr>
          <w:rFonts w:eastAsia="Times New Roman" w:cs="Arial"/>
          <w:color w:val="000000" w:themeColor="text1"/>
          <w:szCs w:val="20"/>
        </w:rPr>
        <w:t xml:space="preserve"> (STT)</w:t>
      </w:r>
      <w:r w:rsidR="0080483B">
        <w:rPr>
          <w:rFonts w:eastAsia="Times New Roman" w:cs="Arial"/>
          <w:color w:val="000000" w:themeColor="text1"/>
          <w:szCs w:val="20"/>
        </w:rPr>
        <w:t xml:space="preserve">, </w:t>
      </w:r>
      <w:r w:rsidR="00027647">
        <w:rPr>
          <w:rFonts w:eastAsia="Times New Roman" w:cs="Arial"/>
          <w:color w:val="000000" w:themeColor="text1"/>
          <w:szCs w:val="20"/>
        </w:rPr>
        <w:t>as well as</w:t>
      </w:r>
      <w:r w:rsidR="008379B6">
        <w:rPr>
          <w:rFonts w:eastAsia="Times New Roman" w:cs="Arial"/>
          <w:color w:val="000000" w:themeColor="text1"/>
          <w:szCs w:val="20"/>
        </w:rPr>
        <w:t xml:space="preserve"> </w:t>
      </w:r>
      <w:r w:rsidR="00B21D79">
        <w:rPr>
          <w:rFonts w:eastAsia="Times New Roman" w:cs="Arial"/>
          <w:color w:val="000000" w:themeColor="text1"/>
          <w:szCs w:val="20"/>
        </w:rPr>
        <w:t xml:space="preserve">federal </w:t>
      </w:r>
      <w:r w:rsidR="008379B6">
        <w:rPr>
          <w:rFonts w:eastAsia="Times New Roman" w:cs="Arial"/>
          <w:color w:val="000000" w:themeColor="text1"/>
          <w:szCs w:val="20"/>
        </w:rPr>
        <w:t xml:space="preserve">laws </w:t>
      </w:r>
      <w:r w:rsidR="00027647">
        <w:rPr>
          <w:rFonts w:eastAsia="Times New Roman" w:cs="Arial"/>
          <w:color w:val="000000" w:themeColor="text1"/>
          <w:szCs w:val="20"/>
        </w:rPr>
        <w:t xml:space="preserve">that may preempt </w:t>
      </w:r>
      <w:r w:rsidR="00854797">
        <w:rPr>
          <w:rFonts w:eastAsia="Times New Roman" w:cs="Arial"/>
          <w:color w:val="000000" w:themeColor="text1"/>
          <w:szCs w:val="20"/>
        </w:rPr>
        <w:t xml:space="preserve">STT laws. </w:t>
      </w:r>
      <w:r w:rsidR="00326ABD">
        <w:rPr>
          <w:rFonts w:eastAsia="Times New Roman" w:cs="Arial"/>
          <w:color w:val="000000" w:themeColor="text1"/>
          <w:szCs w:val="20"/>
        </w:rPr>
        <w:t>As such,</w:t>
      </w:r>
      <w:r w:rsidR="00FF225E">
        <w:rPr>
          <w:rFonts w:eastAsia="Times New Roman" w:cs="Arial"/>
          <w:color w:val="000000" w:themeColor="text1"/>
          <w:szCs w:val="20"/>
        </w:rPr>
        <w:t xml:space="preserve"> </w:t>
      </w:r>
      <w:r w:rsidR="008A6D9E">
        <w:rPr>
          <w:rFonts w:eastAsia="Times New Roman" w:cs="Arial"/>
          <w:color w:val="000000" w:themeColor="text1"/>
          <w:szCs w:val="20"/>
        </w:rPr>
        <w:t xml:space="preserve">readers should examine the </w:t>
      </w:r>
      <w:r w:rsidR="003D325B">
        <w:rPr>
          <w:rFonts w:eastAsia="Times New Roman" w:cs="Arial"/>
          <w:color w:val="000000" w:themeColor="text1"/>
          <w:szCs w:val="20"/>
        </w:rPr>
        <w:t>law</w:t>
      </w:r>
      <w:r w:rsidR="00C616E5">
        <w:rPr>
          <w:rFonts w:eastAsia="Times New Roman" w:cs="Arial"/>
          <w:color w:val="000000" w:themeColor="text1"/>
          <w:szCs w:val="20"/>
        </w:rPr>
        <w:t xml:space="preserve">s in their </w:t>
      </w:r>
      <w:r w:rsidR="00330EDF">
        <w:rPr>
          <w:rFonts w:eastAsia="Times New Roman" w:cs="Arial"/>
          <w:color w:val="000000" w:themeColor="text1"/>
          <w:szCs w:val="20"/>
        </w:rPr>
        <w:t xml:space="preserve">own </w:t>
      </w:r>
      <w:r w:rsidR="00854797">
        <w:rPr>
          <w:rFonts w:eastAsia="Times New Roman" w:cs="Arial"/>
          <w:color w:val="000000" w:themeColor="text1"/>
          <w:szCs w:val="20"/>
        </w:rPr>
        <w:t>jurisdictions</w:t>
      </w:r>
      <w:r w:rsidR="00330EDF">
        <w:rPr>
          <w:rFonts w:eastAsia="Times New Roman" w:cs="Arial"/>
          <w:color w:val="000000" w:themeColor="text1"/>
          <w:szCs w:val="20"/>
        </w:rPr>
        <w:t xml:space="preserve"> to determine how the theories of liability </w:t>
      </w:r>
      <w:r w:rsidR="004B4063">
        <w:rPr>
          <w:rFonts w:eastAsia="Times New Roman" w:cs="Arial"/>
          <w:color w:val="000000" w:themeColor="text1"/>
          <w:szCs w:val="20"/>
        </w:rPr>
        <w:t>discussed</w:t>
      </w:r>
      <w:r w:rsidR="00534E8D">
        <w:rPr>
          <w:rFonts w:eastAsia="Times New Roman" w:cs="Arial"/>
          <w:color w:val="000000" w:themeColor="text1"/>
          <w:szCs w:val="20"/>
        </w:rPr>
        <w:t xml:space="preserve"> here w</w:t>
      </w:r>
      <w:r w:rsidR="00AC37CE">
        <w:rPr>
          <w:rFonts w:eastAsia="Times New Roman" w:cs="Arial"/>
          <w:color w:val="000000" w:themeColor="text1"/>
          <w:szCs w:val="20"/>
        </w:rPr>
        <w:t xml:space="preserve">ould be addressed in their </w:t>
      </w:r>
      <w:r w:rsidR="005A541F">
        <w:rPr>
          <w:rFonts w:eastAsia="Times New Roman" w:cs="Arial"/>
          <w:color w:val="000000" w:themeColor="text1"/>
          <w:szCs w:val="20"/>
        </w:rPr>
        <w:t>specific jurisdiction</w:t>
      </w:r>
      <w:r w:rsidR="00091065">
        <w:rPr>
          <w:rFonts w:eastAsia="Times New Roman" w:cs="Arial"/>
          <w:color w:val="000000" w:themeColor="text1"/>
          <w:szCs w:val="20"/>
        </w:rPr>
        <w:t>s</w:t>
      </w:r>
      <w:r w:rsidR="005A541F">
        <w:rPr>
          <w:rFonts w:eastAsia="Times New Roman" w:cs="Arial"/>
          <w:color w:val="000000" w:themeColor="text1"/>
          <w:szCs w:val="20"/>
        </w:rPr>
        <w:t>.</w:t>
      </w:r>
    </w:p>
    <w:p w14:paraId="0A4FF9B2" w14:textId="77777777" w:rsidR="00FB2A38" w:rsidRPr="00FB2A38" w:rsidRDefault="00FB2A38" w:rsidP="00FB2A38">
      <w:pPr>
        <w:spacing w:line="360" w:lineRule="auto"/>
        <w:rPr>
          <w:rFonts w:eastAsia="Times New Roman" w:cs="Arial"/>
          <w:b/>
          <w:bCs/>
          <w:color w:val="3C3030"/>
          <w:sz w:val="24"/>
          <w:szCs w:val="24"/>
        </w:rPr>
      </w:pPr>
    </w:p>
    <w:p w14:paraId="53C4CD3E" w14:textId="657D83B8" w:rsidR="00B33748" w:rsidRDefault="0099702B" w:rsidP="003A463A">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t xml:space="preserve">Potential </w:t>
      </w:r>
      <w:r w:rsidR="005D33FC">
        <w:rPr>
          <w:rFonts w:eastAsia="Times New Roman" w:cs="Arial"/>
          <w:b/>
          <w:bCs/>
          <w:color w:val="3C3030"/>
          <w:sz w:val="24"/>
          <w:szCs w:val="24"/>
        </w:rPr>
        <w:t>Theories</w:t>
      </w:r>
      <w:r w:rsidRPr="0099702B">
        <w:rPr>
          <w:rFonts w:eastAsia="Times New Roman" w:cs="Arial"/>
          <w:b/>
          <w:bCs/>
          <w:color w:val="3C3030"/>
          <w:sz w:val="24"/>
          <w:szCs w:val="24"/>
        </w:rPr>
        <w:t xml:space="preserve"> of Liability</w:t>
      </w:r>
    </w:p>
    <w:p w14:paraId="1C03FD69" w14:textId="50445AA3" w:rsidR="0099702B" w:rsidRPr="00B978E6" w:rsidRDefault="0099702B" w:rsidP="00B33748">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Individuals and organizations who participate in emergency response activities can potentially be liable under </w:t>
      </w:r>
      <w:r w:rsidR="00AF4DF5">
        <w:rPr>
          <w:rFonts w:eastAsia="Times New Roman" w:cs="Arial"/>
          <w:color w:val="000000" w:themeColor="text1"/>
          <w:szCs w:val="20"/>
        </w:rPr>
        <w:t>multiple</w:t>
      </w:r>
      <w:r w:rsidRPr="0099702B">
        <w:rPr>
          <w:rFonts w:eastAsia="Times New Roman" w:cs="Arial"/>
          <w:color w:val="000000" w:themeColor="text1"/>
          <w:szCs w:val="20"/>
        </w:rPr>
        <w:t xml:space="preserve"> theories of civil and criminal liability. While many of the parties and activities involved </w:t>
      </w:r>
      <w:r w:rsidR="007A0825">
        <w:rPr>
          <w:rFonts w:eastAsia="Times New Roman" w:cs="Arial"/>
          <w:color w:val="000000" w:themeColor="text1"/>
          <w:szCs w:val="20"/>
        </w:rPr>
        <w:t>i</w:t>
      </w:r>
      <w:r w:rsidR="00F836DE">
        <w:rPr>
          <w:rFonts w:eastAsia="Times New Roman" w:cs="Arial"/>
          <w:color w:val="000000" w:themeColor="text1"/>
          <w:szCs w:val="20"/>
        </w:rPr>
        <w:t>n</w:t>
      </w:r>
      <w:r w:rsidRPr="0099702B">
        <w:rPr>
          <w:rFonts w:eastAsia="Times New Roman" w:cs="Arial"/>
          <w:color w:val="000000" w:themeColor="text1"/>
          <w:szCs w:val="20"/>
        </w:rPr>
        <w:t xml:space="preserve"> </w:t>
      </w:r>
      <w:r w:rsidR="002724FE" w:rsidRPr="0099702B">
        <w:rPr>
          <w:rFonts w:eastAsia="Times New Roman" w:cs="Arial"/>
          <w:color w:val="000000" w:themeColor="text1"/>
          <w:szCs w:val="20"/>
        </w:rPr>
        <w:t>emergency</w:t>
      </w:r>
      <w:r w:rsidRPr="0099702B">
        <w:rPr>
          <w:rFonts w:eastAsia="Times New Roman" w:cs="Arial"/>
          <w:color w:val="000000" w:themeColor="text1"/>
          <w:szCs w:val="20"/>
        </w:rPr>
        <w:t xml:space="preserve"> response </w:t>
      </w:r>
      <w:r w:rsidR="00025114">
        <w:rPr>
          <w:rFonts w:eastAsia="Times New Roman" w:cs="Arial"/>
          <w:color w:val="000000" w:themeColor="text1"/>
          <w:szCs w:val="20"/>
        </w:rPr>
        <w:t>are</w:t>
      </w:r>
      <w:r w:rsidRPr="0099702B">
        <w:rPr>
          <w:rFonts w:eastAsia="Times New Roman" w:cs="Arial"/>
          <w:color w:val="000000" w:themeColor="text1"/>
          <w:szCs w:val="20"/>
        </w:rPr>
        <w:t xml:space="preserve"> covered under one or more liability protections and </w:t>
      </w:r>
      <w:r w:rsidR="00955CF4">
        <w:rPr>
          <w:rFonts w:eastAsia="Times New Roman" w:cs="Arial"/>
          <w:color w:val="000000" w:themeColor="text1"/>
          <w:szCs w:val="20"/>
        </w:rPr>
        <w:t>immunities</w:t>
      </w:r>
      <w:r w:rsidR="007D0BCD">
        <w:rPr>
          <w:rFonts w:eastAsia="Times New Roman" w:cs="Arial"/>
          <w:color w:val="000000" w:themeColor="text1"/>
          <w:szCs w:val="20"/>
        </w:rPr>
        <w:t xml:space="preserve">, </w:t>
      </w:r>
      <w:r w:rsidRPr="0099702B">
        <w:rPr>
          <w:rFonts w:eastAsia="Times New Roman" w:cs="Arial"/>
          <w:color w:val="000000" w:themeColor="text1"/>
          <w:szCs w:val="20"/>
        </w:rPr>
        <w:t xml:space="preserve">there remains the potential for liability, especially for egregious conduct or the particular circumstance of an emergency event and the response to it. This </w:t>
      </w:r>
      <w:r w:rsidR="00AF4DD8">
        <w:rPr>
          <w:rFonts w:eastAsia="Times New Roman" w:cs="Arial"/>
          <w:color w:val="000000" w:themeColor="text1"/>
          <w:szCs w:val="20"/>
        </w:rPr>
        <w:t>document</w:t>
      </w:r>
      <w:r w:rsidRPr="0099702B">
        <w:rPr>
          <w:rFonts w:eastAsia="Times New Roman" w:cs="Arial"/>
          <w:color w:val="000000" w:themeColor="text1"/>
          <w:szCs w:val="20"/>
        </w:rPr>
        <w:t xml:space="preserve"> </w:t>
      </w:r>
      <w:r w:rsidR="00AF4DD8">
        <w:rPr>
          <w:rFonts w:eastAsia="Times New Roman" w:cs="Arial"/>
          <w:color w:val="000000" w:themeColor="text1"/>
          <w:szCs w:val="20"/>
        </w:rPr>
        <w:t>addresses</w:t>
      </w:r>
      <w:r w:rsidRPr="0099702B">
        <w:rPr>
          <w:rFonts w:eastAsia="Times New Roman" w:cs="Arial"/>
          <w:color w:val="000000" w:themeColor="text1"/>
          <w:szCs w:val="20"/>
        </w:rPr>
        <w:t xml:space="preserve"> potential </w:t>
      </w:r>
      <w:r w:rsidR="00284FD2">
        <w:rPr>
          <w:rFonts w:eastAsia="Times New Roman" w:cs="Arial"/>
          <w:color w:val="000000" w:themeColor="text1"/>
          <w:szCs w:val="20"/>
        </w:rPr>
        <w:t xml:space="preserve">theories of </w:t>
      </w:r>
      <w:r w:rsidRPr="0099702B">
        <w:rPr>
          <w:rFonts w:eastAsia="Times New Roman" w:cs="Arial"/>
          <w:color w:val="000000" w:themeColor="text1"/>
          <w:szCs w:val="20"/>
        </w:rPr>
        <w:t>liability, with emphasis on civil liability issues. Within the emergency response context, civil liability claims</w:t>
      </w:r>
      <w:r w:rsidR="003D1A9D">
        <w:rPr>
          <w:rFonts w:eastAsia="Times New Roman" w:cs="Arial"/>
          <w:color w:val="000000" w:themeColor="text1"/>
          <w:szCs w:val="20"/>
        </w:rPr>
        <w:t xml:space="preserve">—especially negligence—are </w:t>
      </w:r>
      <w:r w:rsidRPr="0099702B">
        <w:rPr>
          <w:rFonts w:eastAsia="Times New Roman" w:cs="Arial"/>
          <w:color w:val="000000" w:themeColor="text1"/>
          <w:szCs w:val="20"/>
        </w:rPr>
        <w:t>the most likely to arise</w:t>
      </w:r>
      <w:r w:rsidR="003D1A9D">
        <w:rPr>
          <w:rFonts w:eastAsia="Times New Roman" w:cs="Arial"/>
          <w:color w:val="000000" w:themeColor="text1"/>
          <w:szCs w:val="20"/>
        </w:rPr>
        <w:t>.</w:t>
      </w:r>
      <w:r w:rsidRPr="0099702B">
        <w:rPr>
          <w:rFonts w:eastAsia="Times New Roman" w:cs="Arial"/>
          <w:color w:val="000000" w:themeColor="text1"/>
          <w:szCs w:val="20"/>
        </w:rPr>
        <w:t xml:space="preserve"> Other po</w:t>
      </w:r>
      <w:r w:rsidR="003D1A9D">
        <w:rPr>
          <w:rFonts w:eastAsia="Times New Roman" w:cs="Arial"/>
          <w:color w:val="000000" w:themeColor="text1"/>
          <w:szCs w:val="20"/>
        </w:rPr>
        <w:t>ssible</w:t>
      </w:r>
      <w:r w:rsidRPr="0099702B">
        <w:rPr>
          <w:rFonts w:eastAsia="Times New Roman" w:cs="Arial"/>
          <w:color w:val="000000" w:themeColor="text1"/>
          <w:szCs w:val="20"/>
        </w:rPr>
        <w:t xml:space="preserve"> civil liability claims discussed include intentional torts, violations of statutory or regulatory requirements, strict liability, and constitutional violations. </w:t>
      </w:r>
    </w:p>
    <w:p w14:paraId="72315EBD" w14:textId="07F3CA78" w:rsidR="00CF327F" w:rsidRPr="00CF327F" w:rsidRDefault="00CF327F" w:rsidP="00EB12E6">
      <w:pPr>
        <w:spacing w:line="360" w:lineRule="auto"/>
        <w:rPr>
          <w:rFonts w:eastAsia="Times New Roman" w:cs="Arial"/>
          <w:b/>
          <w:bCs/>
          <w:color w:val="000000" w:themeColor="text1"/>
          <w:szCs w:val="20"/>
        </w:rPr>
      </w:pPr>
    </w:p>
    <w:p w14:paraId="2EAB0B4D" w14:textId="03E98FEF" w:rsidR="00CF327F" w:rsidRPr="00CF327F" w:rsidRDefault="00CF327F" w:rsidP="00EB12E6">
      <w:pPr>
        <w:spacing w:line="360" w:lineRule="auto"/>
        <w:rPr>
          <w:rFonts w:eastAsia="Times New Roman" w:cs="Arial"/>
          <w:b/>
          <w:bCs/>
          <w:color w:val="000000" w:themeColor="text1"/>
          <w:szCs w:val="20"/>
        </w:rPr>
      </w:pPr>
      <w:r w:rsidRPr="00CF327F">
        <w:rPr>
          <w:rFonts w:eastAsia="Times New Roman" w:cs="Arial"/>
          <w:b/>
          <w:bCs/>
          <w:color w:val="000000" w:themeColor="text1"/>
          <w:szCs w:val="20"/>
        </w:rPr>
        <w:t>Defining Liability</w:t>
      </w:r>
    </w:p>
    <w:p w14:paraId="0423F24D" w14:textId="77777777" w:rsidR="001225B6" w:rsidRDefault="0099702B" w:rsidP="009302CF">
      <w:pPr>
        <w:spacing w:after="120" w:line="360" w:lineRule="auto"/>
        <w:rPr>
          <w:rFonts w:eastAsia="Times New Roman" w:cs="Arial"/>
          <w:color w:val="000000" w:themeColor="text1"/>
          <w:szCs w:val="20"/>
        </w:rPr>
      </w:pPr>
      <w:r w:rsidRPr="0099702B">
        <w:rPr>
          <w:rFonts w:eastAsia="Times New Roman" w:cs="Arial"/>
          <w:color w:val="000000" w:themeColor="text1"/>
          <w:szCs w:val="20"/>
        </w:rPr>
        <w:t>Both individuals and organizational entities can potentially be held liable for their own actions, as well as the actions of another person or entity.</w:t>
      </w:r>
      <w:r w:rsidR="00011924">
        <w:rPr>
          <w:rFonts w:eastAsia="Times New Roman" w:cs="Arial"/>
          <w:color w:val="000000" w:themeColor="text1"/>
          <w:szCs w:val="20"/>
        </w:rPr>
        <w:t xml:space="preserve"> </w:t>
      </w:r>
      <w:r w:rsidRPr="0099702B">
        <w:rPr>
          <w:rFonts w:eastAsia="Times New Roman" w:cs="Arial"/>
          <w:color w:val="000000" w:themeColor="text1"/>
          <w:szCs w:val="20"/>
        </w:rPr>
        <w:t>Within the context of the law, liability (</w:t>
      </w:r>
      <w:r w:rsidR="00011924">
        <w:rPr>
          <w:rFonts w:eastAsia="Times New Roman" w:cs="Arial"/>
          <w:color w:val="000000" w:themeColor="text1"/>
          <w:szCs w:val="20"/>
        </w:rPr>
        <w:t>some</w:t>
      </w:r>
      <w:r w:rsidR="00D6209A">
        <w:rPr>
          <w:rFonts w:eastAsia="Times New Roman" w:cs="Arial"/>
          <w:color w:val="000000" w:themeColor="text1"/>
          <w:szCs w:val="20"/>
        </w:rPr>
        <w:t>times referred to as</w:t>
      </w:r>
      <w:r w:rsidRPr="0099702B">
        <w:rPr>
          <w:rFonts w:eastAsia="Times New Roman" w:cs="Arial"/>
          <w:color w:val="000000" w:themeColor="text1"/>
          <w:szCs w:val="20"/>
        </w:rPr>
        <w:t xml:space="preserve"> direct liability) means that a person or entity is legally responsible for their actions or failure to act. </w:t>
      </w:r>
    </w:p>
    <w:p w14:paraId="39B975A1" w14:textId="389AA469" w:rsidR="002A6FBB" w:rsidRPr="002A6FBB" w:rsidRDefault="0099702B" w:rsidP="009302CF">
      <w:pPr>
        <w:pStyle w:val="ListParagraph"/>
        <w:numPr>
          <w:ilvl w:val="0"/>
          <w:numId w:val="25"/>
        </w:numPr>
        <w:spacing w:after="120" w:line="360" w:lineRule="auto"/>
        <w:contextualSpacing w:val="0"/>
        <w:rPr>
          <w:rFonts w:eastAsia="Times New Roman" w:cs="Arial"/>
          <w:b/>
          <w:bCs/>
          <w:color w:val="000000" w:themeColor="text1"/>
          <w:szCs w:val="20"/>
        </w:rPr>
      </w:pPr>
      <w:r w:rsidRPr="002A6FBB">
        <w:rPr>
          <w:rFonts w:eastAsia="Times New Roman" w:cs="Arial"/>
          <w:b/>
          <w:bCs/>
          <w:color w:val="000000" w:themeColor="text1"/>
          <w:szCs w:val="20"/>
        </w:rPr>
        <w:t>Vicarious Liability</w:t>
      </w:r>
      <w:r w:rsidR="002A6FBB" w:rsidRPr="002A6FBB">
        <w:rPr>
          <w:rFonts w:eastAsia="Times New Roman" w:cs="Arial"/>
          <w:b/>
          <w:bCs/>
          <w:color w:val="000000" w:themeColor="text1"/>
          <w:szCs w:val="20"/>
        </w:rPr>
        <w:t xml:space="preserve"> - </w:t>
      </w:r>
      <w:r w:rsidRPr="002A6FBB">
        <w:rPr>
          <w:rFonts w:eastAsia="Times New Roman" w:cs="Arial"/>
          <w:color w:val="000000" w:themeColor="text1"/>
          <w:szCs w:val="20"/>
        </w:rPr>
        <w:t xml:space="preserve">Vicarious liability is a type of secondary liability. It occurs when a person or entity is held legally responsible for the actions, or failure to act, of another with whom they have a particular legal relationship. This is primarily seen in the context of an employer being held responsible for the actions of its employee, which is also known as the legal principle of </w:t>
      </w:r>
      <w:r w:rsidRPr="002A6FBB">
        <w:rPr>
          <w:rFonts w:eastAsia="Times New Roman" w:cs="Arial"/>
          <w:i/>
          <w:iCs/>
          <w:color w:val="000000" w:themeColor="text1"/>
          <w:szCs w:val="20"/>
        </w:rPr>
        <w:t>respondeat superior</w:t>
      </w:r>
      <w:r w:rsidRPr="002A6FBB">
        <w:rPr>
          <w:rFonts w:eastAsia="Times New Roman" w:cs="Arial"/>
          <w:color w:val="000000" w:themeColor="text1"/>
          <w:szCs w:val="20"/>
        </w:rPr>
        <w:t>. Vicarious liability also extends to a corporation, nonprofit, or other entity for the acts or omissions of its agents</w:t>
      </w:r>
      <w:r w:rsidR="00D47FA4">
        <w:rPr>
          <w:rFonts w:eastAsia="Times New Roman" w:cs="Arial"/>
          <w:color w:val="000000" w:themeColor="text1"/>
          <w:szCs w:val="20"/>
        </w:rPr>
        <w:t xml:space="preserve"> such as </w:t>
      </w:r>
      <w:r w:rsidRPr="002A6FBB">
        <w:rPr>
          <w:rFonts w:eastAsia="Times New Roman" w:cs="Arial"/>
          <w:color w:val="000000" w:themeColor="text1"/>
          <w:szCs w:val="20"/>
        </w:rPr>
        <w:t>an officer or director. This occurs, for example, when an aid organization is sued for the negligent or intentional acts of a physician who is an employee or volunteer for the group.</w:t>
      </w:r>
    </w:p>
    <w:p w14:paraId="6875F9A1" w14:textId="4610048A" w:rsidR="00F86AF4" w:rsidRPr="002A6FBB" w:rsidRDefault="00AF3743" w:rsidP="00B33748">
      <w:pPr>
        <w:pStyle w:val="ListParagraph"/>
        <w:numPr>
          <w:ilvl w:val="0"/>
          <w:numId w:val="25"/>
        </w:numPr>
        <w:spacing w:line="360" w:lineRule="auto"/>
        <w:rPr>
          <w:rFonts w:eastAsia="Times New Roman" w:cs="Arial"/>
          <w:b/>
          <w:bCs/>
          <w:color w:val="000000" w:themeColor="text1"/>
          <w:szCs w:val="20"/>
        </w:rPr>
      </w:pPr>
      <w:r>
        <w:rPr>
          <w:rFonts w:eastAsia="Times New Roman" w:cs="Arial"/>
          <w:b/>
          <w:bCs/>
          <w:color w:val="000000" w:themeColor="text1"/>
          <w:szCs w:val="20"/>
        </w:rPr>
        <w:lastRenderedPageBreak/>
        <w:t>Apparent</w:t>
      </w:r>
      <w:r w:rsidR="0099702B" w:rsidRPr="002A6FBB">
        <w:rPr>
          <w:rFonts w:eastAsia="Times New Roman" w:cs="Arial"/>
          <w:b/>
          <w:bCs/>
          <w:color w:val="000000" w:themeColor="text1"/>
          <w:szCs w:val="20"/>
        </w:rPr>
        <w:t xml:space="preserve"> Agency</w:t>
      </w:r>
      <w:r w:rsidR="002A6FBB">
        <w:rPr>
          <w:rFonts w:eastAsia="Times New Roman" w:cs="Arial"/>
          <w:b/>
          <w:bCs/>
          <w:color w:val="000000" w:themeColor="text1"/>
          <w:szCs w:val="20"/>
        </w:rPr>
        <w:t xml:space="preserve"> -</w:t>
      </w:r>
      <w:r w:rsidR="002A6FBB">
        <w:rPr>
          <w:rFonts w:eastAsia="Times New Roman" w:cs="Arial"/>
          <w:color w:val="000000" w:themeColor="text1"/>
          <w:szCs w:val="20"/>
        </w:rPr>
        <w:t xml:space="preserve"> </w:t>
      </w:r>
      <w:r w:rsidR="0099702B" w:rsidRPr="002A6FBB">
        <w:rPr>
          <w:rFonts w:eastAsia="Times New Roman" w:cs="Arial"/>
          <w:color w:val="000000" w:themeColor="text1"/>
          <w:szCs w:val="20"/>
        </w:rPr>
        <w:t xml:space="preserve">Some entities try to limit their potential for vicarious liability by designating persons as independent contractors rather than as employees or agents. This approach can be effective to limit liability; however, the courts can disregard the independent contractor relationship and find an entity vicariously liable through the legal principle of </w:t>
      </w:r>
      <w:r>
        <w:rPr>
          <w:rFonts w:eastAsia="Times New Roman" w:cs="Arial"/>
          <w:color w:val="000000" w:themeColor="text1"/>
          <w:szCs w:val="20"/>
        </w:rPr>
        <w:t>apparent a</w:t>
      </w:r>
      <w:r w:rsidR="0099702B" w:rsidRPr="002A6FBB">
        <w:rPr>
          <w:rFonts w:eastAsia="Times New Roman" w:cs="Arial"/>
          <w:color w:val="000000" w:themeColor="text1"/>
          <w:szCs w:val="20"/>
        </w:rPr>
        <w:t>gency</w:t>
      </w:r>
      <w:r>
        <w:rPr>
          <w:rFonts w:eastAsia="Times New Roman" w:cs="Arial"/>
          <w:color w:val="000000" w:themeColor="text1"/>
          <w:szCs w:val="20"/>
        </w:rPr>
        <w:t xml:space="preserve"> (also </w:t>
      </w:r>
      <w:r w:rsidR="00A537C9">
        <w:rPr>
          <w:rFonts w:eastAsia="Times New Roman" w:cs="Arial"/>
          <w:color w:val="000000" w:themeColor="text1"/>
          <w:szCs w:val="20"/>
        </w:rPr>
        <w:t xml:space="preserve">known as </w:t>
      </w:r>
      <w:r w:rsidR="00D91677">
        <w:rPr>
          <w:rFonts w:eastAsia="Times New Roman" w:cs="Arial"/>
          <w:color w:val="000000" w:themeColor="text1"/>
          <w:szCs w:val="20"/>
        </w:rPr>
        <w:t xml:space="preserve">ostensible </w:t>
      </w:r>
      <w:r w:rsidR="00DB33B7">
        <w:rPr>
          <w:rFonts w:eastAsia="Times New Roman" w:cs="Arial"/>
          <w:color w:val="000000" w:themeColor="text1"/>
          <w:szCs w:val="20"/>
        </w:rPr>
        <w:t>agency</w:t>
      </w:r>
      <w:r w:rsidR="00D91677">
        <w:rPr>
          <w:rFonts w:eastAsia="Times New Roman" w:cs="Arial"/>
          <w:color w:val="000000" w:themeColor="text1"/>
          <w:szCs w:val="20"/>
        </w:rPr>
        <w:t>)</w:t>
      </w:r>
      <w:r w:rsidR="0099702B" w:rsidRPr="002A6FBB">
        <w:rPr>
          <w:rFonts w:eastAsia="Times New Roman" w:cs="Arial"/>
          <w:color w:val="000000" w:themeColor="text1"/>
          <w:szCs w:val="20"/>
        </w:rPr>
        <w:t>. This form of agency finds that an employer/principal can be liable for the actions of an independent contractor (or other non-employee/non-agent) if the employer/principal holds the contractor out as an employee or agent of the employer/principal and a third party believes that the contractor acts on the employer/principal’s behalf.</w:t>
      </w:r>
    </w:p>
    <w:p w14:paraId="234242A2" w14:textId="77777777" w:rsidR="00B33748" w:rsidRPr="00B33748" w:rsidRDefault="00B33748" w:rsidP="00B33748">
      <w:pPr>
        <w:spacing w:line="360" w:lineRule="auto"/>
        <w:rPr>
          <w:rFonts w:eastAsia="Times New Roman" w:cs="Arial"/>
          <w:b/>
          <w:bCs/>
          <w:color w:val="000000" w:themeColor="text1"/>
          <w:szCs w:val="20"/>
        </w:rPr>
      </w:pPr>
    </w:p>
    <w:p w14:paraId="46E9C7F9" w14:textId="77777777"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t>Civil Liability</w:t>
      </w:r>
    </w:p>
    <w:p w14:paraId="630EB05C" w14:textId="09AEBDA1"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Civil liability is the most likely </w:t>
      </w:r>
      <w:r w:rsidR="005061AB">
        <w:rPr>
          <w:rFonts w:eastAsia="Times New Roman" w:cs="Arial"/>
          <w:color w:val="000000" w:themeColor="text1"/>
          <w:szCs w:val="20"/>
        </w:rPr>
        <w:t xml:space="preserve">type of liability to </w:t>
      </w:r>
      <w:r w:rsidRPr="0099702B">
        <w:rPr>
          <w:rFonts w:eastAsia="Times New Roman" w:cs="Arial"/>
          <w:color w:val="000000" w:themeColor="text1"/>
          <w:szCs w:val="20"/>
        </w:rPr>
        <w:t xml:space="preserve">arise in the emergency response context. Civil liabilities take a variety of forms—intentional harms (battery), </w:t>
      </w:r>
      <w:r w:rsidR="000F24D5" w:rsidRPr="0099702B">
        <w:rPr>
          <w:rFonts w:eastAsia="Times New Roman" w:cs="Arial"/>
          <w:color w:val="000000" w:themeColor="text1"/>
          <w:szCs w:val="20"/>
        </w:rPr>
        <w:t xml:space="preserve">negligence, </w:t>
      </w:r>
      <w:r w:rsidRPr="0099702B">
        <w:rPr>
          <w:rFonts w:eastAsia="Times New Roman" w:cs="Arial"/>
          <w:color w:val="000000" w:themeColor="text1"/>
          <w:szCs w:val="20"/>
        </w:rPr>
        <w:t xml:space="preserve">privacy violations, discrimination, or misrepresentations by a </w:t>
      </w:r>
      <w:r w:rsidR="00EF09FE" w:rsidRPr="0099702B">
        <w:rPr>
          <w:rFonts w:eastAsia="Times New Roman" w:cs="Arial"/>
          <w:color w:val="000000" w:themeColor="text1"/>
          <w:szCs w:val="20"/>
        </w:rPr>
        <w:t>volunteer or other responder</w:t>
      </w:r>
      <w:r w:rsidRPr="0099702B">
        <w:rPr>
          <w:rFonts w:eastAsia="Times New Roman" w:cs="Arial"/>
          <w:color w:val="000000" w:themeColor="text1"/>
          <w:szCs w:val="20"/>
        </w:rPr>
        <w:t xml:space="preserve">. Liability extends to individual persons as well as organizational entities like corporations and nonprofits. As discussed above, entities may be found </w:t>
      </w:r>
      <w:r w:rsidR="005E7133">
        <w:rPr>
          <w:rFonts w:eastAsia="Times New Roman" w:cs="Arial"/>
          <w:color w:val="000000" w:themeColor="text1"/>
          <w:szCs w:val="20"/>
        </w:rPr>
        <w:t xml:space="preserve">directly or </w:t>
      </w:r>
      <w:r w:rsidRPr="0099702B">
        <w:rPr>
          <w:rFonts w:eastAsia="Times New Roman" w:cs="Arial"/>
          <w:color w:val="000000" w:themeColor="text1"/>
          <w:szCs w:val="20"/>
        </w:rPr>
        <w:t>vicariously liable for the actions, or failures to act, of their employees, agents, officers, directors</w:t>
      </w:r>
      <w:r w:rsidR="005E7133">
        <w:rPr>
          <w:rFonts w:eastAsia="Times New Roman" w:cs="Arial"/>
          <w:color w:val="000000" w:themeColor="text1"/>
          <w:szCs w:val="20"/>
        </w:rPr>
        <w:t>, or volunteers</w:t>
      </w:r>
      <w:r w:rsidRPr="0099702B">
        <w:rPr>
          <w:rFonts w:eastAsia="Times New Roman" w:cs="Arial"/>
          <w:color w:val="000000" w:themeColor="text1"/>
          <w:szCs w:val="20"/>
        </w:rPr>
        <w:t>. If a person or entity is found liable for causing the harm, the aggrieved party can seek monetary compensation and, in some instances, an injunction against current or future action by the liable party.</w:t>
      </w:r>
      <w:r w:rsidR="000F24D5">
        <w:rPr>
          <w:rFonts w:eastAsia="Times New Roman" w:cs="Arial"/>
          <w:color w:val="000000" w:themeColor="text1"/>
          <w:szCs w:val="20"/>
        </w:rPr>
        <w:t xml:space="preserve"> This section reviews the various forms of potential civility liability that may arise from emergency response activities</w:t>
      </w:r>
    </w:p>
    <w:p w14:paraId="193F52B3" w14:textId="77777777" w:rsidR="00F86AF4" w:rsidRPr="00F86AF4" w:rsidRDefault="00F86AF4" w:rsidP="00EB12E6">
      <w:pPr>
        <w:spacing w:line="360" w:lineRule="auto"/>
        <w:rPr>
          <w:rFonts w:eastAsia="Times New Roman" w:cs="Arial"/>
          <w:b/>
          <w:bCs/>
          <w:color w:val="000000" w:themeColor="text1"/>
          <w:szCs w:val="20"/>
        </w:rPr>
      </w:pPr>
    </w:p>
    <w:p w14:paraId="5ECD34B1" w14:textId="08350B6F"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Intentional Torts</w:t>
      </w:r>
    </w:p>
    <w:p w14:paraId="0D90ACD9" w14:textId="57D38840" w:rsidR="00B33748" w:rsidRDefault="0099702B" w:rsidP="00B33748">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A tort is a </w:t>
      </w:r>
      <w:r w:rsidR="006D1E66">
        <w:rPr>
          <w:rFonts w:eastAsia="Times New Roman" w:cs="Arial"/>
          <w:color w:val="000000" w:themeColor="text1"/>
          <w:szCs w:val="20"/>
        </w:rPr>
        <w:t>wrong committed by</w:t>
      </w:r>
      <w:r w:rsidRPr="0099702B">
        <w:rPr>
          <w:rFonts w:eastAsia="Times New Roman" w:cs="Arial"/>
          <w:color w:val="000000" w:themeColor="text1"/>
          <w:szCs w:val="20"/>
        </w:rPr>
        <w:t xml:space="preserve"> an actor (a person or entity) either intentionally or unintentionally </w:t>
      </w:r>
      <w:r w:rsidR="003537A9">
        <w:rPr>
          <w:rFonts w:eastAsia="Times New Roman" w:cs="Arial"/>
          <w:color w:val="000000" w:themeColor="text1"/>
          <w:szCs w:val="20"/>
        </w:rPr>
        <w:t xml:space="preserve">that </w:t>
      </w:r>
      <w:r w:rsidRPr="0099702B">
        <w:rPr>
          <w:rFonts w:eastAsia="Times New Roman" w:cs="Arial"/>
          <w:color w:val="000000" w:themeColor="text1"/>
          <w:szCs w:val="20"/>
        </w:rPr>
        <w:t xml:space="preserve">causes harm to another person or property. A tort claim allows a person </w:t>
      </w:r>
      <w:r w:rsidR="00041662">
        <w:rPr>
          <w:rFonts w:eastAsia="Times New Roman" w:cs="Arial"/>
          <w:color w:val="000000" w:themeColor="text1"/>
          <w:szCs w:val="20"/>
        </w:rPr>
        <w:t xml:space="preserve">or entity </w:t>
      </w:r>
      <w:r w:rsidRPr="0099702B">
        <w:rPr>
          <w:rFonts w:eastAsia="Times New Roman" w:cs="Arial"/>
          <w:color w:val="000000" w:themeColor="text1"/>
          <w:szCs w:val="20"/>
        </w:rPr>
        <w:t xml:space="preserve">to sue the actor in civil court for </w:t>
      </w:r>
      <w:r w:rsidR="00041662">
        <w:rPr>
          <w:rFonts w:eastAsia="Times New Roman" w:cs="Arial"/>
          <w:color w:val="000000" w:themeColor="text1"/>
          <w:szCs w:val="20"/>
        </w:rPr>
        <w:t xml:space="preserve">redress for </w:t>
      </w:r>
      <w:r w:rsidRPr="0099702B">
        <w:rPr>
          <w:rFonts w:eastAsia="Times New Roman" w:cs="Arial"/>
          <w:color w:val="000000" w:themeColor="text1"/>
          <w:szCs w:val="20"/>
        </w:rPr>
        <w:t xml:space="preserve">the harm. This is contrasted with criminal charges in which the government prosecutes an actor/defendant </w:t>
      </w:r>
      <w:r w:rsidR="00FD7E7C">
        <w:rPr>
          <w:rFonts w:eastAsia="Times New Roman" w:cs="Arial"/>
          <w:color w:val="000000" w:themeColor="text1"/>
          <w:szCs w:val="20"/>
        </w:rPr>
        <w:t>and</w:t>
      </w:r>
      <w:r w:rsidRPr="0099702B">
        <w:rPr>
          <w:rFonts w:eastAsia="Times New Roman" w:cs="Arial"/>
          <w:color w:val="000000" w:themeColor="text1"/>
          <w:szCs w:val="20"/>
        </w:rPr>
        <w:t xml:space="preserve"> with contractual claims in which the parties to a contract sue over the terms of the contract. Unintentional torts occur when an actor harms another person or property through their actions but did not intend the harm. Negligence is the most common type of unintentional tort (see the discussion of negligence below).</w:t>
      </w:r>
    </w:p>
    <w:p w14:paraId="26BD4A59" w14:textId="77777777" w:rsidR="0055715D" w:rsidRDefault="0055715D" w:rsidP="00B33748">
      <w:pPr>
        <w:spacing w:line="360" w:lineRule="auto"/>
        <w:rPr>
          <w:rFonts w:eastAsia="Times New Roman" w:cs="Arial"/>
          <w:color w:val="000000" w:themeColor="text1"/>
          <w:szCs w:val="20"/>
        </w:rPr>
      </w:pPr>
    </w:p>
    <w:p w14:paraId="1AD89163" w14:textId="0B13B508" w:rsidR="00F86AF4" w:rsidRDefault="009F4F1A" w:rsidP="00B33748">
      <w:pPr>
        <w:spacing w:line="360" w:lineRule="auto"/>
        <w:rPr>
          <w:rFonts w:eastAsia="Times New Roman" w:cs="Arial"/>
          <w:b/>
          <w:bCs/>
          <w:color w:val="000000" w:themeColor="text1"/>
          <w:szCs w:val="20"/>
        </w:rPr>
      </w:pPr>
      <w:r>
        <w:rPr>
          <w:rFonts w:eastAsia="Times New Roman" w:cs="Arial"/>
          <w:color w:val="000000" w:themeColor="text1"/>
          <w:szCs w:val="20"/>
        </w:rPr>
        <w:t>An i</w:t>
      </w:r>
      <w:r w:rsidR="0099702B" w:rsidRPr="0099702B">
        <w:rPr>
          <w:rFonts w:eastAsia="Times New Roman" w:cs="Arial"/>
          <w:color w:val="000000" w:themeColor="text1"/>
          <w:szCs w:val="20"/>
        </w:rPr>
        <w:t>ntentional tort occur</w:t>
      </w:r>
      <w:r>
        <w:rPr>
          <w:rFonts w:eastAsia="Times New Roman" w:cs="Arial"/>
          <w:color w:val="000000" w:themeColor="text1"/>
          <w:szCs w:val="20"/>
        </w:rPr>
        <w:t>s</w:t>
      </w:r>
      <w:r w:rsidR="0099702B" w:rsidRPr="0099702B">
        <w:rPr>
          <w:rFonts w:eastAsia="Times New Roman" w:cs="Arial"/>
          <w:color w:val="000000" w:themeColor="text1"/>
          <w:szCs w:val="20"/>
        </w:rPr>
        <w:t xml:space="preserve"> when a</w:t>
      </w:r>
      <w:r w:rsidR="0004240C">
        <w:rPr>
          <w:rFonts w:eastAsia="Times New Roman" w:cs="Arial"/>
          <w:color w:val="000000" w:themeColor="text1"/>
          <w:szCs w:val="20"/>
        </w:rPr>
        <w:t xml:space="preserve">n actor </w:t>
      </w:r>
      <w:r w:rsidR="0099702B" w:rsidRPr="0099702B">
        <w:rPr>
          <w:rFonts w:eastAsia="Times New Roman" w:cs="Arial"/>
          <w:color w:val="000000" w:themeColor="text1"/>
          <w:szCs w:val="20"/>
        </w:rPr>
        <w:t>intends to harm a person</w:t>
      </w:r>
      <w:r w:rsidR="0004240C">
        <w:rPr>
          <w:rFonts w:eastAsia="Times New Roman" w:cs="Arial"/>
          <w:color w:val="000000" w:themeColor="text1"/>
          <w:szCs w:val="20"/>
        </w:rPr>
        <w:t>/property</w:t>
      </w:r>
      <w:r w:rsidR="0099702B" w:rsidRPr="0099702B">
        <w:rPr>
          <w:rFonts w:eastAsia="Times New Roman" w:cs="Arial"/>
          <w:color w:val="000000" w:themeColor="text1"/>
          <w:szCs w:val="20"/>
        </w:rPr>
        <w:t xml:space="preserve"> or touches a person</w:t>
      </w:r>
      <w:r w:rsidR="0004240C">
        <w:rPr>
          <w:rFonts w:eastAsia="Times New Roman" w:cs="Arial"/>
          <w:color w:val="000000" w:themeColor="text1"/>
          <w:szCs w:val="20"/>
        </w:rPr>
        <w:t>/property</w:t>
      </w:r>
      <w:r w:rsidR="0099702B" w:rsidRPr="0099702B">
        <w:rPr>
          <w:rFonts w:eastAsia="Times New Roman" w:cs="Arial"/>
          <w:color w:val="000000" w:themeColor="text1"/>
          <w:szCs w:val="20"/>
        </w:rPr>
        <w:t xml:space="preserve"> with the intent of </w:t>
      </w:r>
      <w:r w:rsidR="00E456D5">
        <w:rPr>
          <w:rFonts w:eastAsia="Times New Roman" w:cs="Arial"/>
          <w:color w:val="000000" w:themeColor="text1"/>
          <w:szCs w:val="20"/>
        </w:rPr>
        <w:t xml:space="preserve">causing </w:t>
      </w:r>
      <w:r w:rsidR="0099702B" w:rsidRPr="0099702B">
        <w:rPr>
          <w:rFonts w:eastAsia="Times New Roman" w:cs="Arial"/>
          <w:color w:val="000000" w:themeColor="text1"/>
          <w:szCs w:val="20"/>
        </w:rPr>
        <w:t xml:space="preserve">harm. Thus, battery is considered an intentional tort </w:t>
      </w:r>
      <w:r w:rsidR="002D15DB">
        <w:rPr>
          <w:rFonts w:eastAsia="Times New Roman" w:cs="Arial"/>
          <w:color w:val="000000" w:themeColor="text1"/>
          <w:szCs w:val="20"/>
        </w:rPr>
        <w:t>as well as a</w:t>
      </w:r>
      <w:r w:rsidR="0099702B" w:rsidRPr="0099702B">
        <w:rPr>
          <w:rFonts w:eastAsia="Times New Roman" w:cs="Arial"/>
          <w:color w:val="000000" w:themeColor="text1"/>
          <w:szCs w:val="20"/>
        </w:rPr>
        <w:t xml:space="preserve"> potential criminal violation. In the healthcare context, conducting a medical procedure on a patient </w:t>
      </w:r>
      <w:r w:rsidR="0099702B" w:rsidRPr="0099702B">
        <w:rPr>
          <w:rFonts w:eastAsia="Times New Roman" w:cs="Arial"/>
          <w:color w:val="000000" w:themeColor="text1"/>
          <w:szCs w:val="20"/>
        </w:rPr>
        <w:lastRenderedPageBreak/>
        <w:t>without first obtaining the patient’s informed consent could be construed, among other things, as the intentional tort of battery. Other intentional torts include assault, conversion (i.e., theft), intentional infliction of emotional distress, fraud, misrepresentation, false imprisonment, and trespass.</w:t>
      </w:r>
    </w:p>
    <w:p w14:paraId="66ACDD69" w14:textId="77777777" w:rsidR="00B33748" w:rsidRPr="00B33748" w:rsidRDefault="00B33748" w:rsidP="00B33748">
      <w:pPr>
        <w:spacing w:line="360" w:lineRule="auto"/>
        <w:rPr>
          <w:rFonts w:eastAsia="Times New Roman" w:cs="Arial"/>
          <w:b/>
          <w:bCs/>
          <w:color w:val="000000" w:themeColor="text1"/>
          <w:szCs w:val="20"/>
        </w:rPr>
      </w:pPr>
    </w:p>
    <w:p w14:paraId="3E26B9A3"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Defenses to Intentional Torts</w:t>
      </w:r>
    </w:p>
    <w:p w14:paraId="0367208A" w14:textId="493DEB48" w:rsidR="0099702B" w:rsidRPr="00B33748" w:rsidRDefault="0099702B" w:rsidP="009302CF">
      <w:pPr>
        <w:spacing w:after="120" w:line="360" w:lineRule="auto"/>
        <w:rPr>
          <w:rFonts w:eastAsia="Times New Roman" w:cs="Arial"/>
          <w:b/>
          <w:bCs/>
          <w:color w:val="000000" w:themeColor="text1"/>
          <w:szCs w:val="20"/>
        </w:rPr>
      </w:pPr>
      <w:r w:rsidRPr="0099702B">
        <w:rPr>
          <w:rFonts w:eastAsia="Times New Roman" w:cs="Arial"/>
          <w:color w:val="000000" w:themeColor="text1"/>
          <w:szCs w:val="20"/>
        </w:rPr>
        <w:t xml:space="preserve">There are </w:t>
      </w:r>
      <w:r w:rsidR="00230F39" w:rsidRPr="0099702B">
        <w:rPr>
          <w:rFonts w:eastAsia="Times New Roman" w:cs="Arial"/>
          <w:color w:val="000000" w:themeColor="text1"/>
          <w:szCs w:val="20"/>
        </w:rPr>
        <w:t>several</w:t>
      </w:r>
      <w:r w:rsidRPr="0099702B">
        <w:rPr>
          <w:rFonts w:eastAsia="Times New Roman" w:cs="Arial"/>
          <w:color w:val="000000" w:themeColor="text1"/>
          <w:szCs w:val="20"/>
        </w:rPr>
        <w:t xml:space="preserve"> potential defenses to intentional torts, two of which may be generally applicable in emergency response scenarios:</w:t>
      </w:r>
    </w:p>
    <w:p w14:paraId="265808BB" w14:textId="74D9F9CC" w:rsidR="0099702B" w:rsidRDefault="0099702B" w:rsidP="009302CF">
      <w:pPr>
        <w:pStyle w:val="ListParagraph"/>
        <w:numPr>
          <w:ilvl w:val="0"/>
          <w:numId w:val="14"/>
        </w:numPr>
        <w:spacing w:after="120" w:line="360" w:lineRule="auto"/>
        <w:contextualSpacing w:val="0"/>
        <w:textAlignment w:val="baseline"/>
        <w:rPr>
          <w:rFonts w:eastAsia="Times New Roman" w:cs="Arial"/>
          <w:color w:val="000000" w:themeColor="text1"/>
          <w:szCs w:val="20"/>
        </w:rPr>
      </w:pPr>
      <w:r w:rsidRPr="00770415">
        <w:rPr>
          <w:rFonts w:eastAsia="Times New Roman" w:cs="Arial"/>
          <w:b/>
          <w:bCs/>
          <w:color w:val="000000" w:themeColor="text1"/>
          <w:szCs w:val="20"/>
          <w:bdr w:val="none" w:sz="0" w:space="0" w:color="auto" w:frame="1"/>
        </w:rPr>
        <w:t>Consent—</w:t>
      </w:r>
      <w:r w:rsidRPr="00770415">
        <w:rPr>
          <w:rFonts w:eastAsia="Times New Roman" w:cs="Arial"/>
          <w:color w:val="000000" w:themeColor="text1"/>
          <w:szCs w:val="20"/>
        </w:rPr>
        <w:t>A person can give express consent through written or oral assent. Implied consent may be inferred from a person’s actions. Thus, a person who gives informed consent before being given a vaccine or drug may be deemed to have assented to its administration. However, questions about whether consent was truly informed and if the treatment stayed within the bounds of the consent are questions that can arise in this scenario. Consent can also be implied in situations in which emergency medical treatment is provided to victims who are unconscious or unable to provide consent in the absence of a third party who is eligible to give consent on behalf of the victim.</w:t>
      </w:r>
    </w:p>
    <w:p w14:paraId="1A53A30F" w14:textId="44C6C0FC" w:rsidR="0099702B" w:rsidRPr="00770415" w:rsidRDefault="0099702B" w:rsidP="00EB12E6">
      <w:pPr>
        <w:pStyle w:val="ListParagraph"/>
        <w:numPr>
          <w:ilvl w:val="0"/>
          <w:numId w:val="14"/>
        </w:numPr>
        <w:spacing w:line="360" w:lineRule="auto"/>
        <w:textAlignment w:val="baseline"/>
        <w:rPr>
          <w:rFonts w:eastAsia="Times New Roman" w:cs="Arial"/>
          <w:color w:val="000000" w:themeColor="text1"/>
          <w:szCs w:val="20"/>
        </w:rPr>
      </w:pPr>
      <w:r w:rsidRPr="00770415">
        <w:rPr>
          <w:rFonts w:eastAsia="Times New Roman" w:cs="Arial"/>
          <w:b/>
          <w:bCs/>
          <w:color w:val="000000" w:themeColor="text1"/>
          <w:szCs w:val="20"/>
          <w:bdr w:val="none" w:sz="0" w:space="0" w:color="auto" w:frame="1"/>
        </w:rPr>
        <w:t>Necessity—</w:t>
      </w:r>
      <w:r w:rsidRPr="00770415">
        <w:rPr>
          <w:rFonts w:eastAsia="Times New Roman" w:cs="Arial"/>
          <w:color w:val="000000" w:themeColor="text1"/>
          <w:szCs w:val="20"/>
        </w:rPr>
        <w:t xml:space="preserve">If committing an intentional tort is necessary to avoid a greater harm, then a defendant </w:t>
      </w:r>
      <w:r w:rsidR="00ED3FB8">
        <w:rPr>
          <w:rFonts w:eastAsia="Times New Roman" w:cs="Arial"/>
          <w:color w:val="000000" w:themeColor="text1"/>
          <w:szCs w:val="20"/>
        </w:rPr>
        <w:t>may be</w:t>
      </w:r>
      <w:r w:rsidRPr="00770415">
        <w:rPr>
          <w:rFonts w:eastAsia="Times New Roman" w:cs="Arial"/>
          <w:color w:val="000000" w:themeColor="text1"/>
          <w:szCs w:val="20"/>
        </w:rPr>
        <w:t xml:space="preserve"> justified in committing the tort. Public necessity, in which a defendant appropriates or harms the private property of another to protect the community, is a defense to liability. When the government takes or uses property, even if for public necessity, issues arise as to whether the taking or use of the property (real estate or personal property) is covered by sovereign immunity or subject to paying compensation to the property owner.</w:t>
      </w:r>
    </w:p>
    <w:p w14:paraId="3C630CA4" w14:textId="77777777" w:rsidR="00770415" w:rsidRDefault="00770415" w:rsidP="00EB12E6">
      <w:pPr>
        <w:spacing w:line="360" w:lineRule="auto"/>
        <w:rPr>
          <w:rFonts w:eastAsia="Times New Roman" w:cs="Arial"/>
          <w:b/>
          <w:bCs/>
          <w:color w:val="000000" w:themeColor="text1"/>
          <w:szCs w:val="20"/>
        </w:rPr>
      </w:pPr>
    </w:p>
    <w:p w14:paraId="3B7A78FE"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Negligence</w:t>
      </w:r>
    </w:p>
    <w:p w14:paraId="785983D3" w14:textId="62602D2E" w:rsidR="006B49F1" w:rsidRPr="00E1117E" w:rsidRDefault="0099702B" w:rsidP="006B49F1">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Negligence is a type of tort </w:t>
      </w:r>
      <w:r w:rsidR="007D5B9F">
        <w:rPr>
          <w:rFonts w:eastAsia="Times New Roman" w:cs="Arial"/>
          <w:color w:val="000000" w:themeColor="text1"/>
          <w:szCs w:val="20"/>
        </w:rPr>
        <w:t>in which</w:t>
      </w:r>
      <w:r w:rsidRPr="0099702B">
        <w:rPr>
          <w:rFonts w:eastAsia="Times New Roman" w:cs="Arial"/>
          <w:color w:val="000000" w:themeColor="text1"/>
          <w:szCs w:val="20"/>
        </w:rPr>
        <w:t xml:space="preserve"> unintentional wrongful conduct harms another</w:t>
      </w:r>
      <w:r w:rsidR="00336B2A">
        <w:rPr>
          <w:rFonts w:eastAsia="Times New Roman" w:cs="Arial"/>
          <w:color w:val="000000" w:themeColor="text1"/>
          <w:szCs w:val="20"/>
        </w:rPr>
        <w:t xml:space="preserve"> or their property</w:t>
      </w:r>
      <w:r w:rsidRPr="0099702B">
        <w:rPr>
          <w:rFonts w:eastAsia="Times New Roman" w:cs="Arial"/>
          <w:color w:val="000000" w:themeColor="text1"/>
          <w:szCs w:val="20"/>
        </w:rPr>
        <w:t xml:space="preserve">. It is the theory most likely to be used to assert claims arising from emergency response situations. </w:t>
      </w:r>
      <w:r w:rsidR="007B0C7D">
        <w:rPr>
          <w:rFonts w:eastAsia="Times New Roman" w:cs="Arial"/>
          <w:color w:val="000000" w:themeColor="text1"/>
          <w:szCs w:val="20"/>
        </w:rPr>
        <w:t>To prove negligence a</w:t>
      </w:r>
      <w:r w:rsidR="00E1117E" w:rsidRPr="00E1117E">
        <w:rPr>
          <w:rFonts w:eastAsia="Times New Roman" w:cs="Arial"/>
          <w:color w:val="000000" w:themeColor="text1"/>
          <w:szCs w:val="20"/>
        </w:rPr>
        <w:t xml:space="preserve"> plaintiff must show that</w:t>
      </w:r>
      <w:r w:rsidR="006F13B2">
        <w:rPr>
          <w:rFonts w:eastAsia="Times New Roman" w:cs="Arial"/>
          <w:color w:val="000000" w:themeColor="text1"/>
          <w:szCs w:val="20"/>
        </w:rPr>
        <w:t>:</w:t>
      </w:r>
      <w:r w:rsidR="00E1117E" w:rsidRPr="00E1117E">
        <w:rPr>
          <w:rFonts w:eastAsia="Times New Roman" w:cs="Arial"/>
          <w:color w:val="000000" w:themeColor="text1"/>
          <w:szCs w:val="20"/>
        </w:rPr>
        <w:t xml:space="preserve"> </w:t>
      </w:r>
      <w:r w:rsidR="005576FD" w:rsidRPr="0099702B">
        <w:rPr>
          <w:rFonts w:eastAsia="Times New Roman" w:cs="Arial"/>
          <w:color w:val="000000" w:themeColor="text1"/>
          <w:szCs w:val="20"/>
        </w:rPr>
        <w:t>(1) the defendant owes the plaintiff a duty of care (including a duty of ordinary care); (2) the defendant breached that duty by failing to meet the applicable standard of care; (3) the defendant’s actions resulted in harm to the plaintiff; and (4) the defendant’s breach of duty was the cause of the plaintiff’s injury.</w:t>
      </w:r>
      <w:r w:rsidR="006B49F1">
        <w:rPr>
          <w:rFonts w:eastAsia="Times New Roman" w:cs="Arial"/>
          <w:color w:val="000000" w:themeColor="text1"/>
          <w:szCs w:val="20"/>
        </w:rPr>
        <w:t xml:space="preserve"> </w:t>
      </w:r>
      <w:r w:rsidR="006B49F1" w:rsidRPr="0099702B">
        <w:rPr>
          <w:rFonts w:eastAsia="Times New Roman" w:cs="Arial"/>
          <w:color w:val="000000" w:themeColor="text1"/>
          <w:szCs w:val="20"/>
        </w:rPr>
        <w:t xml:space="preserve">Ordinary care generally means the amount of care that a reasonable person would take under similar circumstances. </w:t>
      </w:r>
      <w:r w:rsidR="006B49F1">
        <w:rPr>
          <w:rFonts w:eastAsia="Times New Roman" w:cs="Arial"/>
          <w:color w:val="000000" w:themeColor="text1"/>
          <w:szCs w:val="20"/>
        </w:rPr>
        <w:t>Thus, t</w:t>
      </w:r>
      <w:r w:rsidR="006B49F1" w:rsidRPr="0099702B">
        <w:rPr>
          <w:rFonts w:eastAsia="Times New Roman" w:cs="Arial"/>
          <w:color w:val="000000" w:themeColor="text1"/>
          <w:szCs w:val="20"/>
        </w:rPr>
        <w:t>he standard of care applied to a physician or other person with specialized skills may be different than an ordinary care standard.</w:t>
      </w:r>
    </w:p>
    <w:p w14:paraId="56285D05" w14:textId="1D233CC0" w:rsidR="005576FD" w:rsidRDefault="005576FD" w:rsidP="005576FD">
      <w:pPr>
        <w:spacing w:line="360" w:lineRule="auto"/>
        <w:rPr>
          <w:rFonts w:eastAsia="Times New Roman" w:cs="Arial"/>
          <w:color w:val="000000" w:themeColor="text1"/>
          <w:szCs w:val="20"/>
        </w:rPr>
      </w:pPr>
    </w:p>
    <w:p w14:paraId="499FA09D" w14:textId="30A01E63" w:rsidR="00E1117E" w:rsidRDefault="00E1117E" w:rsidP="00E1117E">
      <w:pPr>
        <w:spacing w:line="360" w:lineRule="auto"/>
        <w:rPr>
          <w:rFonts w:eastAsia="Times New Roman" w:cs="Arial"/>
          <w:color w:val="000000" w:themeColor="text1"/>
          <w:szCs w:val="20"/>
        </w:rPr>
      </w:pPr>
      <w:r w:rsidRPr="00E1117E">
        <w:rPr>
          <w:rFonts w:eastAsia="Times New Roman" w:cs="Arial"/>
          <w:color w:val="000000" w:themeColor="text1"/>
          <w:szCs w:val="20"/>
        </w:rPr>
        <w:t xml:space="preserve">An individual person or an organizational entity like a corporation, hospital, nonprofit organization, or government may be </w:t>
      </w:r>
      <w:r w:rsidR="00022EFF">
        <w:rPr>
          <w:rFonts w:eastAsia="Times New Roman" w:cs="Arial"/>
          <w:color w:val="000000" w:themeColor="text1"/>
          <w:szCs w:val="20"/>
        </w:rPr>
        <w:t xml:space="preserve">found </w:t>
      </w:r>
      <w:r w:rsidR="00A53EBE">
        <w:rPr>
          <w:rFonts w:eastAsia="Times New Roman" w:cs="Arial"/>
          <w:color w:val="000000" w:themeColor="text1"/>
          <w:szCs w:val="20"/>
        </w:rPr>
        <w:t xml:space="preserve">liable for </w:t>
      </w:r>
      <w:r w:rsidR="00022EFF">
        <w:rPr>
          <w:rFonts w:eastAsia="Times New Roman" w:cs="Arial"/>
          <w:color w:val="000000" w:themeColor="text1"/>
          <w:szCs w:val="20"/>
        </w:rPr>
        <w:t>negligen</w:t>
      </w:r>
      <w:r w:rsidR="00A53EBE">
        <w:rPr>
          <w:rFonts w:eastAsia="Times New Roman" w:cs="Arial"/>
          <w:color w:val="000000" w:themeColor="text1"/>
          <w:szCs w:val="20"/>
        </w:rPr>
        <w:t>ce</w:t>
      </w:r>
      <w:r w:rsidRPr="00E1117E">
        <w:rPr>
          <w:rFonts w:eastAsia="Times New Roman" w:cs="Arial"/>
          <w:color w:val="000000" w:themeColor="text1"/>
          <w:szCs w:val="20"/>
        </w:rPr>
        <w:t>. A hospital, for instance, could be held liable for failing to protect the safety of its patients if a plaintiff can show that the hospital deviated from its standard of care, the hospital had actual or constructive knowledge of the problems giving rise to the injury, and there was a causal link between the hospital’s conduct and the plaintiff’s harm. As will be discussed below, determining what standard of care should apply during an emergency is an important consideration in assessing liability.</w:t>
      </w:r>
    </w:p>
    <w:p w14:paraId="52584A05" w14:textId="77777777" w:rsidR="00720547" w:rsidRDefault="00720547" w:rsidP="00B33748">
      <w:pPr>
        <w:spacing w:line="360" w:lineRule="auto"/>
        <w:rPr>
          <w:rFonts w:eastAsia="Times New Roman" w:cs="Arial"/>
          <w:b/>
          <w:bCs/>
          <w:color w:val="000000" w:themeColor="text1"/>
          <w:szCs w:val="20"/>
        </w:rPr>
      </w:pPr>
    </w:p>
    <w:p w14:paraId="029E0C32" w14:textId="360E0165" w:rsidR="00B33748" w:rsidRDefault="0099702B" w:rsidP="003A463A">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Determining the Standard of Care</w:t>
      </w:r>
    </w:p>
    <w:p w14:paraId="2AE4BB5C" w14:textId="4605CCF3" w:rsidR="00B33748" w:rsidRDefault="0099702B" w:rsidP="00B33748">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The basic standard of care applied in negligence cases is determined by what a reasonable person would do in similar circumstances. Even outside of the context of a governmentally declared emergency, most states allow juries to consider </w:t>
      </w:r>
      <w:r w:rsidR="003B3F6C" w:rsidRPr="0099702B">
        <w:rPr>
          <w:rFonts w:eastAsia="Times New Roman" w:cs="Arial"/>
          <w:color w:val="000000" w:themeColor="text1"/>
          <w:szCs w:val="20"/>
        </w:rPr>
        <w:t>whether</w:t>
      </w:r>
      <w:r w:rsidRPr="0099702B">
        <w:rPr>
          <w:rFonts w:eastAsia="Times New Roman" w:cs="Arial"/>
          <w:color w:val="000000" w:themeColor="text1"/>
          <w:szCs w:val="20"/>
        </w:rPr>
        <w:t xml:space="preserve"> a defendant </w:t>
      </w:r>
      <w:r w:rsidR="00124000">
        <w:rPr>
          <w:rFonts w:eastAsia="Times New Roman" w:cs="Arial"/>
          <w:color w:val="000000" w:themeColor="text1"/>
          <w:szCs w:val="20"/>
        </w:rPr>
        <w:t>was operating</w:t>
      </w:r>
      <w:r w:rsidRPr="0099702B">
        <w:rPr>
          <w:rFonts w:eastAsia="Times New Roman" w:cs="Arial"/>
          <w:color w:val="000000" w:themeColor="text1"/>
          <w:szCs w:val="20"/>
        </w:rPr>
        <w:t xml:space="preserve"> under emergency circumstances to determine whether the defendant’s actions were </w:t>
      </w:r>
      <w:r w:rsidRPr="00201ACC">
        <w:rPr>
          <w:rFonts w:eastAsia="Times New Roman" w:cs="Arial"/>
          <w:color w:val="000000" w:themeColor="text1"/>
          <w:szCs w:val="20"/>
        </w:rPr>
        <w:t>reasonable.</w:t>
      </w:r>
      <w:r w:rsidRPr="0099702B">
        <w:rPr>
          <w:rFonts w:eastAsia="Times New Roman" w:cs="Arial"/>
          <w:color w:val="000000" w:themeColor="text1"/>
          <w:szCs w:val="20"/>
        </w:rPr>
        <w:t xml:space="preserve"> </w:t>
      </w:r>
      <w:r w:rsidR="00D77B41">
        <w:rPr>
          <w:rFonts w:eastAsia="Times New Roman" w:cs="Arial"/>
          <w:color w:val="000000" w:themeColor="text1"/>
          <w:szCs w:val="20"/>
        </w:rPr>
        <w:t>A</w:t>
      </w:r>
      <w:r w:rsidRPr="0099702B">
        <w:rPr>
          <w:rFonts w:eastAsia="Times New Roman" w:cs="Arial"/>
          <w:color w:val="000000" w:themeColor="text1"/>
          <w:szCs w:val="20"/>
        </w:rPr>
        <w:t>ssessing the reasonableness of a defendant’s actions in light of emergency conditions will not necessarily be a complete defense to liability</w:t>
      </w:r>
      <w:r w:rsidR="0043764C">
        <w:rPr>
          <w:rFonts w:eastAsia="Times New Roman" w:cs="Arial"/>
          <w:color w:val="000000" w:themeColor="text1"/>
          <w:szCs w:val="20"/>
        </w:rPr>
        <w:t>; however</w:t>
      </w:r>
      <w:r w:rsidRPr="0099702B">
        <w:rPr>
          <w:rFonts w:eastAsia="Times New Roman" w:cs="Arial"/>
          <w:color w:val="000000" w:themeColor="text1"/>
          <w:szCs w:val="20"/>
        </w:rPr>
        <w:t xml:space="preserve">, it may help to reduce the judgment against a </w:t>
      </w:r>
      <w:r w:rsidRPr="00201ACC">
        <w:rPr>
          <w:rFonts w:eastAsia="Times New Roman" w:cs="Arial"/>
          <w:color w:val="000000" w:themeColor="text1"/>
          <w:szCs w:val="20"/>
        </w:rPr>
        <w:t>defendant.</w:t>
      </w:r>
      <w:r w:rsidRPr="0099702B">
        <w:rPr>
          <w:rFonts w:eastAsia="Times New Roman" w:cs="Arial"/>
          <w:color w:val="000000" w:themeColor="text1"/>
          <w:szCs w:val="20"/>
        </w:rPr>
        <w:t xml:space="preserve"> It also demonstrates that the concept of standard of care is already seen as a flexible one that can account for the circumstances under which the conduct occurs.</w:t>
      </w:r>
    </w:p>
    <w:p w14:paraId="3074A5A0" w14:textId="38C6002A" w:rsidR="006D0FB6" w:rsidRDefault="006D0FB6" w:rsidP="00B33748">
      <w:pPr>
        <w:spacing w:line="360" w:lineRule="auto"/>
        <w:rPr>
          <w:rFonts w:eastAsia="Times New Roman" w:cs="Arial"/>
          <w:color w:val="000000" w:themeColor="text1"/>
          <w:szCs w:val="20"/>
        </w:rPr>
      </w:pPr>
    </w:p>
    <w:p w14:paraId="1F011118" w14:textId="0D9081B5" w:rsidR="005C2C57" w:rsidRPr="005C2C57" w:rsidRDefault="005C2C57" w:rsidP="00B33748">
      <w:pPr>
        <w:spacing w:line="360" w:lineRule="auto"/>
        <w:rPr>
          <w:rFonts w:eastAsia="Times New Roman" w:cs="Arial"/>
          <w:b/>
          <w:bCs/>
          <w:color w:val="000000" w:themeColor="text1"/>
          <w:szCs w:val="20"/>
        </w:rPr>
      </w:pPr>
      <w:r w:rsidRPr="005C2C57">
        <w:rPr>
          <w:rFonts w:eastAsia="Times New Roman" w:cs="Arial"/>
          <w:b/>
          <w:bCs/>
          <w:color w:val="000000" w:themeColor="text1"/>
          <w:szCs w:val="20"/>
        </w:rPr>
        <w:t>Crisis Standards of Care</w:t>
      </w:r>
    </w:p>
    <w:p w14:paraId="3AA4BA35" w14:textId="77777777" w:rsidR="009F71D5" w:rsidRDefault="0099702B" w:rsidP="00B33748">
      <w:pPr>
        <w:spacing w:line="360" w:lineRule="auto"/>
        <w:rPr>
          <w:rFonts w:eastAsia="Times New Roman" w:cs="Arial"/>
          <w:color w:val="000000" w:themeColor="text1"/>
          <w:szCs w:val="20"/>
        </w:rPr>
      </w:pPr>
      <w:r w:rsidRPr="0099702B">
        <w:rPr>
          <w:rFonts w:eastAsia="Times New Roman" w:cs="Arial"/>
          <w:color w:val="000000" w:themeColor="text1"/>
          <w:szCs w:val="20"/>
        </w:rPr>
        <w:t>Determining the appropriate standard of care to apply during widespread or prolonged emergency events like a pandemic ha</w:t>
      </w:r>
      <w:r w:rsidR="00D061C5">
        <w:rPr>
          <w:rFonts w:eastAsia="Times New Roman" w:cs="Arial"/>
          <w:color w:val="000000" w:themeColor="text1"/>
          <w:szCs w:val="20"/>
        </w:rPr>
        <w:t>d</w:t>
      </w:r>
      <w:r w:rsidRPr="0099702B">
        <w:rPr>
          <w:rFonts w:eastAsia="Times New Roman" w:cs="Arial"/>
          <w:color w:val="000000" w:themeColor="text1"/>
          <w:szCs w:val="20"/>
        </w:rPr>
        <w:t xml:space="preserve"> been the subject of much discussion</w:t>
      </w:r>
      <w:r w:rsidR="00D061C5">
        <w:rPr>
          <w:rFonts w:eastAsia="Times New Roman" w:cs="Arial"/>
          <w:color w:val="000000" w:themeColor="text1"/>
          <w:szCs w:val="20"/>
        </w:rPr>
        <w:t xml:space="preserve"> prior to 2020</w:t>
      </w:r>
      <w:r w:rsidRPr="0099702B">
        <w:rPr>
          <w:rFonts w:eastAsia="Times New Roman" w:cs="Arial"/>
          <w:color w:val="000000" w:themeColor="text1"/>
          <w:szCs w:val="20"/>
        </w:rPr>
        <w:t xml:space="preserve">. These discussions focused on trying to determine “altered,” “disaster,” or “alternative” standards of care for emergency and disaster </w:t>
      </w:r>
      <w:r w:rsidRPr="00201ACC">
        <w:rPr>
          <w:rFonts w:eastAsia="Times New Roman" w:cs="Arial"/>
          <w:color w:val="000000" w:themeColor="text1"/>
          <w:szCs w:val="20"/>
        </w:rPr>
        <w:t>situations.</w:t>
      </w:r>
      <w:r w:rsidRPr="0099702B">
        <w:rPr>
          <w:rFonts w:eastAsia="Times New Roman" w:cs="Arial"/>
          <w:color w:val="000000" w:themeColor="text1"/>
          <w:szCs w:val="20"/>
        </w:rPr>
        <w:t xml:space="preserve"> Federal and state governments, as well as other academic and private sector organizations, created discussion and planning guides to engage stakeholders in addressing this sensitive but important </w:t>
      </w:r>
      <w:r w:rsidRPr="00201ACC">
        <w:rPr>
          <w:rFonts w:eastAsia="Times New Roman" w:cs="Arial"/>
          <w:color w:val="000000" w:themeColor="text1"/>
          <w:szCs w:val="20"/>
        </w:rPr>
        <w:t>issue.</w:t>
      </w:r>
      <w:r w:rsidR="005C2C57">
        <w:rPr>
          <w:rFonts w:eastAsia="Times New Roman" w:cs="Arial"/>
          <w:color w:val="000000" w:themeColor="text1"/>
          <w:szCs w:val="20"/>
        </w:rPr>
        <w:t xml:space="preserve"> </w:t>
      </w:r>
    </w:p>
    <w:p w14:paraId="7770A77D" w14:textId="77777777" w:rsidR="009F71D5" w:rsidRDefault="009F71D5" w:rsidP="00B33748">
      <w:pPr>
        <w:spacing w:line="360" w:lineRule="auto"/>
        <w:rPr>
          <w:rFonts w:eastAsia="Times New Roman" w:cs="Arial"/>
          <w:color w:val="000000" w:themeColor="text1"/>
          <w:szCs w:val="20"/>
        </w:rPr>
      </w:pPr>
    </w:p>
    <w:p w14:paraId="0A657A4E" w14:textId="7ED062CF" w:rsidR="00FB0973" w:rsidRDefault="009F71D5" w:rsidP="00B33748">
      <w:pPr>
        <w:spacing w:line="360" w:lineRule="auto"/>
        <w:rPr>
          <w:rFonts w:eastAsia="Times New Roman" w:cs="Arial"/>
          <w:color w:val="000000" w:themeColor="text1"/>
          <w:szCs w:val="20"/>
        </w:rPr>
      </w:pPr>
      <w:r>
        <w:rPr>
          <w:rFonts w:eastAsia="Times New Roman" w:cs="Arial"/>
          <w:color w:val="000000" w:themeColor="text1"/>
          <w:szCs w:val="20"/>
        </w:rPr>
        <w:t>W</w:t>
      </w:r>
      <w:r w:rsidR="005C2C57">
        <w:rPr>
          <w:rFonts w:eastAsia="Times New Roman" w:cs="Arial"/>
          <w:color w:val="000000" w:themeColor="text1"/>
          <w:szCs w:val="20"/>
        </w:rPr>
        <w:t>ith the advent of the COVID-19 pandemic</w:t>
      </w:r>
      <w:r w:rsidR="00886D22">
        <w:rPr>
          <w:rFonts w:eastAsia="Times New Roman" w:cs="Arial"/>
          <w:color w:val="000000" w:themeColor="text1"/>
          <w:szCs w:val="20"/>
        </w:rPr>
        <w:t>,</w:t>
      </w:r>
      <w:r w:rsidR="004167CA">
        <w:rPr>
          <w:rFonts w:eastAsia="Times New Roman" w:cs="Arial"/>
          <w:color w:val="000000" w:themeColor="text1"/>
          <w:szCs w:val="20"/>
        </w:rPr>
        <w:t xml:space="preserve"> however,</w:t>
      </w:r>
      <w:r w:rsidR="00886D22">
        <w:rPr>
          <w:rFonts w:eastAsia="Times New Roman" w:cs="Arial"/>
          <w:color w:val="000000" w:themeColor="text1"/>
          <w:szCs w:val="20"/>
        </w:rPr>
        <w:t xml:space="preserve"> these plans </w:t>
      </w:r>
      <w:r w:rsidR="00FB0973">
        <w:rPr>
          <w:rFonts w:eastAsia="Times New Roman" w:cs="Arial"/>
          <w:color w:val="000000" w:themeColor="text1"/>
          <w:szCs w:val="20"/>
        </w:rPr>
        <w:t>are being used and considered to an extent not previously seen in the U.S.</w:t>
      </w:r>
      <w:r w:rsidR="004167CA">
        <w:rPr>
          <w:rFonts w:eastAsia="Times New Roman" w:cs="Arial"/>
          <w:color w:val="000000" w:themeColor="text1"/>
          <w:szCs w:val="20"/>
        </w:rPr>
        <w:t xml:space="preserve"> </w:t>
      </w:r>
      <w:r w:rsidR="00907F07">
        <w:rPr>
          <w:rFonts w:eastAsia="Times New Roman" w:cs="Arial"/>
          <w:color w:val="000000" w:themeColor="text1"/>
          <w:szCs w:val="20"/>
        </w:rPr>
        <w:t xml:space="preserve">“Crisis standards of care” </w:t>
      </w:r>
      <w:r w:rsidR="00162B1C">
        <w:rPr>
          <w:rFonts w:eastAsia="Times New Roman" w:cs="Arial"/>
          <w:color w:val="000000" w:themeColor="text1"/>
          <w:szCs w:val="20"/>
        </w:rPr>
        <w:t>has been defined by the Institute of Medicine (IOM) as</w:t>
      </w:r>
      <w:r w:rsidR="0099759F">
        <w:rPr>
          <w:rFonts w:eastAsia="Times New Roman" w:cs="Arial"/>
          <w:color w:val="000000" w:themeColor="text1"/>
          <w:szCs w:val="20"/>
        </w:rPr>
        <w:t xml:space="preserve"> a</w:t>
      </w:r>
      <w:r w:rsidR="00162B1C">
        <w:rPr>
          <w:rFonts w:eastAsia="Times New Roman" w:cs="Arial"/>
          <w:color w:val="000000" w:themeColor="text1"/>
          <w:szCs w:val="20"/>
        </w:rPr>
        <w:t xml:space="preserve"> </w:t>
      </w:r>
      <w:r w:rsidR="00162B1C" w:rsidRPr="00162B1C">
        <w:rPr>
          <w:rFonts w:eastAsia="Times New Roman" w:cs="Arial"/>
          <w:color w:val="000000" w:themeColor="text1"/>
          <w:szCs w:val="20"/>
        </w:rPr>
        <w:t xml:space="preserve">“substantial change in the usual health care operations and the level of care it is possible to deliver . . . justified by specific circumstances and . . . formally declared by a state </w:t>
      </w:r>
      <w:r w:rsidR="00162B1C" w:rsidRPr="00162B1C">
        <w:rPr>
          <w:rFonts w:eastAsia="Times New Roman" w:cs="Arial"/>
          <w:color w:val="000000" w:themeColor="text1"/>
          <w:szCs w:val="20"/>
        </w:rPr>
        <w:lastRenderedPageBreak/>
        <w:t>government in recognition that crisis operations will be in effect for a sustained period”</w:t>
      </w:r>
      <w:r w:rsidR="00634C43">
        <w:rPr>
          <w:rFonts w:eastAsia="Times New Roman" w:cs="Arial"/>
          <w:color w:val="000000" w:themeColor="text1"/>
          <w:szCs w:val="20"/>
        </w:rPr>
        <w:t>.</w:t>
      </w:r>
      <w:r w:rsidR="00EA1A5E">
        <w:rPr>
          <w:rStyle w:val="FootnoteReference"/>
          <w:rFonts w:eastAsia="Times New Roman" w:cs="Arial"/>
          <w:color w:val="000000" w:themeColor="text1"/>
          <w:szCs w:val="20"/>
        </w:rPr>
        <w:footnoteReference w:id="2"/>
      </w:r>
      <w:r w:rsidR="00CA24B5">
        <w:rPr>
          <w:rFonts w:eastAsia="Times New Roman" w:cs="Arial"/>
          <w:color w:val="000000" w:themeColor="text1"/>
          <w:szCs w:val="20"/>
        </w:rPr>
        <w:t xml:space="preserve"> </w:t>
      </w:r>
      <w:r w:rsidR="00934437">
        <w:rPr>
          <w:rFonts w:eastAsia="Times New Roman" w:cs="Arial"/>
          <w:color w:val="000000" w:themeColor="text1"/>
          <w:szCs w:val="20"/>
        </w:rPr>
        <w:t xml:space="preserve">Multiple states have </w:t>
      </w:r>
      <w:r w:rsidR="00F618C7">
        <w:rPr>
          <w:rFonts w:eastAsia="Times New Roman" w:cs="Arial"/>
          <w:color w:val="000000" w:themeColor="text1"/>
          <w:szCs w:val="20"/>
        </w:rPr>
        <w:t>CSC plans</w:t>
      </w:r>
      <w:r w:rsidR="00894F0A">
        <w:rPr>
          <w:rStyle w:val="FootnoteReference"/>
          <w:rFonts w:eastAsia="Times New Roman" w:cs="Arial"/>
          <w:color w:val="000000" w:themeColor="text1"/>
          <w:szCs w:val="20"/>
        </w:rPr>
        <w:footnoteReference w:id="3"/>
      </w:r>
      <w:r w:rsidR="00894F0A">
        <w:rPr>
          <w:rFonts w:eastAsia="Times New Roman" w:cs="Arial"/>
          <w:color w:val="000000" w:themeColor="text1"/>
          <w:szCs w:val="20"/>
        </w:rPr>
        <w:t xml:space="preserve"> and some have had to activate the plans to address healthcare resource shortages.</w:t>
      </w:r>
      <w:r w:rsidR="00894F0A">
        <w:rPr>
          <w:rStyle w:val="FootnoteReference"/>
          <w:rFonts w:eastAsia="Times New Roman" w:cs="Arial"/>
          <w:color w:val="000000" w:themeColor="text1"/>
          <w:szCs w:val="20"/>
        </w:rPr>
        <w:footnoteReference w:id="4"/>
      </w:r>
      <w:r w:rsidR="001D7AA4">
        <w:rPr>
          <w:rFonts w:eastAsia="Times New Roman" w:cs="Arial"/>
          <w:color w:val="000000" w:themeColor="text1"/>
          <w:szCs w:val="20"/>
        </w:rPr>
        <w:t xml:space="preserve"> These use of CSC plans </w:t>
      </w:r>
      <w:r w:rsidR="00C725FC">
        <w:rPr>
          <w:rFonts w:eastAsia="Times New Roman" w:cs="Arial"/>
          <w:color w:val="000000" w:themeColor="text1"/>
          <w:szCs w:val="20"/>
        </w:rPr>
        <w:t>raise an array of practical, ethical, and legal issues</w:t>
      </w:r>
      <w:r w:rsidR="000D541A">
        <w:rPr>
          <w:rFonts w:eastAsia="Times New Roman" w:cs="Arial"/>
          <w:color w:val="000000" w:themeColor="text1"/>
          <w:szCs w:val="20"/>
        </w:rPr>
        <w:t>.</w:t>
      </w:r>
      <w:r w:rsidR="000D541A">
        <w:rPr>
          <w:rStyle w:val="FootnoteReference"/>
          <w:rFonts w:eastAsia="Times New Roman" w:cs="Arial"/>
          <w:color w:val="000000" w:themeColor="text1"/>
          <w:szCs w:val="20"/>
        </w:rPr>
        <w:footnoteReference w:id="5"/>
      </w:r>
      <w:r w:rsidR="006A5715">
        <w:rPr>
          <w:rFonts w:eastAsia="Times New Roman" w:cs="Arial"/>
          <w:color w:val="000000" w:themeColor="text1"/>
          <w:szCs w:val="20"/>
        </w:rPr>
        <w:t xml:space="preserve"> </w:t>
      </w:r>
    </w:p>
    <w:p w14:paraId="56EE6CF5" w14:textId="77777777" w:rsidR="00770415" w:rsidRDefault="00770415" w:rsidP="00EB12E6">
      <w:pPr>
        <w:spacing w:line="360" w:lineRule="auto"/>
        <w:rPr>
          <w:rFonts w:eastAsia="Times New Roman" w:cs="Arial"/>
          <w:b/>
          <w:bCs/>
          <w:color w:val="000000" w:themeColor="text1"/>
          <w:szCs w:val="20"/>
        </w:rPr>
      </w:pPr>
    </w:p>
    <w:p w14:paraId="30FA7C2E"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Theories of Negligence</w:t>
      </w:r>
    </w:p>
    <w:p w14:paraId="4C7B7EC5" w14:textId="49FAD911" w:rsidR="0099702B" w:rsidRPr="00B33748" w:rsidRDefault="0099702B" w:rsidP="009302CF">
      <w:pPr>
        <w:spacing w:after="120" w:line="360" w:lineRule="auto"/>
        <w:rPr>
          <w:rFonts w:eastAsia="Times New Roman" w:cs="Arial"/>
          <w:b/>
          <w:bCs/>
          <w:color w:val="000000" w:themeColor="text1"/>
          <w:szCs w:val="20"/>
        </w:rPr>
      </w:pPr>
      <w:r w:rsidRPr="0099702B">
        <w:rPr>
          <w:rFonts w:eastAsia="Times New Roman" w:cs="Arial"/>
          <w:color w:val="000000" w:themeColor="text1"/>
          <w:szCs w:val="20"/>
        </w:rPr>
        <w:t xml:space="preserve">Within the area of negligence, there are </w:t>
      </w:r>
      <w:r w:rsidR="006F6525" w:rsidRPr="0099702B">
        <w:rPr>
          <w:rFonts w:eastAsia="Times New Roman" w:cs="Arial"/>
          <w:color w:val="000000" w:themeColor="text1"/>
          <w:szCs w:val="20"/>
        </w:rPr>
        <w:t>several</w:t>
      </w:r>
      <w:r w:rsidRPr="0099702B">
        <w:rPr>
          <w:rFonts w:eastAsia="Times New Roman" w:cs="Arial"/>
          <w:color w:val="000000" w:themeColor="text1"/>
          <w:szCs w:val="20"/>
        </w:rPr>
        <w:t xml:space="preserve"> theories that could apply in the emergency response context.</w:t>
      </w:r>
    </w:p>
    <w:p w14:paraId="38BB1838" w14:textId="0A3AC765"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Medical Malpractice—</w:t>
      </w:r>
      <w:r w:rsidRPr="0099702B">
        <w:rPr>
          <w:rFonts w:eastAsia="Times New Roman" w:cs="Arial"/>
          <w:color w:val="000000" w:themeColor="text1"/>
          <w:szCs w:val="20"/>
        </w:rPr>
        <w:t>Healthcare professionals may be subject to medical malpractice claims, which are a type of negligence claim. The elements of proof for a medical malpractice claim are the same as for negligence: the healthcare professional owed a duty of care to the patient, which duty was breached by failing to use the knowledge and skills of the profession (standard of care), directly resulting in the injury to the patient.</w:t>
      </w:r>
      <w:r w:rsidR="00353955">
        <w:rPr>
          <w:rFonts w:eastAsia="Times New Roman" w:cs="Arial"/>
          <w:color w:val="000000" w:themeColor="text1"/>
          <w:szCs w:val="20"/>
        </w:rPr>
        <w:t xml:space="preserve"> If a jurisdiction is operating under a crisis standard of care, this </w:t>
      </w:r>
      <w:r w:rsidR="00E66C3E">
        <w:rPr>
          <w:rFonts w:eastAsia="Times New Roman" w:cs="Arial"/>
          <w:color w:val="000000" w:themeColor="text1"/>
          <w:szCs w:val="20"/>
        </w:rPr>
        <w:t>c</w:t>
      </w:r>
      <w:r w:rsidR="00353955">
        <w:rPr>
          <w:rFonts w:eastAsia="Times New Roman" w:cs="Arial"/>
          <w:color w:val="000000" w:themeColor="text1"/>
          <w:szCs w:val="20"/>
        </w:rPr>
        <w:t xml:space="preserve">ould alter the </w:t>
      </w:r>
      <w:r w:rsidR="00E66C3E">
        <w:rPr>
          <w:rFonts w:eastAsia="Times New Roman" w:cs="Arial"/>
          <w:color w:val="000000" w:themeColor="text1"/>
          <w:szCs w:val="20"/>
        </w:rPr>
        <w:t xml:space="preserve">applicable </w:t>
      </w:r>
      <w:r w:rsidR="00353955">
        <w:rPr>
          <w:rFonts w:eastAsia="Times New Roman" w:cs="Arial"/>
          <w:color w:val="000000" w:themeColor="text1"/>
          <w:szCs w:val="20"/>
        </w:rPr>
        <w:t>standard</w:t>
      </w:r>
      <w:r w:rsidR="00E66C3E">
        <w:rPr>
          <w:rFonts w:eastAsia="Times New Roman" w:cs="Arial"/>
          <w:color w:val="000000" w:themeColor="text1"/>
          <w:szCs w:val="20"/>
        </w:rPr>
        <w:t xml:space="preserve"> of care.</w:t>
      </w:r>
      <w:r w:rsidRPr="0099702B">
        <w:rPr>
          <w:rFonts w:eastAsia="Times New Roman" w:cs="Arial"/>
          <w:color w:val="000000" w:themeColor="text1"/>
          <w:szCs w:val="20"/>
        </w:rPr>
        <w:t xml:space="preserve"> Failure to provide information upon which a patient can give informed consent can be a basis for malpractice.</w:t>
      </w:r>
    </w:p>
    <w:p w14:paraId="52759916" w14:textId="77777777" w:rsidR="00770415" w:rsidRPr="0099702B" w:rsidRDefault="00770415" w:rsidP="003A53B4">
      <w:pPr>
        <w:spacing w:line="360" w:lineRule="auto"/>
        <w:ind w:left="360"/>
        <w:textAlignment w:val="baseline"/>
        <w:rPr>
          <w:rFonts w:eastAsia="Times New Roman" w:cs="Arial"/>
          <w:color w:val="000000" w:themeColor="text1"/>
          <w:szCs w:val="20"/>
        </w:rPr>
      </w:pPr>
    </w:p>
    <w:p w14:paraId="7C9CEF36" w14:textId="5044F8F1"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Scope of Practice—</w:t>
      </w:r>
      <w:r w:rsidRPr="0099702B">
        <w:rPr>
          <w:rFonts w:eastAsia="Times New Roman" w:cs="Arial"/>
          <w:color w:val="000000" w:themeColor="text1"/>
          <w:szCs w:val="20"/>
        </w:rPr>
        <w:t xml:space="preserve">A licensed healthcare provider such as a nurse or physician assistant may be subject to negligence claims for exceeding scope of practice by making decisions or undertaking tasks beyond what state law permits for their </w:t>
      </w:r>
      <w:r w:rsidRPr="00201ACC">
        <w:rPr>
          <w:rFonts w:eastAsia="Times New Roman" w:cs="Arial"/>
          <w:color w:val="000000" w:themeColor="text1"/>
          <w:szCs w:val="20"/>
        </w:rPr>
        <w:t>profession.</w:t>
      </w:r>
      <w:r w:rsidRPr="0099702B">
        <w:rPr>
          <w:rFonts w:eastAsia="Times New Roman" w:cs="Arial"/>
          <w:color w:val="000000" w:themeColor="text1"/>
          <w:szCs w:val="20"/>
        </w:rPr>
        <w:t xml:space="preserve"> Because states differ in how they define the scope of practice for a given profession (e.g., EMTs), questions about scope of practice frequently arise in mutual aid situations in which licensed healthcare professionals are providing care in another state from the one in which they are licensed. Mutual aid agreements like the </w:t>
      </w:r>
      <w:r w:rsidRPr="0099702B">
        <w:rPr>
          <w:rFonts w:eastAsia="Times New Roman" w:cs="Arial"/>
          <w:color w:val="000000" w:themeColor="text1"/>
          <w:szCs w:val="20"/>
        </w:rPr>
        <w:lastRenderedPageBreak/>
        <w:t>Emergency Management Assistance Compact (EMAC)</w:t>
      </w:r>
      <w:r w:rsidR="00F622D8">
        <w:rPr>
          <w:rStyle w:val="FootnoteReference"/>
          <w:rFonts w:eastAsia="Times New Roman" w:cs="Arial"/>
          <w:color w:val="000000" w:themeColor="text1"/>
          <w:szCs w:val="20"/>
        </w:rPr>
        <w:footnoteReference w:id="6"/>
      </w:r>
      <w:r w:rsidRPr="0099702B">
        <w:rPr>
          <w:rFonts w:eastAsia="Times New Roman" w:cs="Arial"/>
          <w:color w:val="000000" w:themeColor="text1"/>
          <w:szCs w:val="20"/>
        </w:rPr>
        <w:t xml:space="preserve"> help to resolve questions about scope of practice</w:t>
      </w:r>
      <w:r w:rsidR="00AB690F">
        <w:rPr>
          <w:rFonts w:eastAsia="Times New Roman" w:cs="Arial"/>
          <w:color w:val="000000" w:themeColor="text1"/>
          <w:szCs w:val="20"/>
        </w:rPr>
        <w:t>, among other things</w:t>
      </w:r>
      <w:r w:rsidR="00F622D8">
        <w:rPr>
          <w:rFonts w:eastAsia="Times New Roman" w:cs="Arial"/>
          <w:color w:val="000000" w:themeColor="text1"/>
          <w:szCs w:val="20"/>
        </w:rPr>
        <w:t>.</w:t>
      </w:r>
    </w:p>
    <w:p w14:paraId="0C06383D" w14:textId="77777777" w:rsidR="00770415" w:rsidRPr="0099702B" w:rsidRDefault="00770415" w:rsidP="003A53B4">
      <w:pPr>
        <w:spacing w:line="360" w:lineRule="auto"/>
        <w:textAlignment w:val="baseline"/>
        <w:rPr>
          <w:rFonts w:eastAsia="Times New Roman" w:cs="Arial"/>
          <w:color w:val="000000" w:themeColor="text1"/>
          <w:szCs w:val="20"/>
        </w:rPr>
      </w:pPr>
    </w:p>
    <w:p w14:paraId="2B91E6C6" w14:textId="6FE0DDE0"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Failure to Plan or Prepare—</w:t>
      </w:r>
      <w:r w:rsidRPr="0099702B">
        <w:rPr>
          <w:rFonts w:eastAsia="Times New Roman" w:cs="Arial"/>
          <w:color w:val="000000" w:themeColor="text1"/>
          <w:szCs w:val="20"/>
        </w:rPr>
        <w:t xml:space="preserve">Healthcare facilities like hospitals could face negligence </w:t>
      </w:r>
      <w:r w:rsidR="001566F2">
        <w:rPr>
          <w:rFonts w:eastAsia="Times New Roman" w:cs="Arial"/>
          <w:color w:val="000000" w:themeColor="text1"/>
          <w:szCs w:val="20"/>
        </w:rPr>
        <w:t>claims</w:t>
      </w:r>
      <w:r w:rsidRPr="0099702B">
        <w:rPr>
          <w:rFonts w:eastAsia="Times New Roman" w:cs="Arial"/>
          <w:color w:val="000000" w:themeColor="text1"/>
          <w:szCs w:val="20"/>
        </w:rPr>
        <w:t xml:space="preserve"> based on the theory that they failed to plan or prepare for an emergency. With the large number of publications, planning guides, and other resources available to help healthcare facilities plan and exercise how they will respond to an emergency, any facility that fails to undertake emergency planning and keep those plans current, as well as conduct training and exercises with staff, may subject itself to potential negligence claims for failure to plan or prepare.</w:t>
      </w:r>
      <w:r w:rsidR="006D4626">
        <w:rPr>
          <w:rStyle w:val="FootnoteReference"/>
          <w:rFonts w:eastAsia="Times New Roman" w:cs="Arial"/>
          <w:color w:val="000000" w:themeColor="text1"/>
          <w:szCs w:val="20"/>
        </w:rPr>
        <w:footnoteReference w:id="7"/>
      </w:r>
    </w:p>
    <w:p w14:paraId="3DE80C15" w14:textId="77777777" w:rsidR="00770415" w:rsidRPr="0099702B" w:rsidRDefault="00770415" w:rsidP="003A53B4">
      <w:pPr>
        <w:spacing w:line="360" w:lineRule="auto"/>
        <w:textAlignment w:val="baseline"/>
        <w:rPr>
          <w:rFonts w:eastAsia="Times New Roman" w:cs="Arial"/>
          <w:color w:val="000000" w:themeColor="text1"/>
          <w:szCs w:val="20"/>
        </w:rPr>
      </w:pPr>
    </w:p>
    <w:p w14:paraId="174F1306" w14:textId="1E6F6851"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Breach of Privacy and Confidentiality—</w:t>
      </w:r>
      <w:r w:rsidR="00E64245">
        <w:rPr>
          <w:rFonts w:eastAsia="Times New Roman" w:cs="Arial"/>
          <w:color w:val="000000" w:themeColor="text1"/>
          <w:szCs w:val="20"/>
        </w:rPr>
        <w:t>Neg</w:t>
      </w:r>
      <w:r w:rsidR="00902856">
        <w:rPr>
          <w:rFonts w:eastAsia="Times New Roman" w:cs="Arial"/>
          <w:color w:val="000000" w:themeColor="text1"/>
          <w:szCs w:val="20"/>
        </w:rPr>
        <w:t>ligence claims may also be brought for</w:t>
      </w:r>
      <w:r w:rsidRPr="0099702B">
        <w:rPr>
          <w:rFonts w:eastAsia="Times New Roman" w:cs="Arial"/>
          <w:color w:val="000000" w:themeColor="text1"/>
          <w:szCs w:val="20"/>
        </w:rPr>
        <w:t xml:space="preserve"> violations of privacy and confidentiality, in addition to intentional breaches. Individuals and organizational entities could be liable for failing to take adequate precautions to protect patients’ privacy and confidentiality during emergencies. There are federal statutes such as the Health Insurance Portability and Accountability Act (HIPAA) and Family Educational Rights and Privacy Act (FERPA), as well as state privacy and confidentiality statutes that can give rise to potential statutory and regulatory violations independent of tort-based privacy and confidentiality </w:t>
      </w:r>
      <w:r w:rsidRPr="00201ACC">
        <w:rPr>
          <w:rFonts w:eastAsia="Times New Roman" w:cs="Arial"/>
          <w:color w:val="000000" w:themeColor="text1"/>
          <w:szCs w:val="20"/>
        </w:rPr>
        <w:t>claims.</w:t>
      </w:r>
      <w:r w:rsidRPr="0099702B">
        <w:rPr>
          <w:rFonts w:eastAsia="Times New Roman" w:cs="Arial"/>
          <w:color w:val="000000" w:themeColor="text1"/>
          <w:szCs w:val="20"/>
        </w:rPr>
        <w:t xml:space="preserve"> A negligent breach of privacy and confidentiality could occur, for example, if patient records are left unattended and open to public view in an alternate care site used to triage victims of a disaster.</w:t>
      </w:r>
    </w:p>
    <w:p w14:paraId="571B0F7B" w14:textId="77777777" w:rsidR="00770415" w:rsidRDefault="00770415" w:rsidP="003A53B4">
      <w:pPr>
        <w:pStyle w:val="ListParagraph"/>
        <w:spacing w:line="360" w:lineRule="auto"/>
        <w:contextualSpacing w:val="0"/>
        <w:rPr>
          <w:rFonts w:eastAsia="Times New Roman" w:cs="Arial"/>
          <w:color w:val="000000" w:themeColor="text1"/>
          <w:szCs w:val="20"/>
        </w:rPr>
      </w:pPr>
    </w:p>
    <w:p w14:paraId="4D8747CA" w14:textId="1D50EA08" w:rsidR="00763876"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Premises Liability—</w:t>
      </w:r>
      <w:r w:rsidR="0035095B">
        <w:rPr>
          <w:rFonts w:eastAsia="Times New Roman" w:cs="Arial"/>
          <w:color w:val="000000" w:themeColor="text1"/>
          <w:szCs w:val="20"/>
        </w:rPr>
        <w:t xml:space="preserve">A </w:t>
      </w:r>
      <w:r w:rsidRPr="0099702B">
        <w:rPr>
          <w:rFonts w:eastAsia="Times New Roman" w:cs="Arial"/>
          <w:color w:val="000000" w:themeColor="text1"/>
          <w:szCs w:val="20"/>
        </w:rPr>
        <w:t>person or entity i</w:t>
      </w:r>
      <w:r w:rsidR="00BF24E5">
        <w:rPr>
          <w:rFonts w:eastAsia="Times New Roman" w:cs="Arial"/>
          <w:color w:val="000000" w:themeColor="text1"/>
          <w:szCs w:val="20"/>
        </w:rPr>
        <w:t>n</w:t>
      </w:r>
      <w:r w:rsidRPr="0099702B">
        <w:rPr>
          <w:rFonts w:eastAsia="Times New Roman" w:cs="Arial"/>
          <w:color w:val="000000" w:themeColor="text1"/>
          <w:szCs w:val="20"/>
        </w:rPr>
        <w:t xml:space="preserve"> possession of premises or land </w:t>
      </w:r>
      <w:r w:rsidR="00BF24E5">
        <w:rPr>
          <w:rFonts w:eastAsia="Times New Roman" w:cs="Arial"/>
          <w:color w:val="000000" w:themeColor="text1"/>
          <w:szCs w:val="20"/>
        </w:rPr>
        <w:t xml:space="preserve">can be held </w:t>
      </w:r>
      <w:r w:rsidR="00524183" w:rsidRPr="0099702B">
        <w:rPr>
          <w:rFonts w:eastAsia="Times New Roman" w:cs="Arial"/>
          <w:color w:val="000000" w:themeColor="text1"/>
          <w:szCs w:val="20"/>
        </w:rPr>
        <w:t>responsible</w:t>
      </w:r>
      <w:r w:rsidRPr="0099702B">
        <w:rPr>
          <w:rFonts w:eastAsia="Times New Roman" w:cs="Arial"/>
          <w:color w:val="000000" w:themeColor="text1"/>
          <w:szCs w:val="20"/>
        </w:rPr>
        <w:t xml:space="preserve"> for certain injuries to persons present on the land or premises. Traditionally a finding of premises liability turns on the whether the defendant was in possession of the premises and the status of the </w:t>
      </w:r>
      <w:r w:rsidRPr="00201ACC">
        <w:rPr>
          <w:rFonts w:eastAsia="Times New Roman" w:cs="Arial"/>
          <w:color w:val="000000" w:themeColor="text1"/>
          <w:szCs w:val="20"/>
        </w:rPr>
        <w:t>plaintiff.</w:t>
      </w:r>
      <w:r w:rsidRPr="0099702B">
        <w:rPr>
          <w:rFonts w:eastAsia="Times New Roman" w:cs="Arial"/>
          <w:color w:val="000000" w:themeColor="text1"/>
          <w:szCs w:val="20"/>
        </w:rPr>
        <w:t xml:space="preserve"> Possession is considered to be ownership of the premises or control of the premises (e.g., a </w:t>
      </w:r>
      <w:r w:rsidRPr="0099702B">
        <w:rPr>
          <w:rFonts w:eastAsia="Times New Roman" w:cs="Arial"/>
          <w:color w:val="000000" w:themeColor="text1"/>
          <w:szCs w:val="20"/>
        </w:rPr>
        <w:lastRenderedPageBreak/>
        <w:t xml:space="preserve">company leasing a building). A plaintiff </w:t>
      </w:r>
      <w:r w:rsidR="00CD695E">
        <w:rPr>
          <w:rFonts w:eastAsia="Times New Roman" w:cs="Arial"/>
          <w:color w:val="000000" w:themeColor="text1"/>
          <w:szCs w:val="20"/>
        </w:rPr>
        <w:t>could</w:t>
      </w:r>
      <w:r w:rsidRPr="0099702B">
        <w:rPr>
          <w:rFonts w:eastAsia="Times New Roman" w:cs="Arial"/>
          <w:color w:val="000000" w:themeColor="text1"/>
          <w:szCs w:val="20"/>
        </w:rPr>
        <w:t xml:space="preserve"> be an invitee, a licensee, or a trespasser on the premises. An invitee is a person invited to be on the premises for the commercial gain or business purposes of the </w:t>
      </w:r>
      <w:r w:rsidR="00342351" w:rsidRPr="0099702B">
        <w:rPr>
          <w:rFonts w:eastAsia="Times New Roman" w:cs="Arial"/>
          <w:color w:val="000000" w:themeColor="text1"/>
          <w:szCs w:val="20"/>
        </w:rPr>
        <w:t>premise’s</w:t>
      </w:r>
      <w:r w:rsidRPr="0099702B">
        <w:rPr>
          <w:rFonts w:eastAsia="Times New Roman" w:cs="Arial"/>
          <w:color w:val="000000" w:themeColor="text1"/>
          <w:szCs w:val="20"/>
        </w:rPr>
        <w:t xml:space="preserve"> possessor. A licensee is a person invited to be on the premises with the express or implied permission of the </w:t>
      </w:r>
      <w:r w:rsidR="00A73327" w:rsidRPr="0099702B">
        <w:rPr>
          <w:rFonts w:eastAsia="Times New Roman" w:cs="Arial"/>
          <w:color w:val="000000" w:themeColor="text1"/>
          <w:szCs w:val="20"/>
        </w:rPr>
        <w:t>premise’s</w:t>
      </w:r>
      <w:r w:rsidRPr="0099702B">
        <w:rPr>
          <w:rFonts w:eastAsia="Times New Roman" w:cs="Arial"/>
          <w:color w:val="000000" w:themeColor="text1"/>
          <w:szCs w:val="20"/>
        </w:rPr>
        <w:t xml:space="preserve"> possessor for a purpose other than the business or commercial interest of the </w:t>
      </w:r>
      <w:r w:rsidRPr="00201ACC">
        <w:rPr>
          <w:rFonts w:eastAsia="Times New Roman" w:cs="Arial"/>
          <w:color w:val="000000" w:themeColor="text1"/>
          <w:szCs w:val="20"/>
        </w:rPr>
        <w:t>possessor</w:t>
      </w:r>
      <w:r w:rsidRPr="0099702B">
        <w:rPr>
          <w:rFonts w:eastAsia="Times New Roman" w:cs="Arial"/>
          <w:color w:val="000000" w:themeColor="text1"/>
          <w:szCs w:val="20"/>
        </w:rPr>
        <w:t xml:space="preserve">. A trespasser is person who does not have the express or implied permission of the possessor to be on the premises and is not performing any duty for the </w:t>
      </w:r>
      <w:r w:rsidR="00E37175" w:rsidRPr="0099702B">
        <w:rPr>
          <w:rFonts w:eastAsia="Times New Roman" w:cs="Arial"/>
          <w:color w:val="000000" w:themeColor="text1"/>
          <w:szCs w:val="20"/>
        </w:rPr>
        <w:t>premise’s</w:t>
      </w:r>
      <w:r w:rsidRPr="0099702B">
        <w:rPr>
          <w:rFonts w:eastAsia="Times New Roman" w:cs="Arial"/>
          <w:color w:val="000000" w:themeColor="text1"/>
          <w:szCs w:val="20"/>
        </w:rPr>
        <w:t xml:space="preserve"> </w:t>
      </w:r>
      <w:r w:rsidRPr="00201ACC">
        <w:rPr>
          <w:rFonts w:eastAsia="Times New Roman" w:cs="Arial"/>
          <w:color w:val="000000" w:themeColor="text1"/>
          <w:szCs w:val="20"/>
        </w:rPr>
        <w:t>owner.</w:t>
      </w:r>
      <w:r w:rsidRPr="0099702B">
        <w:rPr>
          <w:rFonts w:eastAsia="Times New Roman" w:cs="Arial"/>
          <w:color w:val="000000" w:themeColor="text1"/>
          <w:szCs w:val="20"/>
        </w:rPr>
        <w:t xml:space="preserve"> Possessors owe a duty of care to invitees and licenses, but generally not to </w:t>
      </w:r>
      <w:r w:rsidRPr="00201ACC">
        <w:rPr>
          <w:rFonts w:eastAsia="Times New Roman" w:cs="Arial"/>
          <w:color w:val="000000" w:themeColor="text1"/>
          <w:szCs w:val="20"/>
        </w:rPr>
        <w:t>trespassers.</w:t>
      </w:r>
      <w:r w:rsidRPr="0099702B">
        <w:rPr>
          <w:rFonts w:eastAsia="Times New Roman" w:cs="Arial"/>
          <w:color w:val="000000" w:themeColor="text1"/>
          <w:szCs w:val="20"/>
        </w:rPr>
        <w:t xml:space="preserve"> In some states, a general reasonable person standard has replaced the above traditional analysis based on the status of the person entering the premises. Under the reasonable person</w:t>
      </w:r>
      <w:r w:rsidR="00830323">
        <w:rPr>
          <w:rFonts w:eastAsia="Times New Roman" w:cs="Arial"/>
          <w:color w:val="000000" w:themeColor="text1"/>
          <w:szCs w:val="20"/>
        </w:rPr>
        <w:t xml:space="preserve"> </w:t>
      </w:r>
      <w:r w:rsidRPr="0099702B">
        <w:rPr>
          <w:rFonts w:eastAsia="Times New Roman" w:cs="Arial"/>
          <w:color w:val="000000" w:themeColor="text1"/>
          <w:szCs w:val="20"/>
        </w:rPr>
        <w:t xml:space="preserve">standard, the premises possessor owes a duty of reasonable care to anyone entering the premises, regardless of their relationship to the </w:t>
      </w:r>
      <w:r w:rsidR="00B7567E" w:rsidRPr="0099702B">
        <w:rPr>
          <w:rFonts w:eastAsia="Times New Roman" w:cs="Arial"/>
          <w:color w:val="000000" w:themeColor="text1"/>
          <w:szCs w:val="20"/>
        </w:rPr>
        <w:t>premise’s</w:t>
      </w:r>
      <w:r w:rsidRPr="0099702B">
        <w:rPr>
          <w:rFonts w:eastAsia="Times New Roman" w:cs="Arial"/>
          <w:color w:val="000000" w:themeColor="text1"/>
          <w:szCs w:val="20"/>
        </w:rPr>
        <w:t xml:space="preserve"> </w:t>
      </w:r>
      <w:r w:rsidRPr="00201ACC">
        <w:rPr>
          <w:rFonts w:eastAsia="Times New Roman" w:cs="Arial"/>
          <w:color w:val="000000" w:themeColor="text1"/>
          <w:szCs w:val="20"/>
        </w:rPr>
        <w:t>possessor.</w:t>
      </w:r>
      <w:r w:rsidR="00B05763">
        <w:rPr>
          <w:rFonts w:eastAsia="Times New Roman" w:cs="Arial"/>
          <w:color w:val="000000" w:themeColor="text1"/>
          <w:szCs w:val="20"/>
        </w:rPr>
        <w:t xml:space="preserve"> The potential for </w:t>
      </w:r>
      <w:r w:rsidR="00B121AE">
        <w:rPr>
          <w:rFonts w:eastAsia="Times New Roman" w:cs="Arial"/>
          <w:color w:val="000000" w:themeColor="text1"/>
          <w:szCs w:val="20"/>
        </w:rPr>
        <w:t xml:space="preserve">premises liability has been raised </w:t>
      </w:r>
      <w:r w:rsidR="00E21791">
        <w:rPr>
          <w:rFonts w:eastAsia="Times New Roman" w:cs="Arial"/>
          <w:color w:val="000000" w:themeColor="text1"/>
          <w:szCs w:val="20"/>
        </w:rPr>
        <w:t>during the COVID-19 pandemic as businesses re-open</w:t>
      </w:r>
      <w:r w:rsidR="00204A08">
        <w:rPr>
          <w:rFonts w:eastAsia="Times New Roman" w:cs="Arial"/>
          <w:color w:val="000000" w:themeColor="text1"/>
          <w:szCs w:val="20"/>
        </w:rPr>
        <w:t xml:space="preserve"> to the public</w:t>
      </w:r>
      <w:r w:rsidR="00BE3CF3">
        <w:rPr>
          <w:rFonts w:eastAsia="Times New Roman" w:cs="Arial"/>
          <w:color w:val="000000" w:themeColor="text1"/>
          <w:szCs w:val="20"/>
        </w:rPr>
        <w:t xml:space="preserve">. Possible claims </w:t>
      </w:r>
      <w:r w:rsidR="00B27083">
        <w:rPr>
          <w:rFonts w:eastAsia="Times New Roman" w:cs="Arial"/>
          <w:color w:val="000000" w:themeColor="text1"/>
          <w:szCs w:val="20"/>
        </w:rPr>
        <w:t xml:space="preserve">may arise </w:t>
      </w:r>
      <w:r w:rsidR="002D07A0">
        <w:rPr>
          <w:rFonts w:eastAsia="Times New Roman" w:cs="Arial"/>
          <w:color w:val="000000" w:themeColor="text1"/>
          <w:szCs w:val="20"/>
        </w:rPr>
        <w:t xml:space="preserve">from customers alleging they contracted </w:t>
      </w:r>
      <w:r w:rsidR="00204A08">
        <w:rPr>
          <w:rFonts w:eastAsia="Times New Roman" w:cs="Arial"/>
          <w:color w:val="000000" w:themeColor="text1"/>
          <w:szCs w:val="20"/>
        </w:rPr>
        <w:t xml:space="preserve">COVID-19 </w:t>
      </w:r>
      <w:r w:rsidR="002D07A0">
        <w:rPr>
          <w:rFonts w:eastAsia="Times New Roman" w:cs="Arial"/>
          <w:color w:val="000000" w:themeColor="text1"/>
          <w:szCs w:val="20"/>
        </w:rPr>
        <w:t xml:space="preserve">at </w:t>
      </w:r>
      <w:r w:rsidR="00B27083">
        <w:rPr>
          <w:rFonts w:eastAsia="Times New Roman" w:cs="Arial"/>
          <w:color w:val="000000" w:themeColor="text1"/>
          <w:szCs w:val="20"/>
        </w:rPr>
        <w:t>a</w:t>
      </w:r>
      <w:r w:rsidR="002D07A0">
        <w:rPr>
          <w:rFonts w:eastAsia="Times New Roman" w:cs="Arial"/>
          <w:color w:val="000000" w:themeColor="text1"/>
          <w:szCs w:val="20"/>
        </w:rPr>
        <w:t xml:space="preserve"> business due to </w:t>
      </w:r>
      <w:r w:rsidR="00153D40">
        <w:rPr>
          <w:rFonts w:eastAsia="Times New Roman" w:cs="Arial"/>
          <w:color w:val="000000" w:themeColor="text1"/>
          <w:szCs w:val="20"/>
        </w:rPr>
        <w:t>its negligence.</w:t>
      </w:r>
      <w:r w:rsidR="00B27083">
        <w:rPr>
          <w:rStyle w:val="FootnoteReference"/>
          <w:rFonts w:eastAsia="Times New Roman" w:cs="Arial"/>
          <w:color w:val="000000" w:themeColor="text1"/>
          <w:szCs w:val="20"/>
        </w:rPr>
        <w:footnoteReference w:id="8"/>
      </w:r>
      <w:r w:rsidR="00153D40">
        <w:rPr>
          <w:rFonts w:eastAsia="Times New Roman" w:cs="Arial"/>
          <w:color w:val="000000" w:themeColor="text1"/>
          <w:szCs w:val="20"/>
        </w:rPr>
        <w:t xml:space="preserve"> </w:t>
      </w:r>
    </w:p>
    <w:p w14:paraId="1973ED71" w14:textId="77777777" w:rsidR="00763876" w:rsidRDefault="00763876" w:rsidP="00EB12E6">
      <w:pPr>
        <w:spacing w:line="360" w:lineRule="auto"/>
        <w:ind w:left="360"/>
        <w:textAlignment w:val="baseline"/>
        <w:rPr>
          <w:rFonts w:eastAsia="Times New Roman" w:cs="Arial"/>
          <w:b/>
          <w:bCs/>
          <w:color w:val="000000" w:themeColor="text1"/>
          <w:szCs w:val="20"/>
          <w:bdr w:val="none" w:sz="0" w:space="0" w:color="auto" w:frame="1"/>
        </w:rPr>
      </w:pPr>
    </w:p>
    <w:p w14:paraId="4F997F88" w14:textId="612A7FF0" w:rsidR="0099702B" w:rsidRDefault="0099702B" w:rsidP="00EB12E6">
      <w:pPr>
        <w:spacing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Concerns about potential liability based on premises liability can arise in the emergency response context when facilities and properties are used for preparedness and response activities. This can include the use of hospitals, clinics, and other facilities (</w:t>
      </w:r>
      <w:r w:rsidR="004E79DB">
        <w:rPr>
          <w:rFonts w:eastAsia="Times New Roman" w:cs="Arial"/>
          <w:color w:val="000000" w:themeColor="text1"/>
          <w:szCs w:val="20"/>
        </w:rPr>
        <w:t xml:space="preserve">e.g., </w:t>
      </w:r>
      <w:r w:rsidRPr="0099702B">
        <w:rPr>
          <w:rFonts w:eastAsia="Times New Roman" w:cs="Arial"/>
          <w:color w:val="000000" w:themeColor="text1"/>
          <w:szCs w:val="20"/>
        </w:rPr>
        <w:t xml:space="preserve">schools, convention centers, malls) for alternate care sites to triage and treat victims of an emergency. Businesses and other private property owners who volunteer use of their property as points of distribution (POD) for medicine and supplies also </w:t>
      </w:r>
      <w:r w:rsidR="00CF2983">
        <w:rPr>
          <w:rFonts w:eastAsia="Times New Roman" w:cs="Arial"/>
          <w:color w:val="000000" w:themeColor="text1"/>
          <w:szCs w:val="20"/>
        </w:rPr>
        <w:t>note</w:t>
      </w:r>
      <w:r w:rsidRPr="0099702B">
        <w:rPr>
          <w:rFonts w:eastAsia="Times New Roman" w:cs="Arial"/>
          <w:color w:val="000000" w:themeColor="text1"/>
          <w:szCs w:val="20"/>
        </w:rPr>
        <w:t xml:space="preserve"> concerns about liability issues. This is especially true among those hosting “open” PODs in which members of the public will visit the property. “Closed” PODs serve a more narrowly defined population, such as the employees of a business hosting the POD, which can </w:t>
      </w:r>
      <w:r w:rsidR="008A38F2">
        <w:rPr>
          <w:rFonts w:eastAsia="Times New Roman" w:cs="Arial"/>
          <w:color w:val="000000" w:themeColor="text1"/>
          <w:szCs w:val="20"/>
        </w:rPr>
        <w:t xml:space="preserve">limit or prevent </w:t>
      </w:r>
      <w:r w:rsidRPr="0099702B">
        <w:rPr>
          <w:rFonts w:eastAsia="Times New Roman" w:cs="Arial"/>
          <w:color w:val="000000" w:themeColor="text1"/>
          <w:szCs w:val="20"/>
        </w:rPr>
        <w:t xml:space="preserve">liability claims based on a theory of premises </w:t>
      </w:r>
      <w:r w:rsidRPr="00201ACC">
        <w:rPr>
          <w:rFonts w:eastAsia="Times New Roman" w:cs="Arial"/>
          <w:color w:val="000000" w:themeColor="text1"/>
          <w:szCs w:val="20"/>
        </w:rPr>
        <w:t>liability.</w:t>
      </w:r>
    </w:p>
    <w:p w14:paraId="4C2DE484" w14:textId="77777777" w:rsidR="00763876" w:rsidRPr="0099702B" w:rsidRDefault="00763876" w:rsidP="00EB12E6">
      <w:pPr>
        <w:spacing w:line="360" w:lineRule="auto"/>
        <w:ind w:left="360"/>
        <w:textAlignment w:val="baseline"/>
        <w:rPr>
          <w:rFonts w:eastAsia="Times New Roman" w:cs="Arial"/>
          <w:color w:val="000000" w:themeColor="text1"/>
          <w:szCs w:val="20"/>
        </w:rPr>
      </w:pPr>
    </w:p>
    <w:p w14:paraId="4EBE60A4" w14:textId="17A48C0C"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Negligence Per Se—</w:t>
      </w:r>
      <w:r w:rsidRPr="0099702B">
        <w:rPr>
          <w:rFonts w:eastAsia="Times New Roman" w:cs="Arial"/>
          <w:color w:val="000000" w:themeColor="text1"/>
          <w:szCs w:val="20"/>
        </w:rPr>
        <w:t xml:space="preserve">This theory allows a statute or regulation to be used to set the standard of care when determining negligence. In order to find negligence per se, the plaintiff must be in the category of persons the statute was intended to protect and the injury must be one that the statute was intended to </w:t>
      </w:r>
      <w:r w:rsidRPr="00201ACC">
        <w:rPr>
          <w:rFonts w:eastAsia="Times New Roman" w:cs="Arial"/>
          <w:color w:val="000000" w:themeColor="text1"/>
          <w:szCs w:val="20"/>
        </w:rPr>
        <w:t>prevent.</w:t>
      </w:r>
      <w:r w:rsidRPr="0099702B">
        <w:rPr>
          <w:rFonts w:eastAsia="Times New Roman" w:cs="Arial"/>
          <w:color w:val="000000" w:themeColor="text1"/>
          <w:szCs w:val="20"/>
        </w:rPr>
        <w:t xml:space="preserve"> Negligence per se is a subset of both negligence and statutory violations; </w:t>
      </w:r>
      <w:r w:rsidRPr="0099702B">
        <w:rPr>
          <w:rFonts w:eastAsia="Times New Roman" w:cs="Arial"/>
          <w:color w:val="000000" w:themeColor="text1"/>
          <w:szCs w:val="20"/>
        </w:rPr>
        <w:lastRenderedPageBreak/>
        <w:t xml:space="preserve">however, all negligence claims do not require violation of a statute to be successful, and all violations of statutes do not constitute </w:t>
      </w:r>
      <w:r w:rsidRPr="00201ACC">
        <w:rPr>
          <w:rFonts w:eastAsia="Times New Roman" w:cs="Arial"/>
          <w:color w:val="000000" w:themeColor="text1"/>
          <w:szCs w:val="20"/>
        </w:rPr>
        <w:t>negligence per se.</w:t>
      </w:r>
    </w:p>
    <w:p w14:paraId="1E9D7803" w14:textId="77777777" w:rsidR="00763876" w:rsidRPr="0099702B" w:rsidRDefault="00763876" w:rsidP="00EB12E6">
      <w:pPr>
        <w:spacing w:line="360" w:lineRule="auto"/>
        <w:ind w:left="360"/>
        <w:textAlignment w:val="baseline"/>
        <w:rPr>
          <w:rFonts w:eastAsia="Times New Roman" w:cs="Arial"/>
          <w:color w:val="000000" w:themeColor="text1"/>
          <w:szCs w:val="20"/>
        </w:rPr>
      </w:pPr>
    </w:p>
    <w:p w14:paraId="788E646B" w14:textId="1A11C1CA"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Gross Negligence—</w:t>
      </w:r>
      <w:r w:rsidRPr="0099702B">
        <w:rPr>
          <w:rFonts w:eastAsia="Times New Roman" w:cs="Arial"/>
          <w:color w:val="000000" w:themeColor="text1"/>
          <w:szCs w:val="20"/>
        </w:rPr>
        <w:t xml:space="preserve">This is conduct or failure to act which is so reckless that it demonstrates disregard for whether an injury or harm will occur. Acts of gross negligence (also noted as willful or wanton conduct) are not covered under statutes that provide immunity or other liability protections to emergency response </w:t>
      </w:r>
      <w:r w:rsidRPr="00201ACC">
        <w:rPr>
          <w:rFonts w:eastAsia="Times New Roman" w:cs="Arial"/>
          <w:color w:val="000000" w:themeColor="text1"/>
          <w:szCs w:val="20"/>
        </w:rPr>
        <w:t>participants.</w:t>
      </w:r>
    </w:p>
    <w:p w14:paraId="36442CCA" w14:textId="77777777" w:rsidR="00763876" w:rsidRPr="0099702B" w:rsidRDefault="00763876" w:rsidP="00EB12E6">
      <w:pPr>
        <w:spacing w:line="360" w:lineRule="auto"/>
        <w:textAlignment w:val="baseline"/>
        <w:rPr>
          <w:rFonts w:eastAsia="Times New Roman" w:cs="Arial"/>
          <w:color w:val="000000" w:themeColor="text1"/>
          <w:szCs w:val="20"/>
        </w:rPr>
      </w:pPr>
    </w:p>
    <w:p w14:paraId="054D9273" w14:textId="77777777" w:rsidR="00B33748" w:rsidRDefault="0099702B" w:rsidP="00B33748">
      <w:pPr>
        <w:spacing w:line="360" w:lineRule="auto"/>
        <w:rPr>
          <w:rFonts w:eastAsia="Times New Roman" w:cs="Arial"/>
          <w:b/>
          <w:bCs/>
          <w:color w:val="000000" w:themeColor="text1"/>
          <w:szCs w:val="20"/>
        </w:rPr>
      </w:pPr>
      <w:r w:rsidRPr="00763876">
        <w:rPr>
          <w:rFonts w:eastAsia="Times New Roman" w:cs="Arial"/>
          <w:b/>
          <w:bCs/>
          <w:color w:val="000000" w:themeColor="text1"/>
          <w:szCs w:val="20"/>
        </w:rPr>
        <w:t>Defenses to Negligence Claims</w:t>
      </w:r>
    </w:p>
    <w:p w14:paraId="24FD5165" w14:textId="203FC91B" w:rsidR="0099702B" w:rsidRDefault="0099702B" w:rsidP="00B33748">
      <w:pPr>
        <w:spacing w:line="360" w:lineRule="auto"/>
        <w:rPr>
          <w:rFonts w:eastAsia="Times New Roman" w:cs="Arial"/>
          <w:color w:val="000000" w:themeColor="text1"/>
          <w:szCs w:val="20"/>
        </w:rPr>
      </w:pPr>
      <w:r w:rsidRPr="00763876">
        <w:rPr>
          <w:rFonts w:eastAsia="Times New Roman" w:cs="Arial"/>
          <w:color w:val="000000" w:themeColor="text1"/>
          <w:szCs w:val="20"/>
        </w:rPr>
        <w:t>There are several potential defenses to negligence claims, including contributory and comparative negligence, assumption of risk, and immunity.</w:t>
      </w:r>
    </w:p>
    <w:p w14:paraId="4A12DE5C" w14:textId="77777777" w:rsidR="00B33B0D" w:rsidRPr="00B33748" w:rsidRDefault="00B33B0D" w:rsidP="00B33748">
      <w:pPr>
        <w:spacing w:line="360" w:lineRule="auto"/>
        <w:rPr>
          <w:rFonts w:eastAsia="Times New Roman" w:cs="Arial"/>
          <w:b/>
          <w:bCs/>
          <w:color w:val="000000" w:themeColor="text1"/>
          <w:szCs w:val="20"/>
        </w:rPr>
      </w:pPr>
    </w:p>
    <w:p w14:paraId="7C97F440" w14:textId="77777777" w:rsidR="00CA6CED" w:rsidRPr="00F260D9" w:rsidRDefault="00CA6CED" w:rsidP="00CA6CED">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Immunity—</w:t>
      </w:r>
      <w:r w:rsidRPr="00F260D9">
        <w:rPr>
          <w:rFonts w:eastAsia="Times New Roman" w:cs="Arial"/>
          <w:color w:val="000000" w:themeColor="text1"/>
          <w:szCs w:val="20"/>
        </w:rPr>
        <w:t xml:space="preserve">Immunity protects defendants from potential tort liabilities. </w:t>
      </w:r>
      <w:r>
        <w:rPr>
          <w:rFonts w:eastAsia="Times New Roman" w:cs="Arial"/>
          <w:color w:val="000000" w:themeColor="text1"/>
          <w:szCs w:val="20"/>
        </w:rPr>
        <w:t xml:space="preserve">Theories of immunity developed under common law (most notably sovereign/governmental immunity) but have been refined and codified in STT and federal statutory law. </w:t>
      </w:r>
      <w:r w:rsidRPr="00F260D9">
        <w:rPr>
          <w:rFonts w:eastAsia="Times New Roman" w:cs="Arial"/>
          <w:color w:val="000000" w:themeColor="text1"/>
          <w:szCs w:val="20"/>
        </w:rPr>
        <w:t xml:space="preserve">The most significant defense to </w:t>
      </w:r>
      <w:r>
        <w:rPr>
          <w:rFonts w:eastAsia="Times New Roman" w:cs="Arial"/>
          <w:color w:val="000000" w:themeColor="text1"/>
          <w:szCs w:val="20"/>
        </w:rPr>
        <w:t xml:space="preserve">a </w:t>
      </w:r>
      <w:r w:rsidRPr="00F260D9">
        <w:rPr>
          <w:rFonts w:eastAsia="Times New Roman" w:cs="Arial"/>
          <w:color w:val="000000" w:themeColor="text1"/>
          <w:szCs w:val="20"/>
        </w:rPr>
        <w:t>negligence claim arising in the context of an emergency response scenario is the defense of immunity</w:t>
      </w:r>
      <w:r>
        <w:rPr>
          <w:rFonts w:eastAsia="Times New Roman" w:cs="Arial"/>
          <w:color w:val="000000" w:themeColor="text1"/>
          <w:szCs w:val="20"/>
        </w:rPr>
        <w:t>; the defendant is found to be immune from suit</w:t>
      </w:r>
      <w:r w:rsidRPr="00F260D9">
        <w:rPr>
          <w:rFonts w:eastAsia="Times New Roman" w:cs="Arial"/>
          <w:color w:val="000000" w:themeColor="text1"/>
          <w:szCs w:val="20"/>
        </w:rPr>
        <w:t xml:space="preserve">. Specific sources of immunity </w:t>
      </w:r>
      <w:r>
        <w:rPr>
          <w:rFonts w:eastAsia="Times New Roman" w:cs="Arial"/>
          <w:color w:val="000000" w:themeColor="text1"/>
          <w:szCs w:val="20"/>
        </w:rPr>
        <w:t xml:space="preserve">in emergency response </w:t>
      </w:r>
      <w:r w:rsidRPr="00F260D9">
        <w:rPr>
          <w:rFonts w:eastAsia="Times New Roman" w:cs="Arial"/>
          <w:color w:val="000000" w:themeColor="text1"/>
          <w:szCs w:val="20"/>
        </w:rPr>
        <w:t xml:space="preserve">are </w:t>
      </w:r>
      <w:r>
        <w:rPr>
          <w:rFonts w:eastAsia="Times New Roman" w:cs="Arial"/>
          <w:color w:val="000000" w:themeColor="text1"/>
          <w:szCs w:val="20"/>
        </w:rPr>
        <w:t>explored</w:t>
      </w:r>
      <w:r w:rsidRPr="00F260D9">
        <w:rPr>
          <w:rFonts w:eastAsia="Times New Roman" w:cs="Arial"/>
          <w:color w:val="000000" w:themeColor="text1"/>
          <w:szCs w:val="20"/>
        </w:rPr>
        <w:t xml:space="preserve"> in </w:t>
      </w:r>
      <w:r>
        <w:rPr>
          <w:rFonts w:eastAsia="Times New Roman" w:cs="Arial"/>
          <w:color w:val="000000" w:themeColor="text1"/>
          <w:szCs w:val="20"/>
        </w:rPr>
        <w:t>the Immunity in Public Health Emergencies document.</w:t>
      </w:r>
    </w:p>
    <w:p w14:paraId="39395E93" w14:textId="77777777" w:rsidR="00CA6CED" w:rsidRPr="00CA6CED" w:rsidRDefault="00CA6CED" w:rsidP="00CA6CED">
      <w:pPr>
        <w:spacing w:line="360" w:lineRule="auto"/>
        <w:textAlignment w:val="baseline"/>
        <w:rPr>
          <w:rFonts w:eastAsia="Times New Roman" w:cs="Arial"/>
          <w:color w:val="000000" w:themeColor="text1"/>
          <w:szCs w:val="20"/>
        </w:rPr>
      </w:pPr>
    </w:p>
    <w:p w14:paraId="252864D0" w14:textId="10F24478" w:rsidR="0099702B" w:rsidRDefault="0099702B" w:rsidP="00EB12E6">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Contributory and Comparative Negligence—</w:t>
      </w:r>
      <w:r w:rsidRPr="00F260D9">
        <w:rPr>
          <w:rFonts w:eastAsia="Times New Roman" w:cs="Arial"/>
          <w:color w:val="000000" w:themeColor="text1"/>
          <w:szCs w:val="20"/>
        </w:rPr>
        <w:t xml:space="preserve">Contributory negligence occurs when a </w:t>
      </w:r>
      <w:r w:rsidRPr="001734BE">
        <w:rPr>
          <w:rFonts w:eastAsia="Times New Roman" w:cs="Arial"/>
          <w:i/>
          <w:iCs/>
          <w:color w:val="000000" w:themeColor="text1"/>
          <w:szCs w:val="20"/>
        </w:rPr>
        <w:t>plaintiff’s</w:t>
      </w:r>
      <w:r w:rsidRPr="00F260D9">
        <w:rPr>
          <w:rFonts w:eastAsia="Times New Roman" w:cs="Arial"/>
          <w:color w:val="000000" w:themeColor="text1"/>
          <w:szCs w:val="20"/>
        </w:rPr>
        <w:t xml:space="preserve"> actions contributed to the harm</w:t>
      </w:r>
      <w:r w:rsidR="001734BE">
        <w:rPr>
          <w:rFonts w:eastAsia="Times New Roman" w:cs="Arial"/>
          <w:color w:val="000000" w:themeColor="text1"/>
          <w:szCs w:val="20"/>
        </w:rPr>
        <w:t xml:space="preserve"> they experienced</w:t>
      </w:r>
      <w:r w:rsidRPr="00F260D9">
        <w:rPr>
          <w:rFonts w:eastAsia="Times New Roman" w:cs="Arial"/>
          <w:color w:val="000000" w:themeColor="text1"/>
          <w:szCs w:val="20"/>
        </w:rPr>
        <w:t xml:space="preserve">. It acts as a complete defense to negligence such that a defendant will not be held liable for </w:t>
      </w:r>
      <w:r w:rsidR="00CE33F1">
        <w:rPr>
          <w:rFonts w:eastAsia="Times New Roman" w:cs="Arial"/>
          <w:color w:val="000000" w:themeColor="text1"/>
          <w:szCs w:val="20"/>
        </w:rPr>
        <w:t>their</w:t>
      </w:r>
      <w:r w:rsidRPr="00F260D9">
        <w:rPr>
          <w:rFonts w:eastAsia="Times New Roman" w:cs="Arial"/>
          <w:color w:val="000000" w:themeColor="text1"/>
          <w:szCs w:val="20"/>
        </w:rPr>
        <w:t xml:space="preserve"> actions because the plaintiff’s actions added to the harm.</w:t>
      </w:r>
      <w:r w:rsidR="00FF67B4">
        <w:rPr>
          <w:rStyle w:val="FootnoteReference"/>
          <w:rFonts w:eastAsia="Times New Roman" w:cs="Arial"/>
          <w:color w:val="000000" w:themeColor="text1"/>
          <w:szCs w:val="20"/>
        </w:rPr>
        <w:footnoteReference w:id="9"/>
      </w:r>
      <w:r w:rsidRPr="00F260D9">
        <w:rPr>
          <w:rFonts w:eastAsia="Times New Roman" w:cs="Arial"/>
          <w:color w:val="000000" w:themeColor="text1"/>
          <w:szCs w:val="20"/>
        </w:rPr>
        <w:t xml:space="preserve"> Because of the perceived harshness of this approach, most states have rejected contributory negligence and instead have adopted comparative negligence.</w:t>
      </w:r>
      <w:r w:rsidR="00332B89">
        <w:rPr>
          <w:rStyle w:val="FootnoteReference"/>
          <w:rFonts w:eastAsia="Times New Roman" w:cs="Arial"/>
          <w:color w:val="000000" w:themeColor="text1"/>
          <w:szCs w:val="20"/>
        </w:rPr>
        <w:footnoteReference w:id="10"/>
      </w:r>
      <w:r w:rsidRPr="00F260D9">
        <w:rPr>
          <w:rFonts w:eastAsia="Times New Roman" w:cs="Arial"/>
          <w:color w:val="000000" w:themeColor="text1"/>
          <w:szCs w:val="20"/>
        </w:rPr>
        <w:t xml:space="preserve"> With comparative negligence, the plaintiff may still be entitled to damages even if </w:t>
      </w:r>
      <w:r w:rsidR="00B33B0D">
        <w:rPr>
          <w:rFonts w:eastAsia="Times New Roman" w:cs="Arial"/>
          <w:color w:val="000000" w:themeColor="text1"/>
          <w:szCs w:val="20"/>
        </w:rPr>
        <w:t>their</w:t>
      </w:r>
      <w:r w:rsidRPr="00F260D9">
        <w:rPr>
          <w:rFonts w:eastAsia="Times New Roman" w:cs="Arial"/>
          <w:color w:val="000000" w:themeColor="text1"/>
          <w:szCs w:val="20"/>
        </w:rPr>
        <w:t xml:space="preserve"> action’s contributed to the harm; the amount of compensation awarded to a plaintiff may be reduced to account for role </w:t>
      </w:r>
      <w:r w:rsidR="007C79D7">
        <w:rPr>
          <w:rFonts w:eastAsia="Times New Roman" w:cs="Arial"/>
          <w:color w:val="000000" w:themeColor="text1"/>
          <w:szCs w:val="20"/>
        </w:rPr>
        <w:t>they</w:t>
      </w:r>
      <w:r w:rsidRPr="00F260D9">
        <w:rPr>
          <w:rFonts w:eastAsia="Times New Roman" w:cs="Arial"/>
          <w:color w:val="000000" w:themeColor="text1"/>
          <w:szCs w:val="20"/>
        </w:rPr>
        <w:t xml:space="preserve"> played in causing the harm.</w:t>
      </w:r>
    </w:p>
    <w:p w14:paraId="783E28F6" w14:textId="77777777" w:rsidR="00F260D9" w:rsidRPr="00F260D9" w:rsidRDefault="00F260D9" w:rsidP="00EB12E6">
      <w:pPr>
        <w:pStyle w:val="ListParagraph"/>
        <w:spacing w:line="360" w:lineRule="auto"/>
        <w:ind w:left="360"/>
        <w:textAlignment w:val="baseline"/>
        <w:rPr>
          <w:rFonts w:eastAsia="Times New Roman" w:cs="Arial"/>
          <w:color w:val="000000" w:themeColor="text1"/>
          <w:szCs w:val="20"/>
        </w:rPr>
      </w:pPr>
    </w:p>
    <w:p w14:paraId="19B0403A" w14:textId="71449D62" w:rsidR="0099702B" w:rsidRDefault="0099702B" w:rsidP="00EB12E6">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Assumption of Risk—</w:t>
      </w:r>
      <w:r w:rsidRPr="00F260D9">
        <w:rPr>
          <w:rFonts w:eastAsia="Times New Roman" w:cs="Arial"/>
          <w:color w:val="000000" w:themeColor="text1"/>
          <w:szCs w:val="20"/>
        </w:rPr>
        <w:t xml:space="preserve">Traditionally, assumption of risk </w:t>
      </w:r>
      <w:r w:rsidR="00DD74C0" w:rsidRPr="00F260D9">
        <w:rPr>
          <w:rFonts w:eastAsia="Times New Roman" w:cs="Arial"/>
          <w:color w:val="000000" w:themeColor="text1"/>
          <w:szCs w:val="20"/>
        </w:rPr>
        <w:t>was</w:t>
      </w:r>
      <w:r w:rsidRPr="00F260D9">
        <w:rPr>
          <w:rFonts w:eastAsia="Times New Roman" w:cs="Arial"/>
          <w:color w:val="000000" w:themeColor="text1"/>
          <w:szCs w:val="20"/>
        </w:rPr>
        <w:t xml:space="preserve"> a complete bar to recovery if a plaintiff understood the risk and voluntarily assumed the </w:t>
      </w:r>
      <w:r w:rsidRPr="00201ACC">
        <w:rPr>
          <w:rFonts w:eastAsia="Times New Roman" w:cs="Arial"/>
          <w:color w:val="000000" w:themeColor="text1"/>
          <w:szCs w:val="20"/>
        </w:rPr>
        <w:t>risk.</w:t>
      </w:r>
      <w:r w:rsidRPr="00F260D9">
        <w:rPr>
          <w:rFonts w:eastAsia="Times New Roman" w:cs="Arial"/>
          <w:color w:val="000000" w:themeColor="text1"/>
          <w:szCs w:val="20"/>
        </w:rPr>
        <w:t xml:space="preserve"> Express assumption </w:t>
      </w:r>
      <w:r w:rsidR="003F01C3">
        <w:rPr>
          <w:rFonts w:eastAsia="Times New Roman" w:cs="Arial"/>
          <w:color w:val="000000" w:themeColor="text1"/>
          <w:szCs w:val="20"/>
        </w:rPr>
        <w:t xml:space="preserve">of the risk </w:t>
      </w:r>
      <w:r w:rsidRPr="00F260D9">
        <w:rPr>
          <w:rFonts w:eastAsia="Times New Roman" w:cs="Arial"/>
          <w:color w:val="000000" w:themeColor="text1"/>
          <w:szCs w:val="20"/>
        </w:rPr>
        <w:t xml:space="preserve">occurs when a person agrees to accept a risk. Implied assumption of risk can occur when a person’s actions indicate </w:t>
      </w:r>
      <w:r w:rsidR="00CC0F47">
        <w:rPr>
          <w:rFonts w:eastAsia="Times New Roman" w:cs="Arial"/>
          <w:color w:val="000000" w:themeColor="text1"/>
          <w:szCs w:val="20"/>
        </w:rPr>
        <w:t xml:space="preserve">that they </w:t>
      </w:r>
      <w:r w:rsidRPr="00F260D9">
        <w:rPr>
          <w:rFonts w:eastAsia="Times New Roman" w:cs="Arial"/>
          <w:color w:val="000000" w:themeColor="text1"/>
          <w:szCs w:val="20"/>
        </w:rPr>
        <w:t xml:space="preserve">accepted the </w:t>
      </w:r>
      <w:r w:rsidR="00322E0A" w:rsidRPr="00F260D9">
        <w:rPr>
          <w:rFonts w:eastAsia="Times New Roman" w:cs="Arial"/>
          <w:color w:val="000000" w:themeColor="text1"/>
          <w:szCs w:val="20"/>
        </w:rPr>
        <w:t>risk but</w:t>
      </w:r>
      <w:r w:rsidRPr="00F260D9">
        <w:rPr>
          <w:rFonts w:eastAsia="Times New Roman" w:cs="Arial"/>
          <w:color w:val="000000" w:themeColor="text1"/>
          <w:szCs w:val="20"/>
        </w:rPr>
        <w:t xml:space="preserve"> </w:t>
      </w:r>
      <w:r w:rsidR="0003087F">
        <w:rPr>
          <w:rFonts w:eastAsia="Times New Roman" w:cs="Arial"/>
          <w:color w:val="000000" w:themeColor="text1"/>
          <w:szCs w:val="20"/>
        </w:rPr>
        <w:t>did</w:t>
      </w:r>
      <w:r w:rsidRPr="00F260D9">
        <w:rPr>
          <w:rFonts w:eastAsia="Times New Roman" w:cs="Arial"/>
          <w:color w:val="000000" w:themeColor="text1"/>
          <w:szCs w:val="20"/>
        </w:rPr>
        <w:t xml:space="preserve"> not specifically agree to it. In some states, implied assumption of risk has been incorporated into the concept of comparative negligence, so it is no longer a complete bar to recovery but can reduce the amount, if any, awarded to the plaintiff.</w:t>
      </w:r>
    </w:p>
    <w:p w14:paraId="079A0168" w14:textId="77777777" w:rsidR="00F260D9" w:rsidRPr="00F260D9" w:rsidRDefault="00F260D9" w:rsidP="00EB12E6">
      <w:pPr>
        <w:spacing w:line="360" w:lineRule="auto"/>
        <w:textAlignment w:val="baseline"/>
        <w:rPr>
          <w:rFonts w:eastAsia="Times New Roman" w:cs="Arial"/>
          <w:color w:val="000000" w:themeColor="text1"/>
          <w:szCs w:val="20"/>
        </w:rPr>
      </w:pPr>
    </w:p>
    <w:p w14:paraId="3E395A82" w14:textId="77777777" w:rsidR="00B33748" w:rsidRPr="006B2713" w:rsidRDefault="0099702B" w:rsidP="00B33748">
      <w:pPr>
        <w:spacing w:line="360" w:lineRule="auto"/>
        <w:rPr>
          <w:rFonts w:eastAsia="Times New Roman" w:cs="Arial"/>
          <w:b/>
          <w:bCs/>
          <w:color w:val="3C3030"/>
        </w:rPr>
      </w:pPr>
      <w:r w:rsidRPr="006B2713">
        <w:rPr>
          <w:rFonts w:eastAsia="Times New Roman" w:cs="Arial"/>
          <w:b/>
          <w:bCs/>
          <w:color w:val="3C3030"/>
        </w:rPr>
        <w:t>Strict Liability</w:t>
      </w:r>
    </w:p>
    <w:p w14:paraId="4C332E7B" w14:textId="646A577B"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Strict liability is another theory in which civil liability can arise. Strict liability occurs when the manufacture, possession, or use of inherently dangerous equipment or materials is sufficient to find the possessor/user liable for damages for the harm caused by the equipment or materials</w:t>
      </w:r>
      <w:r w:rsidR="00071DB4">
        <w:rPr>
          <w:rFonts w:eastAsia="Times New Roman" w:cs="Arial"/>
          <w:color w:val="000000" w:themeColor="text1"/>
          <w:szCs w:val="20"/>
        </w:rPr>
        <w:t xml:space="preserve">. No </w:t>
      </w:r>
      <w:r w:rsidRPr="0099702B">
        <w:rPr>
          <w:rFonts w:eastAsia="Times New Roman" w:cs="Arial"/>
          <w:color w:val="000000" w:themeColor="text1"/>
          <w:szCs w:val="20"/>
        </w:rPr>
        <w:t xml:space="preserve">finding of intent, negligence, or fault is required for strict liability to attach. Strict liability most frequently arises in the context of defective manufactured </w:t>
      </w:r>
      <w:r w:rsidR="00C9072A" w:rsidRPr="0099702B">
        <w:rPr>
          <w:rFonts w:eastAsia="Times New Roman" w:cs="Arial"/>
          <w:color w:val="000000" w:themeColor="text1"/>
          <w:szCs w:val="20"/>
        </w:rPr>
        <w:t>products but</w:t>
      </w:r>
      <w:r w:rsidRPr="0099702B">
        <w:rPr>
          <w:rFonts w:eastAsia="Times New Roman" w:cs="Arial"/>
          <w:color w:val="000000" w:themeColor="text1"/>
          <w:szCs w:val="20"/>
        </w:rPr>
        <w:t xml:space="preserve"> can also apply to items like inappropriately used explosives and toxic substances or the possession of wild animals. Potential claims against manufacturers of vaccines, drugs, or medical equipment used in public health emergencies could arise under the theory of strict product liability for defects in the design, manufacturing, or labeling of an item. </w:t>
      </w:r>
      <w:r w:rsidR="009D6CEE">
        <w:rPr>
          <w:rFonts w:eastAsia="Times New Roman" w:cs="Arial"/>
          <w:color w:val="000000" w:themeColor="text1"/>
          <w:szCs w:val="20"/>
        </w:rPr>
        <w:t>A</w:t>
      </w:r>
      <w:r w:rsidR="009D6CEE" w:rsidRPr="0099702B">
        <w:rPr>
          <w:rFonts w:eastAsia="Times New Roman" w:cs="Arial"/>
          <w:color w:val="000000" w:themeColor="text1"/>
          <w:szCs w:val="20"/>
        </w:rPr>
        <w:t xml:space="preserve"> strict liability </w:t>
      </w:r>
      <w:r w:rsidR="00894CDE" w:rsidRPr="0099702B">
        <w:rPr>
          <w:rFonts w:eastAsia="Times New Roman" w:cs="Arial"/>
          <w:color w:val="000000" w:themeColor="text1"/>
          <w:szCs w:val="20"/>
        </w:rPr>
        <w:t>claim</w:t>
      </w:r>
      <w:r w:rsidR="00894CDE">
        <w:rPr>
          <w:rFonts w:eastAsia="Times New Roman" w:cs="Arial"/>
          <w:color w:val="000000" w:themeColor="text1"/>
          <w:szCs w:val="20"/>
        </w:rPr>
        <w:t xml:space="preserve"> </w:t>
      </w:r>
      <w:r w:rsidR="009D6CEE">
        <w:rPr>
          <w:rFonts w:eastAsia="Times New Roman" w:cs="Arial"/>
          <w:color w:val="000000" w:themeColor="text1"/>
          <w:szCs w:val="20"/>
        </w:rPr>
        <w:t xml:space="preserve">against </w:t>
      </w:r>
      <w:r w:rsidR="00FE1703">
        <w:rPr>
          <w:rFonts w:eastAsia="Times New Roman" w:cs="Arial"/>
          <w:color w:val="000000" w:themeColor="text1"/>
          <w:szCs w:val="20"/>
        </w:rPr>
        <w:t xml:space="preserve">a </w:t>
      </w:r>
      <w:r w:rsidR="00C71C3B" w:rsidRPr="0099702B">
        <w:rPr>
          <w:rFonts w:eastAsia="Times New Roman" w:cs="Arial"/>
          <w:color w:val="000000" w:themeColor="text1"/>
          <w:szCs w:val="20"/>
        </w:rPr>
        <w:t>person and entit</w:t>
      </w:r>
      <w:r w:rsidR="00FE1703">
        <w:rPr>
          <w:rFonts w:eastAsia="Times New Roman" w:cs="Arial"/>
          <w:color w:val="000000" w:themeColor="text1"/>
          <w:szCs w:val="20"/>
        </w:rPr>
        <w:t>y</w:t>
      </w:r>
      <w:r w:rsidR="00C71C3B" w:rsidRPr="0099702B">
        <w:rPr>
          <w:rFonts w:eastAsia="Times New Roman" w:cs="Arial"/>
          <w:color w:val="000000" w:themeColor="text1"/>
          <w:szCs w:val="20"/>
        </w:rPr>
        <w:t xml:space="preserve"> involved in </w:t>
      </w:r>
      <w:r w:rsidR="00386CF6">
        <w:rPr>
          <w:rFonts w:eastAsia="Times New Roman" w:cs="Arial"/>
          <w:color w:val="000000" w:themeColor="text1"/>
          <w:szCs w:val="20"/>
        </w:rPr>
        <w:t>an</w:t>
      </w:r>
      <w:r w:rsidR="00C71C3B" w:rsidRPr="0099702B">
        <w:rPr>
          <w:rFonts w:eastAsia="Times New Roman" w:cs="Arial"/>
          <w:color w:val="000000" w:themeColor="text1"/>
          <w:szCs w:val="20"/>
        </w:rPr>
        <w:t xml:space="preserve"> emergency preparedness and response situation </w:t>
      </w:r>
      <w:r w:rsidR="009D6CEE" w:rsidRPr="0099702B">
        <w:rPr>
          <w:rFonts w:eastAsia="Times New Roman" w:cs="Arial"/>
          <w:color w:val="000000" w:themeColor="text1"/>
          <w:szCs w:val="20"/>
        </w:rPr>
        <w:t>is</w:t>
      </w:r>
      <w:r w:rsidR="005B4C33">
        <w:rPr>
          <w:rFonts w:eastAsia="Times New Roman" w:cs="Arial"/>
          <w:color w:val="000000" w:themeColor="text1"/>
          <w:szCs w:val="20"/>
        </w:rPr>
        <w:t xml:space="preserve"> generally</w:t>
      </w:r>
      <w:r w:rsidR="009D6CEE" w:rsidRPr="0099702B">
        <w:rPr>
          <w:rFonts w:eastAsia="Times New Roman" w:cs="Arial"/>
          <w:color w:val="000000" w:themeColor="text1"/>
          <w:szCs w:val="20"/>
        </w:rPr>
        <w:t xml:space="preserve"> </w:t>
      </w:r>
      <w:r w:rsidR="00054F9F">
        <w:rPr>
          <w:rFonts w:eastAsia="Times New Roman" w:cs="Arial"/>
          <w:color w:val="000000" w:themeColor="text1"/>
          <w:szCs w:val="20"/>
        </w:rPr>
        <w:t>unl</w:t>
      </w:r>
      <w:r w:rsidR="009D6CEE" w:rsidRPr="0099702B">
        <w:rPr>
          <w:rFonts w:eastAsia="Times New Roman" w:cs="Arial"/>
          <w:color w:val="000000" w:themeColor="text1"/>
          <w:szCs w:val="20"/>
        </w:rPr>
        <w:t xml:space="preserve">ikely to </w:t>
      </w:r>
      <w:r w:rsidR="00FE1703">
        <w:rPr>
          <w:rFonts w:eastAsia="Times New Roman" w:cs="Arial"/>
          <w:color w:val="000000" w:themeColor="text1"/>
          <w:szCs w:val="20"/>
        </w:rPr>
        <w:t xml:space="preserve">succeed </w:t>
      </w:r>
      <w:r w:rsidR="00CA1D75">
        <w:rPr>
          <w:rFonts w:eastAsia="Times New Roman" w:cs="Arial"/>
          <w:color w:val="000000" w:themeColor="text1"/>
          <w:szCs w:val="20"/>
        </w:rPr>
        <w:t xml:space="preserve">because </w:t>
      </w:r>
      <w:r w:rsidR="009E1E66">
        <w:rPr>
          <w:rFonts w:eastAsia="Times New Roman" w:cs="Arial"/>
          <w:color w:val="000000" w:themeColor="text1"/>
          <w:szCs w:val="20"/>
        </w:rPr>
        <w:t xml:space="preserve">specific </w:t>
      </w:r>
      <w:r w:rsidR="004E082B">
        <w:rPr>
          <w:rFonts w:eastAsia="Times New Roman" w:cs="Arial"/>
          <w:color w:val="000000" w:themeColor="text1"/>
          <w:szCs w:val="20"/>
        </w:rPr>
        <w:t xml:space="preserve">laws have been passed to </w:t>
      </w:r>
      <w:r w:rsidR="00FE1703">
        <w:rPr>
          <w:rFonts w:eastAsia="Times New Roman" w:cs="Arial"/>
          <w:color w:val="000000" w:themeColor="text1"/>
          <w:szCs w:val="20"/>
        </w:rPr>
        <w:t xml:space="preserve">provide immunity for these types of claims and </w:t>
      </w:r>
      <w:r w:rsidR="006308CD">
        <w:rPr>
          <w:rFonts w:eastAsia="Times New Roman" w:cs="Arial"/>
          <w:color w:val="000000" w:themeColor="text1"/>
          <w:szCs w:val="20"/>
        </w:rPr>
        <w:t xml:space="preserve">may </w:t>
      </w:r>
      <w:r w:rsidR="00FE1703">
        <w:rPr>
          <w:rFonts w:eastAsia="Times New Roman" w:cs="Arial"/>
          <w:color w:val="000000" w:themeColor="text1"/>
          <w:szCs w:val="20"/>
        </w:rPr>
        <w:t xml:space="preserve">provide compensation for injured parties through </w:t>
      </w:r>
      <w:r w:rsidR="00BC4BBB">
        <w:rPr>
          <w:rFonts w:eastAsia="Times New Roman" w:cs="Arial"/>
          <w:color w:val="000000" w:themeColor="text1"/>
          <w:szCs w:val="20"/>
        </w:rPr>
        <w:t>funds specifically allocated</w:t>
      </w:r>
      <w:r w:rsidR="006308CD">
        <w:rPr>
          <w:rFonts w:eastAsia="Times New Roman" w:cs="Arial"/>
          <w:color w:val="000000" w:themeColor="text1"/>
          <w:szCs w:val="20"/>
        </w:rPr>
        <w:t xml:space="preserve"> for that purpose</w:t>
      </w:r>
      <w:r w:rsidR="00FE1703">
        <w:rPr>
          <w:rFonts w:eastAsia="Times New Roman" w:cs="Arial"/>
          <w:color w:val="000000" w:themeColor="text1"/>
          <w:szCs w:val="20"/>
        </w:rPr>
        <w:t xml:space="preserve">. </w:t>
      </w:r>
      <w:r w:rsidR="00FC6CC3">
        <w:rPr>
          <w:rFonts w:eastAsia="Times New Roman" w:cs="Arial"/>
          <w:color w:val="000000" w:themeColor="text1"/>
          <w:szCs w:val="20"/>
        </w:rPr>
        <w:t>For example, t</w:t>
      </w:r>
      <w:r w:rsidR="00FE1703" w:rsidRPr="0099702B">
        <w:rPr>
          <w:rFonts w:eastAsia="Times New Roman" w:cs="Arial"/>
          <w:color w:val="000000" w:themeColor="text1"/>
          <w:szCs w:val="20"/>
        </w:rPr>
        <w:t xml:space="preserve">he Public Readiness and Emergency Preparedness Act (PREP Act) </w:t>
      </w:r>
      <w:r w:rsidR="00B90872">
        <w:rPr>
          <w:rFonts w:eastAsia="Times New Roman" w:cs="Arial"/>
          <w:color w:val="000000" w:themeColor="text1"/>
          <w:szCs w:val="20"/>
        </w:rPr>
        <w:t xml:space="preserve">provides </w:t>
      </w:r>
      <w:r w:rsidR="00FE1703" w:rsidRPr="0099702B">
        <w:rPr>
          <w:rFonts w:eastAsia="Times New Roman" w:cs="Arial"/>
          <w:color w:val="000000" w:themeColor="text1"/>
          <w:szCs w:val="20"/>
        </w:rPr>
        <w:t xml:space="preserve">immunity from tort liability for claims of loss caused by the manufacture, testing, distribution, administration, and use of </w:t>
      </w:r>
      <w:r w:rsidR="00B90872">
        <w:rPr>
          <w:rFonts w:eastAsia="Times New Roman" w:cs="Arial"/>
          <w:color w:val="000000" w:themeColor="text1"/>
          <w:szCs w:val="20"/>
        </w:rPr>
        <w:t xml:space="preserve">medical </w:t>
      </w:r>
      <w:r w:rsidR="00FE1703" w:rsidRPr="0099702B">
        <w:rPr>
          <w:rFonts w:eastAsia="Times New Roman" w:cs="Arial"/>
          <w:color w:val="000000" w:themeColor="text1"/>
          <w:szCs w:val="20"/>
        </w:rPr>
        <w:t>countermeasures</w:t>
      </w:r>
      <w:r w:rsidR="00CE376E">
        <w:rPr>
          <w:rFonts w:eastAsia="Times New Roman" w:cs="Arial"/>
          <w:color w:val="000000" w:themeColor="text1"/>
          <w:szCs w:val="20"/>
        </w:rPr>
        <w:t xml:space="preserve"> (e.g., vaccines, drugs, products)</w:t>
      </w:r>
      <w:r w:rsidR="00730B39">
        <w:rPr>
          <w:rFonts w:eastAsia="Times New Roman" w:cs="Arial"/>
          <w:color w:val="000000" w:themeColor="text1"/>
          <w:szCs w:val="20"/>
        </w:rPr>
        <w:t xml:space="preserve"> </w:t>
      </w:r>
      <w:r w:rsidR="00FD019A">
        <w:rPr>
          <w:rFonts w:eastAsia="Times New Roman" w:cs="Arial"/>
          <w:color w:val="000000" w:themeColor="text1"/>
          <w:szCs w:val="20"/>
        </w:rPr>
        <w:t xml:space="preserve">against diseases or other threats </w:t>
      </w:r>
      <w:r w:rsidR="00207476">
        <w:rPr>
          <w:rFonts w:eastAsia="Times New Roman" w:cs="Arial"/>
          <w:color w:val="000000" w:themeColor="text1"/>
          <w:szCs w:val="20"/>
        </w:rPr>
        <w:t>in a public health emergency</w:t>
      </w:r>
      <w:r w:rsidR="00FE1703" w:rsidRPr="0099702B">
        <w:rPr>
          <w:rFonts w:eastAsia="Times New Roman" w:cs="Arial"/>
          <w:color w:val="000000" w:themeColor="text1"/>
          <w:szCs w:val="20"/>
        </w:rPr>
        <w:t>.</w:t>
      </w:r>
      <w:r w:rsidR="00207476">
        <w:rPr>
          <w:rStyle w:val="FootnoteReference"/>
          <w:rFonts w:eastAsia="Times New Roman" w:cs="Arial"/>
          <w:color w:val="000000" w:themeColor="text1"/>
          <w:szCs w:val="20"/>
        </w:rPr>
        <w:footnoteReference w:id="11"/>
      </w:r>
      <w:r w:rsidR="00E05BC4">
        <w:rPr>
          <w:rFonts w:eastAsia="Times New Roman" w:cs="Arial"/>
          <w:color w:val="000000" w:themeColor="text1"/>
          <w:szCs w:val="20"/>
        </w:rPr>
        <w:t xml:space="preserve"> </w:t>
      </w:r>
      <w:r w:rsidR="00B21D84">
        <w:rPr>
          <w:rFonts w:eastAsia="Times New Roman" w:cs="Arial"/>
          <w:color w:val="000000" w:themeColor="text1"/>
          <w:szCs w:val="20"/>
        </w:rPr>
        <w:t xml:space="preserve">The PREP Act also authorizes the Countermeasures Injury Compensation Program to provide compensation for injuries directly caused by administration or use of a </w:t>
      </w:r>
      <w:r w:rsidR="008160E4">
        <w:rPr>
          <w:rFonts w:eastAsia="Times New Roman" w:cs="Arial"/>
          <w:color w:val="000000" w:themeColor="text1"/>
          <w:szCs w:val="20"/>
        </w:rPr>
        <w:t xml:space="preserve">covered </w:t>
      </w:r>
      <w:r w:rsidR="00B21D84">
        <w:rPr>
          <w:rFonts w:eastAsia="Times New Roman" w:cs="Arial"/>
          <w:color w:val="000000" w:themeColor="text1"/>
          <w:szCs w:val="20"/>
        </w:rPr>
        <w:t>countermeasure</w:t>
      </w:r>
      <w:r w:rsidR="008160E4">
        <w:rPr>
          <w:rFonts w:eastAsia="Times New Roman" w:cs="Arial"/>
          <w:color w:val="000000" w:themeColor="text1"/>
          <w:szCs w:val="20"/>
        </w:rPr>
        <w:t>s.</w:t>
      </w:r>
      <w:r w:rsidR="008160E4">
        <w:rPr>
          <w:rStyle w:val="FootnoteReference"/>
          <w:rFonts w:eastAsia="Times New Roman" w:cs="Arial"/>
          <w:color w:val="000000" w:themeColor="text1"/>
          <w:szCs w:val="20"/>
        </w:rPr>
        <w:footnoteReference w:id="12"/>
      </w:r>
      <w:r w:rsidR="00B21D84">
        <w:rPr>
          <w:rFonts w:eastAsia="Times New Roman" w:cs="Arial"/>
          <w:color w:val="000000" w:themeColor="text1"/>
          <w:szCs w:val="20"/>
        </w:rPr>
        <w:t xml:space="preserve"> </w:t>
      </w:r>
      <w:r w:rsidR="00807718">
        <w:rPr>
          <w:rFonts w:eastAsia="Times New Roman" w:cs="Arial"/>
          <w:color w:val="000000" w:themeColor="text1"/>
          <w:szCs w:val="20"/>
        </w:rPr>
        <w:t>A</w:t>
      </w:r>
      <w:r w:rsidR="00807718" w:rsidRPr="0099702B">
        <w:rPr>
          <w:rFonts w:eastAsia="Times New Roman" w:cs="Arial"/>
          <w:color w:val="000000" w:themeColor="text1"/>
          <w:szCs w:val="20"/>
        </w:rPr>
        <w:t xml:space="preserve">s with all legal claims, </w:t>
      </w:r>
      <w:r w:rsidR="00807718">
        <w:rPr>
          <w:rFonts w:eastAsia="Times New Roman" w:cs="Arial"/>
          <w:color w:val="000000" w:themeColor="text1"/>
          <w:szCs w:val="20"/>
        </w:rPr>
        <w:t xml:space="preserve">however, </w:t>
      </w:r>
      <w:r w:rsidR="00807718" w:rsidRPr="0099702B">
        <w:rPr>
          <w:rFonts w:eastAsia="Times New Roman" w:cs="Arial"/>
          <w:color w:val="000000" w:themeColor="text1"/>
          <w:szCs w:val="20"/>
        </w:rPr>
        <w:t>the legal theories put forth and the outcome of a case depends on the facts in that particular case.</w:t>
      </w:r>
    </w:p>
    <w:p w14:paraId="0A800ECC" w14:textId="77777777" w:rsidR="00F260D9" w:rsidRPr="00F260D9" w:rsidRDefault="00F260D9" w:rsidP="00EB12E6">
      <w:pPr>
        <w:spacing w:line="360" w:lineRule="auto"/>
        <w:rPr>
          <w:rFonts w:eastAsia="Times New Roman" w:cs="Arial"/>
          <w:b/>
          <w:bCs/>
          <w:color w:val="000000" w:themeColor="text1"/>
          <w:sz w:val="28"/>
          <w:szCs w:val="24"/>
        </w:rPr>
      </w:pPr>
    </w:p>
    <w:p w14:paraId="2FF888AC" w14:textId="4F02C9CD"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lastRenderedPageBreak/>
        <w:t>Statutory and Regulatory Violation</w:t>
      </w:r>
      <w:r w:rsidR="006B2713">
        <w:rPr>
          <w:rFonts w:eastAsia="Times New Roman" w:cs="Arial"/>
          <w:b/>
          <w:bCs/>
          <w:color w:val="3C3030"/>
          <w:sz w:val="24"/>
          <w:szCs w:val="24"/>
        </w:rPr>
        <w:t>s</w:t>
      </w:r>
    </w:p>
    <w:p w14:paraId="4E4C3682" w14:textId="4DA18439" w:rsid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Statutes and regulations establish legal requirements for persons and entities. Violations of statutes and regulations can give rise to charges made by a governmental entity of criminal, civil, and administrative wrongs. To the extent that federal and state governments have waived sovereign</w:t>
      </w:r>
      <w:r w:rsidR="002B0261">
        <w:rPr>
          <w:rFonts w:eastAsia="Times New Roman" w:cs="Arial"/>
          <w:color w:val="000000" w:themeColor="text1"/>
          <w:szCs w:val="20"/>
        </w:rPr>
        <w:t>/governmental</w:t>
      </w:r>
      <w:r w:rsidRPr="0099702B">
        <w:rPr>
          <w:rFonts w:eastAsia="Times New Roman" w:cs="Arial"/>
          <w:color w:val="000000" w:themeColor="text1"/>
          <w:szCs w:val="20"/>
        </w:rPr>
        <w:t xml:space="preserve"> immunity, governments and officials in their individual capacities may be subject to lawsuits for statutory or regulatory violations. In addition to the right of </w:t>
      </w:r>
      <w:r w:rsidR="007C1813">
        <w:rPr>
          <w:rFonts w:eastAsia="Times New Roman" w:cs="Arial"/>
          <w:color w:val="000000" w:themeColor="text1"/>
          <w:szCs w:val="20"/>
        </w:rPr>
        <w:t xml:space="preserve">individual persons </w:t>
      </w:r>
      <w:r w:rsidRPr="0099702B">
        <w:rPr>
          <w:rFonts w:eastAsia="Times New Roman" w:cs="Arial"/>
          <w:color w:val="000000" w:themeColor="text1"/>
          <w:szCs w:val="20"/>
        </w:rPr>
        <w:t>to bring contractual and tort-based claims, state and federal laws may also specifically allow individual persons and entities to sue others based on violations of statutes or regulations (known as a private cause of action).</w:t>
      </w:r>
    </w:p>
    <w:p w14:paraId="49ADAA05" w14:textId="77777777" w:rsidR="00B33748" w:rsidRDefault="00B33748" w:rsidP="00B33748">
      <w:pPr>
        <w:spacing w:line="360" w:lineRule="auto"/>
        <w:rPr>
          <w:rFonts w:eastAsia="Times New Roman" w:cs="Arial"/>
          <w:b/>
          <w:bCs/>
          <w:color w:val="3C3030"/>
          <w:sz w:val="24"/>
          <w:szCs w:val="24"/>
        </w:rPr>
      </w:pPr>
    </w:p>
    <w:p w14:paraId="4B6CC152" w14:textId="37E2BE9E" w:rsidR="00F260D9"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There are many potential areas in which state and federal statutory and regulatory requirements could be intentionally or inadvertently violated during an emergency response scenario. Governors have the authority to temporarily waive or suspend regulatory and potentially some statutory requirements during a declared state </w:t>
      </w:r>
      <w:r w:rsidRPr="00201ACC">
        <w:rPr>
          <w:rFonts w:eastAsia="Times New Roman" w:cs="Arial"/>
          <w:color w:val="000000" w:themeColor="text1"/>
          <w:szCs w:val="20"/>
        </w:rPr>
        <w:t>emergency</w:t>
      </w:r>
      <w:r w:rsidRPr="0099702B">
        <w:rPr>
          <w:rFonts w:eastAsia="Times New Roman" w:cs="Arial"/>
          <w:color w:val="000000" w:themeColor="text1"/>
          <w:szCs w:val="20"/>
        </w:rPr>
        <w:t>. Similarly, the HHS secretary is authorized under Social Security Act (SSA) Section 1135 to waive certain requirements during public health emergencies.</w:t>
      </w:r>
      <w:r w:rsidR="00CE66BD">
        <w:rPr>
          <w:rStyle w:val="FootnoteReference"/>
          <w:rFonts w:eastAsia="Times New Roman" w:cs="Arial"/>
          <w:color w:val="000000" w:themeColor="text1"/>
          <w:szCs w:val="20"/>
        </w:rPr>
        <w:footnoteReference w:id="13"/>
      </w:r>
      <w:r w:rsidRPr="0099702B">
        <w:rPr>
          <w:rFonts w:eastAsia="Times New Roman" w:cs="Arial"/>
          <w:color w:val="000000" w:themeColor="text1"/>
          <w:szCs w:val="20"/>
        </w:rPr>
        <w:t xml:space="preserve"> Under their waiver authorities, states can evaluate which requirements to retain and which to temporarily suspend to ease compliance and facilitate response and recovery efforts. Several potential areas in which claims arising from violations of federal and state statutes and regulations may occur during emergencies are discussed below. This discussion, however, does not represent a comprehensive treatment of these and other potential issues. </w:t>
      </w:r>
    </w:p>
    <w:p w14:paraId="65D21233" w14:textId="77777777" w:rsidR="00B33748" w:rsidRPr="00B33748" w:rsidRDefault="00B33748" w:rsidP="00B33748">
      <w:pPr>
        <w:spacing w:line="360" w:lineRule="auto"/>
        <w:rPr>
          <w:rFonts w:eastAsia="Times New Roman" w:cs="Arial"/>
          <w:b/>
          <w:bCs/>
          <w:color w:val="3C3030"/>
          <w:sz w:val="24"/>
          <w:szCs w:val="24"/>
        </w:rPr>
      </w:pPr>
    </w:p>
    <w:p w14:paraId="4FA6C5C8"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Statutory and Regulatory Violations</w:t>
      </w:r>
    </w:p>
    <w:p w14:paraId="7DCBE61A" w14:textId="77777777" w:rsidR="00745928" w:rsidRPr="006B2713" w:rsidRDefault="0099702B" w:rsidP="006B2713">
      <w:pPr>
        <w:pStyle w:val="ListParagraph"/>
        <w:numPr>
          <w:ilvl w:val="0"/>
          <w:numId w:val="26"/>
        </w:numPr>
        <w:spacing w:line="360" w:lineRule="auto"/>
        <w:rPr>
          <w:rFonts w:eastAsia="Times New Roman" w:cs="Arial"/>
          <w:color w:val="000000" w:themeColor="text1"/>
          <w:szCs w:val="20"/>
        </w:rPr>
      </w:pPr>
      <w:r w:rsidRPr="006B2713">
        <w:rPr>
          <w:rFonts w:eastAsia="Times New Roman" w:cs="Arial"/>
          <w:b/>
          <w:bCs/>
          <w:color w:val="000000" w:themeColor="text1"/>
          <w:szCs w:val="20"/>
          <w:bdr w:val="none" w:sz="0" w:space="0" w:color="auto" w:frame="1"/>
        </w:rPr>
        <w:t>Section 1983 Civil Rights Violation.</w:t>
      </w:r>
      <w:r w:rsidR="00531E77" w:rsidRPr="006B2713">
        <w:rPr>
          <w:rFonts w:eastAsia="Times New Roman" w:cs="Arial"/>
          <w:b/>
          <w:bCs/>
          <w:color w:val="000000" w:themeColor="text1"/>
          <w:szCs w:val="20"/>
          <w:bdr w:val="none" w:sz="0" w:space="0" w:color="auto" w:frame="1"/>
        </w:rPr>
        <w:t xml:space="preserve"> </w:t>
      </w:r>
      <w:r w:rsidRPr="006B2713">
        <w:rPr>
          <w:rFonts w:eastAsia="Times New Roman" w:cs="Arial"/>
          <w:color w:val="000000" w:themeColor="text1"/>
          <w:szCs w:val="20"/>
        </w:rPr>
        <w:t>42 U.S.C. Section 1983, which addresses civil actions for deprivation of rights, could be used as a basis to allege civil rights violations in the context of an emergency response scenario. Local, state, and federal officials can be sued in their individual capacities if they used their position to deprive individuals of their U.S. Constitutional and other legal rights. State governments as entities are protected from Section 1983 claims by the 11th Amendment to the Constitution, which prohibits lawsuits against state governmental entities by private individuals. Local governments as entities can be sued under Section 1983 because they are not covered by 11th Amendment protections.</w:t>
      </w:r>
    </w:p>
    <w:p w14:paraId="5B434C6E" w14:textId="77777777" w:rsidR="00745928" w:rsidRDefault="00745928" w:rsidP="00B33748">
      <w:pPr>
        <w:spacing w:line="360" w:lineRule="auto"/>
        <w:rPr>
          <w:rFonts w:eastAsia="Times New Roman" w:cs="Arial"/>
          <w:color w:val="000000" w:themeColor="text1"/>
          <w:szCs w:val="20"/>
        </w:rPr>
      </w:pPr>
    </w:p>
    <w:p w14:paraId="2EFAD067" w14:textId="43EF4DC2" w:rsidR="00865B0B" w:rsidRPr="006B2713" w:rsidRDefault="0099702B" w:rsidP="006B2713">
      <w:pPr>
        <w:pStyle w:val="ListParagraph"/>
        <w:numPr>
          <w:ilvl w:val="0"/>
          <w:numId w:val="26"/>
        </w:numPr>
        <w:spacing w:line="360" w:lineRule="auto"/>
        <w:rPr>
          <w:rFonts w:eastAsia="Times New Roman" w:cs="Arial"/>
          <w:color w:val="000000" w:themeColor="text1"/>
          <w:szCs w:val="20"/>
        </w:rPr>
      </w:pPr>
      <w:r w:rsidRPr="006B2713">
        <w:rPr>
          <w:rFonts w:eastAsia="Times New Roman" w:cs="Arial"/>
          <w:b/>
          <w:bCs/>
          <w:color w:val="000000" w:themeColor="text1"/>
          <w:szCs w:val="20"/>
          <w:bdr w:val="none" w:sz="0" w:space="0" w:color="auto" w:frame="1"/>
        </w:rPr>
        <w:lastRenderedPageBreak/>
        <w:t>Americans with Disabilities Act (ADA).</w:t>
      </w:r>
      <w:r w:rsidR="00745928" w:rsidRPr="006B2713">
        <w:rPr>
          <w:rFonts w:eastAsia="Times New Roman" w:cs="Arial"/>
          <w:color w:val="000000" w:themeColor="text1"/>
          <w:szCs w:val="20"/>
        </w:rPr>
        <w:t xml:space="preserve"> </w:t>
      </w:r>
      <w:r w:rsidRPr="006B2713">
        <w:rPr>
          <w:rFonts w:eastAsia="Times New Roman" w:cs="Arial"/>
          <w:color w:val="000000" w:themeColor="text1"/>
          <w:szCs w:val="20"/>
        </w:rPr>
        <w:t>The Americans with Disabilities Act (ADA) prohibits discrimination based on disability in the areas of employment, public services, public accommodations, commercial facilities, transportation, and telecommunications.</w:t>
      </w:r>
      <w:r w:rsidR="00F4339B">
        <w:rPr>
          <w:rStyle w:val="FootnoteReference"/>
          <w:rFonts w:eastAsia="Times New Roman" w:cs="Arial"/>
          <w:color w:val="000000" w:themeColor="text1"/>
          <w:szCs w:val="20"/>
        </w:rPr>
        <w:footnoteReference w:id="14"/>
      </w:r>
      <w:r w:rsidRPr="006B2713">
        <w:rPr>
          <w:rFonts w:eastAsia="Times New Roman" w:cs="Arial"/>
          <w:color w:val="000000" w:themeColor="text1"/>
          <w:szCs w:val="20"/>
        </w:rPr>
        <w:t xml:space="preserve"> Specifically, ADA Title II (public services/transportation) and Title III (public accommodations/transportation) require that persons with disabilities be entitled to equal opportunity to access and benefit from these services. There is a private cause of action in the ADA, which has been interpreted by the U.S. Supreme Court to apply to state governments </w:t>
      </w:r>
      <w:r w:rsidR="006769E2" w:rsidRPr="006B2713">
        <w:rPr>
          <w:rFonts w:eastAsia="Times New Roman" w:cs="Arial"/>
          <w:color w:val="000000" w:themeColor="text1"/>
          <w:szCs w:val="20"/>
        </w:rPr>
        <w:t>despite</w:t>
      </w:r>
      <w:r w:rsidRPr="006B2713">
        <w:rPr>
          <w:rFonts w:eastAsia="Times New Roman" w:cs="Arial"/>
          <w:color w:val="000000" w:themeColor="text1"/>
          <w:szCs w:val="20"/>
        </w:rPr>
        <w:t xml:space="preserve"> 11th Amendment immunity protections. Entities required to comply with the ADA can assert that accommodating persons with disabilities would cause an undue hardship, which generally means an imposition of significant difficulty or expense relative to the operation of a program or service. Where a </w:t>
      </w:r>
      <w:r w:rsidR="009D2B18" w:rsidRPr="006B2713">
        <w:rPr>
          <w:rFonts w:eastAsia="Times New Roman" w:cs="Arial"/>
          <w:color w:val="000000" w:themeColor="text1"/>
          <w:szCs w:val="20"/>
        </w:rPr>
        <w:t>specific accommodation</w:t>
      </w:r>
      <w:r w:rsidRPr="006B2713">
        <w:rPr>
          <w:rFonts w:eastAsia="Times New Roman" w:cs="Arial"/>
          <w:color w:val="000000" w:themeColor="text1"/>
          <w:szCs w:val="20"/>
        </w:rPr>
        <w:t xml:space="preserve"> would result in an undue hardship, an entity must determine if another accommodation is available that would not result in an undue hardship. The Pandemic and All-Hazards Preparedness Act (PAHPA) required, among other things, that the HHS secretary consider the needs of at-risk and special populations when planning for and responding to emergencies</w:t>
      </w:r>
      <w:r w:rsidR="00210DAA">
        <w:rPr>
          <w:rFonts w:eastAsia="Times New Roman" w:cs="Arial"/>
          <w:color w:val="000000" w:themeColor="text1"/>
          <w:szCs w:val="20"/>
        </w:rPr>
        <w:t>.</w:t>
      </w:r>
      <w:r w:rsidR="00705BCA">
        <w:rPr>
          <w:rStyle w:val="FootnoteReference"/>
          <w:rFonts w:eastAsia="Times New Roman" w:cs="Arial"/>
          <w:color w:val="000000" w:themeColor="text1"/>
          <w:szCs w:val="20"/>
        </w:rPr>
        <w:footnoteReference w:id="15"/>
      </w:r>
      <w:r w:rsidRPr="006B2713">
        <w:rPr>
          <w:rFonts w:eastAsia="Times New Roman" w:cs="Arial"/>
          <w:color w:val="000000" w:themeColor="text1"/>
          <w:szCs w:val="20"/>
        </w:rPr>
        <w:t xml:space="preserve"> Federal preparedness grants to states and localities require that the needs of at-risk and special populations </w:t>
      </w:r>
      <w:r w:rsidR="00296A86">
        <w:rPr>
          <w:rFonts w:eastAsia="Times New Roman" w:cs="Arial"/>
          <w:color w:val="000000" w:themeColor="text1"/>
          <w:szCs w:val="20"/>
        </w:rPr>
        <w:t>be</w:t>
      </w:r>
      <w:r w:rsidRPr="006B2713">
        <w:rPr>
          <w:rFonts w:eastAsia="Times New Roman" w:cs="Arial"/>
          <w:color w:val="000000" w:themeColor="text1"/>
          <w:szCs w:val="20"/>
        </w:rPr>
        <w:t xml:space="preserve"> likewise considered in their emergency preparedness and response activities.</w:t>
      </w:r>
    </w:p>
    <w:p w14:paraId="64911794" w14:textId="77777777" w:rsidR="00865B0B" w:rsidRDefault="00865B0B" w:rsidP="00B33748">
      <w:pPr>
        <w:spacing w:line="360" w:lineRule="auto"/>
        <w:rPr>
          <w:rFonts w:eastAsia="Times New Roman" w:cs="Arial"/>
          <w:color w:val="000000" w:themeColor="text1"/>
          <w:szCs w:val="20"/>
        </w:rPr>
      </w:pPr>
    </w:p>
    <w:p w14:paraId="6271F819" w14:textId="06976892" w:rsidR="00B33748" w:rsidRPr="006B2713" w:rsidRDefault="0099702B" w:rsidP="006B2713">
      <w:pPr>
        <w:pStyle w:val="ListParagraph"/>
        <w:numPr>
          <w:ilvl w:val="0"/>
          <w:numId w:val="26"/>
        </w:numPr>
        <w:spacing w:line="360" w:lineRule="auto"/>
        <w:rPr>
          <w:rFonts w:eastAsia="Times New Roman" w:cs="Arial"/>
          <w:b/>
          <w:bCs/>
          <w:color w:val="000000" w:themeColor="text1"/>
          <w:szCs w:val="20"/>
        </w:rPr>
      </w:pPr>
      <w:r w:rsidRPr="006B2713">
        <w:rPr>
          <w:rFonts w:eastAsia="Times New Roman" w:cs="Arial"/>
          <w:b/>
          <w:bCs/>
          <w:color w:val="000000" w:themeColor="text1"/>
          <w:szCs w:val="20"/>
          <w:bdr w:val="none" w:sz="0" w:space="0" w:color="auto" w:frame="1"/>
        </w:rPr>
        <w:t>Emergency Medical Treatment and Active Labor Act (EMTALA).</w:t>
      </w:r>
      <w:r w:rsidR="00F01F60" w:rsidRPr="006B2713">
        <w:rPr>
          <w:rFonts w:eastAsia="Times New Roman" w:cs="Arial"/>
          <w:color w:val="000000" w:themeColor="text1"/>
          <w:szCs w:val="20"/>
        </w:rPr>
        <w:t xml:space="preserve"> </w:t>
      </w:r>
      <w:r w:rsidRPr="006B2713">
        <w:rPr>
          <w:rFonts w:eastAsia="Times New Roman" w:cs="Arial"/>
          <w:color w:val="000000" w:themeColor="text1"/>
          <w:szCs w:val="20"/>
        </w:rPr>
        <w:t>EMTALA requires that hospital emergency rooms screen all patients who seek care for emergency medical conditions regardless of the patients’ ability to pay or citizenship status.</w:t>
      </w:r>
      <w:r w:rsidR="00F01F60">
        <w:rPr>
          <w:rStyle w:val="FootnoteReference"/>
          <w:rFonts w:eastAsia="Times New Roman" w:cs="Arial"/>
          <w:color w:val="000000" w:themeColor="text1"/>
          <w:szCs w:val="20"/>
        </w:rPr>
        <w:footnoteReference w:id="16"/>
      </w:r>
      <w:r w:rsidRPr="006B2713">
        <w:rPr>
          <w:rFonts w:eastAsia="Times New Roman" w:cs="Arial"/>
          <w:color w:val="000000" w:themeColor="text1"/>
          <w:szCs w:val="20"/>
        </w:rPr>
        <w:t xml:space="preserve"> The act applies to hospitals that participate in Medicare and allows for administrative penalties and a private cause of action for individuals. When there has been a public health emergency determination under </w:t>
      </w:r>
      <w:r w:rsidR="00A93A63" w:rsidRPr="006B2713">
        <w:rPr>
          <w:rFonts w:eastAsia="Times New Roman" w:cs="Arial"/>
          <w:color w:val="000000" w:themeColor="text1"/>
          <w:szCs w:val="20"/>
        </w:rPr>
        <w:t>s</w:t>
      </w:r>
      <w:r w:rsidRPr="006B2713">
        <w:rPr>
          <w:rFonts w:eastAsia="Times New Roman" w:cs="Arial"/>
          <w:color w:val="000000" w:themeColor="text1"/>
          <w:szCs w:val="20"/>
        </w:rPr>
        <w:t>ection 319 of the Public Health Service Act</w:t>
      </w:r>
      <w:r w:rsidR="00775CAE">
        <w:rPr>
          <w:rStyle w:val="FootnoteReference"/>
          <w:rFonts w:eastAsia="Times New Roman" w:cs="Arial"/>
          <w:color w:val="000000" w:themeColor="text1"/>
          <w:szCs w:val="20"/>
        </w:rPr>
        <w:footnoteReference w:id="17"/>
      </w:r>
      <w:r w:rsidR="00E1401D" w:rsidRPr="006B2713">
        <w:rPr>
          <w:rFonts w:eastAsia="Times New Roman" w:cs="Arial"/>
          <w:color w:val="000000" w:themeColor="text1"/>
          <w:szCs w:val="20"/>
        </w:rPr>
        <w:t xml:space="preserve"> and </w:t>
      </w:r>
      <w:r w:rsidR="00307B99" w:rsidRPr="006B2713">
        <w:rPr>
          <w:rFonts w:eastAsia="Times New Roman" w:cs="Arial"/>
          <w:color w:val="000000" w:themeColor="text1"/>
          <w:szCs w:val="20"/>
        </w:rPr>
        <w:t xml:space="preserve">a declaration by the U.S. President </w:t>
      </w:r>
      <w:r w:rsidR="00E1401D" w:rsidRPr="006B2713">
        <w:rPr>
          <w:rFonts w:eastAsia="Times New Roman" w:cs="Arial"/>
          <w:color w:val="000000" w:themeColor="text1"/>
          <w:szCs w:val="20"/>
        </w:rPr>
        <w:t xml:space="preserve">under </w:t>
      </w:r>
      <w:r w:rsidR="00775CAE" w:rsidRPr="006B2713">
        <w:rPr>
          <w:rFonts w:eastAsia="Times New Roman" w:cs="Arial"/>
          <w:color w:val="000000" w:themeColor="text1"/>
          <w:szCs w:val="20"/>
        </w:rPr>
        <w:t xml:space="preserve">either </w:t>
      </w:r>
      <w:r w:rsidR="00E1401D" w:rsidRPr="006B2713">
        <w:rPr>
          <w:rFonts w:eastAsia="Times New Roman" w:cs="Arial"/>
          <w:color w:val="000000" w:themeColor="text1"/>
          <w:szCs w:val="20"/>
        </w:rPr>
        <w:t>the National Emergencies Act</w:t>
      </w:r>
      <w:r w:rsidR="00775CAE">
        <w:rPr>
          <w:rStyle w:val="FootnoteReference"/>
          <w:rFonts w:eastAsia="Times New Roman" w:cs="Arial"/>
          <w:color w:val="000000" w:themeColor="text1"/>
          <w:szCs w:val="20"/>
        </w:rPr>
        <w:footnoteReference w:id="18"/>
      </w:r>
      <w:r w:rsidR="00E1401D" w:rsidRPr="006B2713">
        <w:rPr>
          <w:rFonts w:eastAsia="Times New Roman" w:cs="Arial"/>
          <w:color w:val="000000" w:themeColor="text1"/>
          <w:szCs w:val="20"/>
        </w:rPr>
        <w:t xml:space="preserve"> or the Stafford Act</w:t>
      </w:r>
      <w:r w:rsidR="00775CAE">
        <w:rPr>
          <w:rStyle w:val="FootnoteReference"/>
          <w:rFonts w:eastAsia="Times New Roman" w:cs="Arial"/>
          <w:color w:val="000000" w:themeColor="text1"/>
          <w:szCs w:val="20"/>
        </w:rPr>
        <w:footnoteReference w:id="19"/>
      </w:r>
      <w:r w:rsidRPr="006B2713">
        <w:rPr>
          <w:rFonts w:eastAsia="Times New Roman" w:cs="Arial"/>
          <w:color w:val="000000" w:themeColor="text1"/>
          <w:szCs w:val="20"/>
        </w:rPr>
        <w:t xml:space="preserve">, the HHS secretary can use SSA </w:t>
      </w:r>
      <w:r w:rsidR="00A93A63" w:rsidRPr="006B2713">
        <w:rPr>
          <w:rFonts w:eastAsia="Times New Roman" w:cs="Arial"/>
          <w:color w:val="000000" w:themeColor="text1"/>
          <w:szCs w:val="20"/>
        </w:rPr>
        <w:t>s</w:t>
      </w:r>
      <w:r w:rsidRPr="006B2713">
        <w:rPr>
          <w:rFonts w:eastAsia="Times New Roman" w:cs="Arial"/>
          <w:color w:val="000000" w:themeColor="text1"/>
          <w:szCs w:val="20"/>
        </w:rPr>
        <w:t xml:space="preserve">ection 1135 to temporarily waive or suspend certain EMTALA requirements. However, these waivers expire within 72 hours before full compliance is again required. When a public health emergency involves a pandemic infectious </w:t>
      </w:r>
      <w:r w:rsidRPr="006B2713">
        <w:rPr>
          <w:rFonts w:eastAsia="Times New Roman" w:cs="Arial"/>
          <w:color w:val="000000" w:themeColor="text1"/>
          <w:szCs w:val="20"/>
        </w:rPr>
        <w:lastRenderedPageBreak/>
        <w:t>disease, waivers of EMTALA sanctions can extend through the duration of the public health emergency.</w:t>
      </w:r>
    </w:p>
    <w:p w14:paraId="635765FC" w14:textId="77777777" w:rsidR="00B33748" w:rsidRDefault="00B33748" w:rsidP="00B33748">
      <w:pPr>
        <w:spacing w:line="360" w:lineRule="auto"/>
        <w:rPr>
          <w:rFonts w:eastAsia="Times New Roman" w:cs="Arial"/>
          <w:b/>
          <w:bCs/>
          <w:color w:val="000000" w:themeColor="text1"/>
          <w:szCs w:val="20"/>
        </w:rPr>
      </w:pPr>
    </w:p>
    <w:p w14:paraId="72D40ED0" w14:textId="0CACD906" w:rsidR="00F260D9" w:rsidRPr="006B2713" w:rsidRDefault="0099702B" w:rsidP="006B2713">
      <w:pPr>
        <w:pStyle w:val="ListParagraph"/>
        <w:numPr>
          <w:ilvl w:val="0"/>
          <w:numId w:val="26"/>
        </w:numPr>
        <w:spacing w:line="360" w:lineRule="auto"/>
        <w:rPr>
          <w:rFonts w:eastAsia="Times New Roman" w:cs="Arial"/>
          <w:b/>
          <w:bCs/>
          <w:color w:val="000000" w:themeColor="text1"/>
          <w:szCs w:val="20"/>
        </w:rPr>
      </w:pPr>
      <w:r w:rsidRPr="006B2713">
        <w:rPr>
          <w:rFonts w:eastAsia="Times New Roman" w:cs="Arial"/>
          <w:b/>
          <w:bCs/>
          <w:color w:val="000000" w:themeColor="text1"/>
          <w:szCs w:val="20"/>
          <w:bdr w:val="none" w:sz="0" w:space="0" w:color="auto" w:frame="1"/>
        </w:rPr>
        <w:t>Health Insurance Portability and Accountability Act (HIPAA).</w:t>
      </w:r>
      <w:r w:rsidR="00DF7F89" w:rsidRPr="006B2713">
        <w:rPr>
          <w:rFonts w:eastAsia="Times New Roman" w:cs="Arial"/>
          <w:color w:val="000000" w:themeColor="text1"/>
          <w:szCs w:val="20"/>
        </w:rPr>
        <w:t xml:space="preserve"> </w:t>
      </w:r>
      <w:r w:rsidRPr="006B2713">
        <w:rPr>
          <w:rFonts w:eastAsia="Times New Roman" w:cs="Arial"/>
          <w:color w:val="000000" w:themeColor="text1"/>
          <w:szCs w:val="20"/>
        </w:rPr>
        <w:t>Among other things, HIPAA protects the confidentiality of a person’s individually identifiable health information.</w:t>
      </w:r>
      <w:r w:rsidR="00067A0A">
        <w:rPr>
          <w:rStyle w:val="FootnoteReference"/>
          <w:rFonts w:eastAsia="Times New Roman" w:cs="Arial"/>
          <w:color w:val="000000" w:themeColor="text1"/>
          <w:szCs w:val="20"/>
        </w:rPr>
        <w:footnoteReference w:id="20"/>
      </w:r>
      <w:r w:rsidRPr="006B2713">
        <w:rPr>
          <w:rFonts w:eastAsia="Times New Roman" w:cs="Arial"/>
          <w:color w:val="000000" w:themeColor="text1"/>
          <w:szCs w:val="20"/>
        </w:rPr>
        <w:t xml:space="preserve"> HIPAA does not provide for a private cause of action to allow individuals the ability to sue directly; however, individuals can file a complaint with the HHS Office for Civil Rights, which will investigate the claim. HHS can seek a range of enforcement mechanisms from voluntary compliance to monetary penalties, if warranted. During an emergency event it may not be possible for a hospital to adhere to some HIPAA privacy requirements. As with EMTALA, certain HIPAA requirements regarding patient information at hospitals operating under an emergency plan can be temporarily waived under SSA </w:t>
      </w:r>
      <w:r w:rsidR="008821B1" w:rsidRPr="006B2713">
        <w:rPr>
          <w:rFonts w:eastAsia="Times New Roman" w:cs="Arial"/>
          <w:color w:val="000000" w:themeColor="text1"/>
          <w:szCs w:val="20"/>
        </w:rPr>
        <w:t>s</w:t>
      </w:r>
      <w:r w:rsidRPr="006B2713">
        <w:rPr>
          <w:rFonts w:eastAsia="Times New Roman" w:cs="Arial"/>
          <w:color w:val="000000" w:themeColor="text1"/>
          <w:szCs w:val="20"/>
        </w:rPr>
        <w:t>ection 1135 waiver. Again, however, these waivers expire within 72 hours before full compliance is again required.</w:t>
      </w:r>
    </w:p>
    <w:p w14:paraId="062C5406" w14:textId="77777777" w:rsidR="00B33748" w:rsidRPr="00B33748" w:rsidRDefault="00B33748" w:rsidP="00B33748">
      <w:pPr>
        <w:spacing w:line="360" w:lineRule="auto"/>
        <w:rPr>
          <w:rFonts w:eastAsia="Times New Roman" w:cs="Arial"/>
          <w:b/>
          <w:bCs/>
          <w:color w:val="000000" w:themeColor="text1"/>
          <w:szCs w:val="20"/>
        </w:rPr>
      </w:pPr>
    </w:p>
    <w:p w14:paraId="7E8AA776"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Statutory and Regulatory Violations</w:t>
      </w:r>
    </w:p>
    <w:p w14:paraId="07BA22C8" w14:textId="7E7D090F" w:rsidR="00B33748" w:rsidRPr="006B2713" w:rsidRDefault="0099702B" w:rsidP="006B2713">
      <w:pPr>
        <w:pStyle w:val="ListParagraph"/>
        <w:numPr>
          <w:ilvl w:val="0"/>
          <w:numId w:val="27"/>
        </w:numPr>
        <w:spacing w:line="360" w:lineRule="auto"/>
        <w:rPr>
          <w:rFonts w:eastAsia="Times New Roman" w:cs="Arial"/>
          <w:b/>
          <w:bCs/>
          <w:color w:val="000000" w:themeColor="text1"/>
          <w:szCs w:val="20"/>
        </w:rPr>
      </w:pPr>
      <w:r w:rsidRPr="006B2713">
        <w:rPr>
          <w:rFonts w:eastAsia="Times New Roman" w:cs="Arial"/>
          <w:b/>
          <w:bCs/>
          <w:color w:val="000000" w:themeColor="text1"/>
          <w:szCs w:val="20"/>
          <w:bdr w:val="none" w:sz="0" w:space="0" w:color="auto" w:frame="1"/>
        </w:rPr>
        <w:t>State Civil Rights and Anti-Discrimination Laws.</w:t>
      </w:r>
      <w:r w:rsidR="00332AB5" w:rsidRPr="006B2713">
        <w:rPr>
          <w:rFonts w:eastAsia="Times New Roman" w:cs="Arial"/>
          <w:b/>
          <w:bCs/>
          <w:color w:val="000000" w:themeColor="text1"/>
          <w:szCs w:val="20"/>
          <w:bdr w:val="none" w:sz="0" w:space="0" w:color="auto" w:frame="1"/>
        </w:rPr>
        <w:t xml:space="preserve"> </w:t>
      </w:r>
      <w:r w:rsidRPr="006B2713">
        <w:rPr>
          <w:rFonts w:eastAsia="Times New Roman" w:cs="Arial"/>
          <w:color w:val="000000" w:themeColor="text1"/>
          <w:szCs w:val="20"/>
        </w:rPr>
        <w:t>States may have parallel statutory and constitutional protections that protect civil rights and prohibit discrimination by state or local officials. These state authorities could be used to claim a civil rights violation or disparate treatment during an emergency response.</w:t>
      </w:r>
    </w:p>
    <w:p w14:paraId="2ACD5747" w14:textId="77777777" w:rsidR="00B33748" w:rsidRDefault="00B33748" w:rsidP="00B33748">
      <w:pPr>
        <w:spacing w:line="360" w:lineRule="auto"/>
        <w:rPr>
          <w:rFonts w:eastAsia="Times New Roman" w:cs="Arial"/>
          <w:b/>
          <w:bCs/>
          <w:color w:val="000000" w:themeColor="text1"/>
          <w:szCs w:val="20"/>
        </w:rPr>
      </w:pPr>
    </w:p>
    <w:p w14:paraId="317FC43B" w14:textId="3DC36363" w:rsidR="0099702B" w:rsidRPr="006B2713" w:rsidRDefault="0099702B" w:rsidP="006B2713">
      <w:pPr>
        <w:pStyle w:val="ListParagraph"/>
        <w:numPr>
          <w:ilvl w:val="0"/>
          <w:numId w:val="27"/>
        </w:numPr>
        <w:spacing w:line="360" w:lineRule="auto"/>
        <w:rPr>
          <w:rFonts w:eastAsia="Times New Roman" w:cs="Arial"/>
          <w:b/>
          <w:bCs/>
          <w:color w:val="000000" w:themeColor="text1"/>
          <w:szCs w:val="20"/>
        </w:rPr>
      </w:pPr>
      <w:r w:rsidRPr="006B2713">
        <w:rPr>
          <w:rFonts w:eastAsia="Times New Roman" w:cs="Arial"/>
          <w:b/>
          <w:bCs/>
          <w:color w:val="000000" w:themeColor="text1"/>
          <w:szCs w:val="20"/>
          <w:bdr w:val="none" w:sz="0" w:space="0" w:color="auto" w:frame="1"/>
        </w:rPr>
        <w:t>State Professional Licensure Requirements.</w:t>
      </w:r>
      <w:r w:rsidR="008C2531" w:rsidRPr="006B2713">
        <w:rPr>
          <w:rFonts w:eastAsia="Times New Roman" w:cs="Arial"/>
          <w:b/>
          <w:bCs/>
          <w:color w:val="000000" w:themeColor="text1"/>
          <w:szCs w:val="20"/>
          <w:bdr w:val="none" w:sz="0" w:space="0" w:color="auto" w:frame="1"/>
        </w:rPr>
        <w:t xml:space="preserve"> </w:t>
      </w:r>
      <w:r w:rsidRPr="006B2713">
        <w:rPr>
          <w:rFonts w:eastAsia="Times New Roman" w:cs="Arial"/>
          <w:color w:val="000000" w:themeColor="text1"/>
          <w:szCs w:val="20"/>
        </w:rPr>
        <w:t>Each state determines the requirements for licensure and the permitted scope of practice for healthcare and other professions regulated by the state. Healthcare and other licensed volunteers (e.g., architects, engineers) who cross state lines to provide emergency services during a disaster could be found liable for unlicensed practice if they are not properly permitted to assist via a mutual aid agreement like the EMAC or through other emergency response mechanisms recognized by a state, such as the U.S. National Disaster Medical System.</w:t>
      </w:r>
    </w:p>
    <w:p w14:paraId="32BD769D" w14:textId="77777777" w:rsidR="00F260D9" w:rsidRDefault="00F260D9" w:rsidP="00EB12E6">
      <w:pPr>
        <w:spacing w:line="360" w:lineRule="auto"/>
        <w:rPr>
          <w:rFonts w:eastAsia="Times New Roman" w:cs="Arial"/>
          <w:b/>
          <w:bCs/>
          <w:color w:val="3C3030"/>
          <w:sz w:val="24"/>
          <w:szCs w:val="24"/>
        </w:rPr>
      </w:pPr>
    </w:p>
    <w:p w14:paraId="0E01FE91" w14:textId="77777777" w:rsidR="00B33748" w:rsidRDefault="0099702B" w:rsidP="006B2713">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lastRenderedPageBreak/>
        <w:t>Constitutional Violations</w:t>
      </w:r>
    </w:p>
    <w:p w14:paraId="17D8F961" w14:textId="64C662F9"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The U.S. Constitution</w:t>
      </w:r>
      <w:r w:rsidR="000C1953">
        <w:rPr>
          <w:rFonts w:eastAsia="Times New Roman" w:cs="Arial"/>
          <w:color w:val="000000" w:themeColor="text1"/>
          <w:szCs w:val="20"/>
        </w:rPr>
        <w:t xml:space="preserve"> and </w:t>
      </w:r>
      <w:r w:rsidRPr="0099702B">
        <w:rPr>
          <w:rFonts w:eastAsia="Times New Roman" w:cs="Arial"/>
          <w:color w:val="000000" w:themeColor="text1"/>
          <w:szCs w:val="20"/>
        </w:rPr>
        <w:t>Bill of Rights, and state constitutions identify fundamental rights that can give rise to claims if these rights are violated. Parties could assert constitutional claims against public officials and entities in addition to tort claims, including violations of the following rights:</w:t>
      </w:r>
    </w:p>
    <w:p w14:paraId="79E3C125"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Freedom of speech and association (1st Amendment).</w:t>
      </w:r>
    </w:p>
    <w:p w14:paraId="3175B083"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Unreasonable searches and seizures (4th Amendment).</w:t>
      </w:r>
    </w:p>
    <w:p w14:paraId="0B01660A"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Cruel and unusual punishment (8th Amendment).</w:t>
      </w:r>
    </w:p>
    <w:p w14:paraId="4FB435F2"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Due process (5th and 14th Amendments)—Prohibits federal and state governments from depriving persons of life, liberty, or property without due process of law.</w:t>
      </w:r>
    </w:p>
    <w:p w14:paraId="64DF4BC6" w14:textId="77777777" w:rsidR="00B33748" w:rsidRDefault="0099702B" w:rsidP="000A69C3">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Equal protection (14th Amendment)—Violations in which a person or group of persons are denied equal protection under state and federal laws.</w:t>
      </w:r>
    </w:p>
    <w:p w14:paraId="6F55B626" w14:textId="2683CB1E" w:rsidR="0099702B" w:rsidRPr="00B33748" w:rsidRDefault="0099702B" w:rsidP="00B33748">
      <w:pPr>
        <w:spacing w:line="360" w:lineRule="auto"/>
        <w:ind w:left="360"/>
        <w:textAlignment w:val="baseline"/>
        <w:rPr>
          <w:rFonts w:eastAsia="Times New Roman" w:cs="Arial"/>
          <w:color w:val="000000" w:themeColor="text1"/>
          <w:szCs w:val="20"/>
        </w:rPr>
      </w:pPr>
      <w:r w:rsidRPr="00B33748">
        <w:rPr>
          <w:rFonts w:eastAsia="Times New Roman" w:cs="Arial"/>
          <w:color w:val="000000" w:themeColor="text1"/>
          <w:szCs w:val="20"/>
        </w:rPr>
        <w:t>Parallel violations grounded on state constitutional claims, as well as on other claims specific to a state’s constitution, should also be considered.</w:t>
      </w:r>
    </w:p>
    <w:p w14:paraId="57D17C3A" w14:textId="77777777" w:rsidR="00FC3301" w:rsidRPr="00FC3301" w:rsidRDefault="00FC3301" w:rsidP="00EB12E6">
      <w:pPr>
        <w:spacing w:line="360" w:lineRule="auto"/>
        <w:rPr>
          <w:rFonts w:eastAsia="Times New Roman" w:cs="Arial"/>
          <w:bCs/>
          <w:color w:val="3C3030"/>
          <w:szCs w:val="24"/>
        </w:rPr>
      </w:pPr>
    </w:p>
    <w:p w14:paraId="772BE87F" w14:textId="77777777"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t>Criminal Liability</w:t>
      </w:r>
    </w:p>
    <w:p w14:paraId="2E9260A7" w14:textId="2FA714C7"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As with civil liability, both individuals and organizational entities can be liable for criminal sanctions based on their actions during an emergency response event. Criminal prosecutions of first responders, healthcare providers, and volunteers involved in emergency response activities are most likely to occur where there has been egregious or willful misconduct on the part of the actor. Ultimately, however, the decision to seek prosecution in any given situation is a matter of prosecutorial discretion and, where required, the decision of a grand jury to indict. Even where there are statutory liability protections available to emergency response participants, they generally exclude coverage for criminal acts, willful or wanton actions, and gross negligence.</w:t>
      </w:r>
    </w:p>
    <w:p w14:paraId="46DE0F89" w14:textId="77777777" w:rsidR="00FC3301" w:rsidRPr="00FC3301" w:rsidRDefault="00FC3301" w:rsidP="00EB12E6">
      <w:pPr>
        <w:spacing w:line="360" w:lineRule="auto"/>
        <w:rPr>
          <w:rFonts w:eastAsia="Times New Roman" w:cs="Arial"/>
          <w:b/>
          <w:bCs/>
          <w:color w:val="000000" w:themeColor="text1"/>
          <w:sz w:val="28"/>
          <w:szCs w:val="24"/>
        </w:rPr>
      </w:pPr>
    </w:p>
    <w:p w14:paraId="445BFE13" w14:textId="77777777" w:rsidR="00B33748" w:rsidRDefault="0099702B" w:rsidP="00CE5873">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t>Liability Protections and Immunities</w:t>
      </w:r>
    </w:p>
    <w:p w14:paraId="577D27AC" w14:textId="35134FE3" w:rsidR="001135E3" w:rsidRDefault="0099702B" w:rsidP="00B33748">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While the foregoing list of potential theories of liability for various actors involved in emergency preparedness and response activities can seem daunting, there are significant sources of liability protection available at the state and federal levels. </w:t>
      </w:r>
      <w:r w:rsidR="002D5DE1">
        <w:rPr>
          <w:rFonts w:eastAsia="Times New Roman" w:cs="Arial"/>
          <w:color w:val="000000" w:themeColor="text1"/>
          <w:szCs w:val="20"/>
        </w:rPr>
        <w:t xml:space="preserve"> (Please see the </w:t>
      </w:r>
      <w:r w:rsidR="008030FD" w:rsidRPr="008030FD">
        <w:rPr>
          <w:rFonts w:eastAsia="Times New Roman" w:cs="Arial"/>
          <w:color w:val="000000" w:themeColor="text1"/>
          <w:szCs w:val="20"/>
        </w:rPr>
        <w:t xml:space="preserve">Immunity Issues in Emergency Preparedness </w:t>
      </w:r>
      <w:r w:rsidR="008030FD">
        <w:rPr>
          <w:rFonts w:eastAsia="Times New Roman" w:cs="Arial"/>
          <w:color w:val="000000" w:themeColor="text1"/>
          <w:szCs w:val="20"/>
        </w:rPr>
        <w:t>a</w:t>
      </w:r>
      <w:r w:rsidR="008030FD" w:rsidRPr="008030FD">
        <w:rPr>
          <w:rFonts w:eastAsia="Times New Roman" w:cs="Arial"/>
          <w:color w:val="000000" w:themeColor="text1"/>
          <w:szCs w:val="20"/>
        </w:rPr>
        <w:t>nd Response</w:t>
      </w:r>
      <w:r w:rsidR="008030FD">
        <w:rPr>
          <w:rFonts w:eastAsia="Times New Roman" w:cs="Arial"/>
          <w:color w:val="000000" w:themeColor="text1"/>
          <w:szCs w:val="20"/>
        </w:rPr>
        <w:t xml:space="preserve"> Issue Brief in this series </w:t>
      </w:r>
      <w:r w:rsidR="004F2259">
        <w:rPr>
          <w:rFonts w:eastAsia="Times New Roman" w:cs="Arial"/>
          <w:color w:val="000000" w:themeColor="text1"/>
          <w:szCs w:val="20"/>
        </w:rPr>
        <w:t>for more information.)</w:t>
      </w:r>
    </w:p>
    <w:p w14:paraId="63A26450" w14:textId="2C3330E1" w:rsidR="001135E3" w:rsidRDefault="00093854" w:rsidP="00B33748">
      <w:pPr>
        <w:spacing w:line="360" w:lineRule="auto"/>
        <w:rPr>
          <w:rFonts w:eastAsia="Times New Roman" w:cs="Arial"/>
          <w:color w:val="000000" w:themeColor="text1"/>
          <w:szCs w:val="20"/>
        </w:rPr>
      </w:pPr>
      <w:r>
        <w:rPr>
          <w:noProof/>
        </w:rPr>
        <w:lastRenderedPageBreak/>
        <mc:AlternateContent>
          <mc:Choice Requires="wps">
            <w:drawing>
              <wp:anchor distT="45720" distB="45720" distL="114300" distR="114300" simplePos="0" relativeHeight="251661312" behindDoc="0" locked="0" layoutInCell="1" allowOverlap="1" wp14:anchorId="42E6FDFB" wp14:editId="099BDF96">
                <wp:simplePos x="0" y="0"/>
                <wp:positionH relativeFrom="margin">
                  <wp:align>center</wp:align>
                </wp:positionH>
                <wp:positionV relativeFrom="paragraph">
                  <wp:posOffset>225425</wp:posOffset>
                </wp:positionV>
                <wp:extent cx="5514340" cy="577850"/>
                <wp:effectExtent l="0" t="0" r="1016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577850"/>
                        </a:xfrm>
                        <a:prstGeom prst="rect">
                          <a:avLst/>
                        </a:prstGeom>
                        <a:solidFill>
                          <a:srgbClr val="FFFFFF"/>
                        </a:solidFill>
                        <a:ln w="9525">
                          <a:solidFill>
                            <a:srgbClr val="000000"/>
                          </a:solidFill>
                          <a:miter lim="800000"/>
                          <a:headEnd/>
                          <a:tailEnd/>
                        </a:ln>
                      </wps:spPr>
                      <wps:txbx>
                        <w:txbxContent>
                          <w:p w14:paraId="7E736694" w14:textId="45BF95C5" w:rsidR="00093854" w:rsidRPr="004C64AD" w:rsidRDefault="00093854" w:rsidP="00093854">
                            <w:pPr>
                              <w:rPr>
                                <w:sz w:val="20"/>
                                <w:szCs w:val="20"/>
                              </w:rPr>
                            </w:pPr>
                            <w:r w:rsidRPr="004C64AD">
                              <w:rPr>
                                <w:sz w:val="20"/>
                                <w:szCs w:val="20"/>
                              </w:rPr>
                              <w:t xml:space="preserve">This CSTE project was funded under a cooperative agreement with the Centers for Disease Control and Prevention (NU38OT000297-01-00). The </w:t>
                            </w:r>
                            <w:r w:rsidR="004737C3">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E6FDFB" id="_x0000_t202" coordsize="21600,21600" o:spt="202" path="m,l,21600r21600,l21600,xe">
                <v:stroke joinstyle="miter"/>
                <v:path gradientshapeok="t" o:connecttype="rect"/>
              </v:shapetype>
              <v:shape id="_x0000_s1027" type="#_x0000_t202" style="position:absolute;margin-left:0;margin-top:17.75pt;width:434.2pt;height:45.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">
                <v:textbox>
                  <w:txbxContent>
                    <w:p w14:paraId="7E736694" w14:textId="45BF95C5" w:rsidR="00093854" w:rsidRPr="004C64AD" w:rsidRDefault="00093854" w:rsidP="00093854">
                      <w:pPr>
                        <w:rPr>
                          <w:sz w:val="20"/>
                          <w:szCs w:val="20"/>
                        </w:rPr>
                      </w:pPr>
                      <w:r w:rsidRPr="004C64AD">
                        <w:rPr>
                          <w:sz w:val="20"/>
                          <w:szCs w:val="20"/>
                        </w:rPr>
                        <w:t xml:space="preserve">This CSTE project was funded under a cooperative agreement with the Centers for Disease Control and Prevention (NU38OT000297-01-00). The </w:t>
                      </w:r>
                      <w:r w:rsidR="004737C3">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1135E3" w:rsidSect="00AB5416">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6F76BB" w14:textId="77777777" w:rsidR="008C6B30" w:rsidRDefault="008C6B30" w:rsidP="00477E52">
      <w:r>
        <w:separator/>
      </w:r>
    </w:p>
  </w:endnote>
  <w:endnote w:type="continuationSeparator" w:id="0">
    <w:p w14:paraId="72D2C32A" w14:textId="77777777" w:rsidR="008C6B30" w:rsidRDefault="008C6B30"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906788" w14:textId="77777777" w:rsidR="002634FA" w:rsidRDefault="002634FA" w:rsidP="002634FA">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2C11E267" w14:textId="5B399D61" w:rsidR="00BD2654" w:rsidRDefault="002634FA" w:rsidP="002634FA">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5DAAD1" w14:textId="77777777" w:rsidR="008C6B30" w:rsidRDefault="008C6B30" w:rsidP="00477E52">
      <w:r>
        <w:separator/>
      </w:r>
    </w:p>
  </w:footnote>
  <w:footnote w:type="continuationSeparator" w:id="0">
    <w:p w14:paraId="68E07BA6" w14:textId="77777777" w:rsidR="008C6B30" w:rsidRDefault="008C6B30" w:rsidP="00477E52">
      <w:r>
        <w:continuationSeparator/>
      </w:r>
    </w:p>
  </w:footnote>
  <w:footnote w:id="1">
    <w:p w14:paraId="3E713495" w14:textId="0350651F" w:rsidR="00FE42C0" w:rsidRPr="00ED7C55" w:rsidRDefault="00FE42C0" w:rsidP="00ED7C55">
      <w:pPr>
        <w:pStyle w:val="FootnoteText"/>
        <w:tabs>
          <w:tab w:val="left" w:pos="686"/>
        </w:tabs>
        <w:rPr>
          <w:b/>
          <w:bCs/>
        </w:rPr>
      </w:pPr>
      <w:r>
        <w:rPr>
          <w:b/>
          <w:bCs/>
          <w:highlight w:val="yellow"/>
        </w:rPr>
        <w:t>Footnotes will be streamlined and edited to style guide once text is finalized</w:t>
      </w:r>
    </w:p>
    <w:p w14:paraId="4D241264" w14:textId="7053AB86" w:rsidR="0031317D" w:rsidRDefault="0031317D">
      <w:pPr>
        <w:pStyle w:val="FootnoteText"/>
      </w:pPr>
      <w:r>
        <w:rPr>
          <w:rStyle w:val="FootnoteReference"/>
        </w:rPr>
        <w:footnoteRef/>
      </w:r>
      <w:r>
        <w:t xml:space="preserve"> </w:t>
      </w:r>
      <w:r w:rsidR="00BD666C" w:rsidRPr="00575811">
        <w:rPr>
          <w:i/>
          <w:iCs/>
        </w:rPr>
        <w:t>See</w:t>
      </w:r>
      <w:r w:rsidR="00BD666C">
        <w:t xml:space="preserve"> </w:t>
      </w:r>
      <w:r w:rsidR="00575811">
        <w:t>f</w:t>
      </w:r>
      <w:r w:rsidR="00FB2E65">
        <w:t xml:space="preserve">or a bibliography of </w:t>
      </w:r>
      <w:r w:rsidR="00BB7E34">
        <w:t xml:space="preserve">sources </w:t>
      </w:r>
      <w:r w:rsidR="00DA666A">
        <w:t xml:space="preserve">examining </w:t>
      </w:r>
      <w:r w:rsidR="0045180A">
        <w:t xml:space="preserve">the issue of </w:t>
      </w:r>
      <w:r w:rsidR="00C84065">
        <w:t xml:space="preserve">willingness to work in </w:t>
      </w:r>
      <w:r w:rsidR="005321CA">
        <w:t>emergencies</w:t>
      </w:r>
      <w:r w:rsidR="00575811">
        <w:t>:</w:t>
      </w:r>
      <w:r w:rsidR="00C84065">
        <w:t xml:space="preserve"> </w:t>
      </w:r>
      <w:r w:rsidR="00861311">
        <w:t>HHS</w:t>
      </w:r>
      <w:r w:rsidR="00020C62">
        <w:t xml:space="preserve"> ASPR</w:t>
      </w:r>
      <w:r w:rsidR="00861311">
        <w:t>.</w:t>
      </w:r>
      <w:r w:rsidR="00020C62">
        <w:t xml:space="preserve"> </w:t>
      </w:r>
      <w:r w:rsidR="00020C62" w:rsidRPr="00020C62">
        <w:t>Technical Resources, Assistance Center, and Information Exchange (TRACIE)</w:t>
      </w:r>
      <w:r w:rsidR="00020C62">
        <w:t>.</w:t>
      </w:r>
      <w:r w:rsidR="00861311">
        <w:t xml:space="preserve"> </w:t>
      </w:r>
      <w:r w:rsidR="00B31B59" w:rsidRPr="00B31B59">
        <w:t>Topic Collection: Training and Workforce Development</w:t>
      </w:r>
      <w:r w:rsidR="00A33BCA">
        <w:t xml:space="preserve">. </w:t>
      </w:r>
      <w:r w:rsidR="003D6CB2" w:rsidRPr="003D6CB2">
        <w:t>Willingness to Work and Other Workforce Considerations</w:t>
      </w:r>
      <w:r w:rsidR="00A33BCA">
        <w:t xml:space="preserve"> Section</w:t>
      </w:r>
      <w:r w:rsidR="003E1A3F">
        <w:t xml:space="preserve">. </w:t>
      </w:r>
      <w:r w:rsidR="00A914F7">
        <w:t xml:space="preserve">Website updated </w:t>
      </w:r>
      <w:r w:rsidR="00F3578C">
        <w:t xml:space="preserve">as of July 31, 2020. </w:t>
      </w:r>
      <w:r w:rsidR="00861311">
        <w:t xml:space="preserve">Retrieved from </w:t>
      </w:r>
      <w:hyperlink r:id="rId1" w:anchor="willingness-to-work-and-other-workforce-considerations" w:history="1">
        <w:r w:rsidR="00861311">
          <w:rPr>
            <w:rStyle w:val="Hyperlink"/>
          </w:rPr>
          <w:t>https://asprtracie.hhs.gov/technical-resources/11/training-and-workforce-development/1#willingness-to-work-and-other-workforce-considerations</w:t>
        </w:r>
      </w:hyperlink>
      <w:r w:rsidR="00FB2E65">
        <w:t>.</w:t>
      </w:r>
      <w:r w:rsidR="00B5706A">
        <w:t xml:space="preserve"> </w:t>
      </w:r>
      <w:r w:rsidR="00F3578C">
        <w:t xml:space="preserve">Accessed August </w:t>
      </w:r>
      <w:r w:rsidR="00DE3F1F">
        <w:t xml:space="preserve">2, 2020. </w:t>
      </w:r>
      <w:r w:rsidR="00A914F7" w:rsidRPr="001F6FFC">
        <w:rPr>
          <w:i/>
          <w:iCs/>
        </w:rPr>
        <w:t xml:space="preserve">See </w:t>
      </w:r>
      <w:r w:rsidR="00B5706A" w:rsidRPr="001F6FFC">
        <w:rPr>
          <w:i/>
          <w:iCs/>
        </w:rPr>
        <w:t>also</w:t>
      </w:r>
      <w:r w:rsidR="00B5706A">
        <w:t xml:space="preserve"> </w:t>
      </w:r>
      <w:r w:rsidR="001F6FFC">
        <w:t xml:space="preserve">Johns Hopkins University. </w:t>
      </w:r>
      <w:r w:rsidR="00811B02">
        <w:t>Bloomberg School of Public Health.</w:t>
      </w:r>
      <w:r w:rsidR="001F6FFC">
        <w:t xml:space="preserve"> </w:t>
      </w:r>
      <w:r w:rsidR="00811B02" w:rsidRPr="00811B02">
        <w:t>Center for Law and the Public’s Health</w:t>
      </w:r>
      <w:r w:rsidR="00811B02">
        <w:t xml:space="preserve">. </w:t>
      </w:r>
      <w:r w:rsidR="00884374" w:rsidRPr="00884374">
        <w:t>Research about Emergency Response Willingness</w:t>
      </w:r>
      <w:r w:rsidR="00884374">
        <w:t xml:space="preserve">. </w:t>
      </w:r>
      <w:r w:rsidR="00B23217" w:rsidRPr="00B23217">
        <w:t>July 28, 2014</w:t>
      </w:r>
      <w:r w:rsidR="00B23217">
        <w:t xml:space="preserve">. </w:t>
      </w:r>
      <w:r w:rsidR="001F6FFC">
        <w:t xml:space="preserve">Retrieved from </w:t>
      </w:r>
      <w:hyperlink r:id="rId2" w:history="1">
        <w:r w:rsidR="001F6FFC">
          <w:rPr>
            <w:rStyle w:val="Hyperlink"/>
          </w:rPr>
          <w:t>https://www.jhsph.edu/research/centers-and-institutes/center-for-law-and-the-publics-health/research/Research%20about%20Emergency%20Response%20Willingness1.pdf</w:t>
        </w:r>
      </w:hyperlink>
      <w:r w:rsidR="001F6FFC">
        <w:t xml:space="preserve">. </w:t>
      </w:r>
      <w:r w:rsidR="00DE3F1F">
        <w:t>Accessed August 2, 2020.</w:t>
      </w:r>
    </w:p>
  </w:footnote>
  <w:footnote w:id="2">
    <w:p w14:paraId="0CA5B868" w14:textId="0ECFB148" w:rsidR="00EA1A5E" w:rsidRDefault="00EA1A5E">
      <w:pPr>
        <w:pStyle w:val="FootnoteText"/>
      </w:pPr>
      <w:r>
        <w:rPr>
          <w:rStyle w:val="FootnoteReference"/>
        </w:rPr>
        <w:footnoteRef/>
      </w:r>
      <w:r>
        <w:t xml:space="preserve"> </w:t>
      </w:r>
      <w:r w:rsidRPr="00EA427D">
        <w:t>Institute of Medicine. 2012. Crisis Standards of Care: A Systems Framework for Catastrophic Disaster Response: Volume 1: Introduction and CSC Framework. Washington, DC: The National Academies Press.</w:t>
      </w:r>
      <w:r w:rsidR="002C7C17">
        <w:t xml:space="preserve"> p</w:t>
      </w:r>
      <w:r w:rsidR="004B75AA">
        <w:t>p</w:t>
      </w:r>
      <w:r w:rsidR="002C7C17">
        <w:t>.1</w:t>
      </w:r>
      <w:r w:rsidR="004B75AA">
        <w:t>5-1</w:t>
      </w:r>
      <w:r w:rsidR="002C7C17">
        <w:t xml:space="preserve">6. </w:t>
      </w:r>
      <w:r w:rsidR="004B75AA">
        <w:t>(</w:t>
      </w:r>
      <w:r w:rsidR="002C7C17">
        <w:t xml:space="preserve">quoting </w:t>
      </w:r>
      <w:r w:rsidR="002C7C17" w:rsidRPr="002C7C17">
        <w:t>Guidance for Establishing Crisis Standards of Care for Use in Disaster Situations (IOM, 2009)</w:t>
      </w:r>
      <w:r w:rsidR="004B75AA">
        <w:t xml:space="preserve">). </w:t>
      </w:r>
      <w:r>
        <w:t xml:space="preserve">Retrieved from </w:t>
      </w:r>
      <w:hyperlink r:id="rId3" w:history="1">
        <w:r w:rsidRPr="00666A2A">
          <w:rPr>
            <w:rStyle w:val="Hyperlink"/>
          </w:rPr>
          <w:t>https://doi.org/10.17226/13351</w:t>
        </w:r>
      </w:hyperlink>
      <w:r w:rsidRPr="00EA427D">
        <w:t>.</w:t>
      </w:r>
      <w:r>
        <w:t xml:space="preserve"> Accessed August 5, 2020.</w:t>
      </w:r>
    </w:p>
  </w:footnote>
  <w:footnote w:id="3">
    <w:p w14:paraId="4A532191" w14:textId="7935C177" w:rsidR="00894F0A" w:rsidRDefault="00894F0A">
      <w:pPr>
        <w:pStyle w:val="FootnoteText"/>
      </w:pPr>
      <w:r>
        <w:rPr>
          <w:rStyle w:val="FootnoteReference"/>
        </w:rPr>
        <w:footnoteRef/>
      </w:r>
      <w:r>
        <w:t xml:space="preserve"> </w:t>
      </w:r>
      <w:r w:rsidR="007E6B18" w:rsidRPr="007E6B18">
        <w:t xml:space="preserve">Hodge, J. The Network for Public Health Law. COVID-19 Emergency Legal Preparedness Primer. July 31, 2020. </w:t>
      </w:r>
      <w:r w:rsidR="00090318">
        <w:t>p</w:t>
      </w:r>
      <w:r w:rsidR="007E6B18">
        <w:t>.</w:t>
      </w:r>
      <w:r w:rsidR="00090318">
        <w:t xml:space="preserve"> 33. </w:t>
      </w:r>
      <w:r w:rsidR="007E6B18" w:rsidRPr="007E6B18">
        <w:t xml:space="preserve">Retrieved from </w:t>
      </w:r>
      <w:hyperlink r:id="rId4" w:history="1">
        <w:r w:rsidR="007E6B18" w:rsidRPr="007E6B18">
          <w:rPr>
            <w:rStyle w:val="Hyperlink"/>
          </w:rPr>
          <w:t>https://www.networkforphl.org/wp-content/uploads/2020/08/Western-Region-Primer-COVID-7-31-2020.pdf</w:t>
        </w:r>
      </w:hyperlink>
      <w:r w:rsidR="007E6B18" w:rsidRPr="007E6B18">
        <w:t>. Accessed August 2, 2020.</w:t>
      </w:r>
    </w:p>
  </w:footnote>
  <w:footnote w:id="4">
    <w:p w14:paraId="5765DE0C" w14:textId="351877E6" w:rsidR="00894F0A" w:rsidRDefault="00894F0A">
      <w:pPr>
        <w:pStyle w:val="FootnoteText"/>
      </w:pPr>
      <w:r>
        <w:rPr>
          <w:rStyle w:val="FootnoteReference"/>
        </w:rPr>
        <w:footnoteRef/>
      </w:r>
      <w:r>
        <w:t xml:space="preserve"> </w:t>
      </w:r>
      <w:r w:rsidR="00E45400">
        <w:t>S</w:t>
      </w:r>
      <w:r w:rsidR="007E0ED3" w:rsidRPr="00217F06">
        <w:rPr>
          <w:i/>
          <w:iCs/>
        </w:rPr>
        <w:t>ee</w:t>
      </w:r>
      <w:r w:rsidR="007E0ED3">
        <w:t xml:space="preserve"> Duda, J. </w:t>
      </w:r>
      <w:r w:rsidR="004F7804" w:rsidRPr="004F7804">
        <w:t>As COVID-19 worsens, AZ is the first state to enact ‘crisis care’ standards</w:t>
      </w:r>
      <w:r w:rsidR="00EE7EAF">
        <w:t xml:space="preserve">. AZ Mirror. July 7, 2020. Retrieved from </w:t>
      </w:r>
      <w:hyperlink r:id="rId5" w:history="1">
        <w:r w:rsidR="00EE7EAF">
          <w:rPr>
            <w:rStyle w:val="Hyperlink"/>
          </w:rPr>
          <w:t>https://www.azmirror.com/2020/07/03/as-covid-19-worsens-az-is-the-first-state-to-enact-crisis-care-standards/</w:t>
        </w:r>
      </w:hyperlink>
      <w:r w:rsidR="00EE7EAF">
        <w:t xml:space="preserve">. Accessed August </w:t>
      </w:r>
      <w:r w:rsidR="00217F06">
        <w:t>5, 2020.</w:t>
      </w:r>
    </w:p>
  </w:footnote>
  <w:footnote w:id="5">
    <w:p w14:paraId="1F9E2CA8" w14:textId="042EFA8E" w:rsidR="000D541A" w:rsidRDefault="000D541A">
      <w:pPr>
        <w:pStyle w:val="FootnoteText"/>
      </w:pPr>
      <w:r>
        <w:rPr>
          <w:rStyle w:val="FootnoteReference"/>
        </w:rPr>
        <w:footnoteRef/>
      </w:r>
      <w:r>
        <w:t xml:space="preserve"> </w:t>
      </w:r>
      <w:r w:rsidRPr="007E6B18">
        <w:t xml:space="preserve">Hodge, J. The Network for Public Health Law. COVID-19 Emergency Legal Preparedness Primer. July 31, 2020. </w:t>
      </w:r>
      <w:r>
        <w:t xml:space="preserve">p. 34. </w:t>
      </w:r>
      <w:r w:rsidRPr="007E6B18">
        <w:t xml:space="preserve">Retrieved from </w:t>
      </w:r>
      <w:hyperlink r:id="rId6" w:history="1">
        <w:r w:rsidRPr="007E6B18">
          <w:rPr>
            <w:rStyle w:val="Hyperlink"/>
          </w:rPr>
          <w:t>https://www.networkforphl.org/wp-content/uploads/2020/08/Western-Region-Primer-COVID-7-31-2020.pdf</w:t>
        </w:r>
      </w:hyperlink>
      <w:r w:rsidRPr="007E6B18">
        <w:t>. Accessed August 2, 2020.</w:t>
      </w:r>
      <w:r w:rsidR="00922040">
        <w:t xml:space="preserve"> See also </w:t>
      </w:r>
      <w:r w:rsidR="00FA29B8">
        <w:t xml:space="preserve">Hodge, J. et al. </w:t>
      </w:r>
      <w:r w:rsidR="006E2BA9" w:rsidRPr="006E2BA9">
        <w:t>Practical, Ethical, and Legal Challenges Underlying Crisis Standards of Care</w:t>
      </w:r>
      <w:r w:rsidR="006E2BA9">
        <w:t xml:space="preserve">. </w:t>
      </w:r>
      <w:r w:rsidR="000661AF" w:rsidRPr="003034FF">
        <w:t>Journal of Law, Medicine &amp; Ethics</w:t>
      </w:r>
      <w:r w:rsidR="000661AF">
        <w:t xml:space="preserve"> (Spring 2013). pp </w:t>
      </w:r>
      <w:r w:rsidR="007A037B">
        <w:t xml:space="preserve">50-55. Retrieved from </w:t>
      </w:r>
      <w:hyperlink r:id="rId7" w:history="1">
        <w:r w:rsidR="00AB63B7">
          <w:rPr>
            <w:rStyle w:val="Hyperlink"/>
          </w:rPr>
          <w:t>https://www.networkforphl.org/wp-content/uploads/2020/03/Crisis-Standards-of-Care-Hodge-JLME-2013.pdf</w:t>
        </w:r>
      </w:hyperlink>
      <w:r w:rsidR="00AB63B7">
        <w:t>. Accessed August 5, 2020.</w:t>
      </w:r>
    </w:p>
  </w:footnote>
  <w:footnote w:id="6">
    <w:p w14:paraId="2FFE280D" w14:textId="558611F6" w:rsidR="00F622D8" w:rsidRDefault="00F622D8">
      <w:pPr>
        <w:pStyle w:val="FootnoteText"/>
      </w:pPr>
      <w:r>
        <w:rPr>
          <w:rStyle w:val="FootnoteReference"/>
        </w:rPr>
        <w:footnoteRef/>
      </w:r>
      <w:r>
        <w:t xml:space="preserve"> </w:t>
      </w:r>
      <w:r w:rsidR="003037A1" w:rsidRPr="001A1CAD">
        <w:t>Emergency Management Assistance Compact, Pub. L. No. 104-321, 110 Stat. 3877.</w:t>
      </w:r>
      <w:r w:rsidR="00D45F1A">
        <w:t xml:space="preserve"> </w:t>
      </w:r>
      <w:r w:rsidR="0053342D" w:rsidRPr="00D01054">
        <w:rPr>
          <w:i/>
          <w:iCs/>
        </w:rPr>
        <w:t>See also</w:t>
      </w:r>
      <w:r w:rsidR="00D01054">
        <w:t xml:space="preserve"> </w:t>
      </w:r>
      <w:r w:rsidR="00D01054" w:rsidRPr="001A1CAD">
        <w:t xml:space="preserve">EMAC. Emergency Management Assistance Compact. Retrieved from </w:t>
      </w:r>
      <w:hyperlink r:id="rId8" w:history="1">
        <w:r w:rsidR="00D01054" w:rsidRPr="001A1CAD">
          <w:rPr>
            <w:rStyle w:val="Hyperlink"/>
          </w:rPr>
          <w:t>https://www.emacweb.org/</w:t>
        </w:r>
      </w:hyperlink>
      <w:r w:rsidR="00D01054" w:rsidRPr="001A1CAD">
        <w:t xml:space="preserve">. Accessed </w:t>
      </w:r>
      <w:r w:rsidR="00ED7CC0">
        <w:t>August 2</w:t>
      </w:r>
      <w:r w:rsidR="00D01054" w:rsidRPr="001A1CAD">
        <w:t>, 2020.</w:t>
      </w:r>
      <w:r w:rsidR="00D01054">
        <w:t xml:space="preserve"> </w:t>
      </w:r>
      <w:r w:rsidR="001265EC">
        <w:t xml:space="preserve">EMAC </w:t>
      </w:r>
      <w:r w:rsidR="004D2258" w:rsidRPr="004D2258">
        <w:t xml:space="preserve">has been </w:t>
      </w:r>
      <w:r w:rsidR="004D2258">
        <w:t>adopted</w:t>
      </w:r>
      <w:r w:rsidR="004D2258" w:rsidRPr="004D2258">
        <w:t xml:space="preserve"> </w:t>
      </w:r>
      <w:r w:rsidR="00172AA5">
        <w:t xml:space="preserve">in </w:t>
      </w:r>
      <w:r w:rsidR="004D2258" w:rsidRPr="004D2258">
        <w:t>all 50 states, the District of Columbia, Puerto Rico, Guam, the U.S. Virgin Islands and the Northern Mariana Islands.</w:t>
      </w:r>
      <w:r w:rsidR="00AB690F">
        <w:t xml:space="preserve"> EMAC allows</w:t>
      </w:r>
      <w:r w:rsidR="00AB690F" w:rsidRPr="00AB690F">
        <w:t xml:space="preserve"> states </w:t>
      </w:r>
      <w:r w:rsidR="00AB690F">
        <w:t xml:space="preserve">to </w:t>
      </w:r>
      <w:r w:rsidR="00AB690F" w:rsidRPr="00AB690F">
        <w:t>share resources, pro</w:t>
      </w:r>
      <w:r w:rsidR="00F50683">
        <w:t xml:space="preserve">vide legal protections to </w:t>
      </w:r>
      <w:r w:rsidR="00AB690F" w:rsidRPr="00AB690F">
        <w:t>personnel deploy</w:t>
      </w:r>
      <w:r w:rsidR="00F50683">
        <w:t>ing</w:t>
      </w:r>
      <w:r w:rsidR="00D1435C">
        <w:t xml:space="preserve"> under the compact, and b</w:t>
      </w:r>
      <w:r w:rsidR="007A5345">
        <w:t xml:space="preserve">e </w:t>
      </w:r>
      <w:r w:rsidR="00AB690F" w:rsidRPr="00AB690F">
        <w:t xml:space="preserve">reimbursed </w:t>
      </w:r>
      <w:r w:rsidR="007A5345">
        <w:t xml:space="preserve">costs related to the emergency. </w:t>
      </w:r>
    </w:p>
    <w:p w14:paraId="73E18DD2" w14:textId="18A7E307" w:rsidR="00C8371B" w:rsidRDefault="00C8371B">
      <w:pPr>
        <w:pStyle w:val="FootnoteText"/>
      </w:pPr>
      <w:r>
        <w:t xml:space="preserve">     Tribal governments must request or provide aid via EMAC through a supplemental agreement between a tribe and the state in which it is located. </w:t>
      </w:r>
      <w:r w:rsidR="002D0CE9" w:rsidRPr="001A1CAD">
        <w:t xml:space="preserve">EMAC. Tribal National EMAC Integration. Retrieved from </w:t>
      </w:r>
      <w:hyperlink r:id="rId9" w:history="1">
        <w:r w:rsidR="002D0CE9" w:rsidRPr="001A1CAD">
          <w:rPr>
            <w:rStyle w:val="Hyperlink"/>
          </w:rPr>
          <w:t>https://www.emacweb.org/index.php/resources/best-practices/tribal-nation-emac-integration</w:t>
        </w:r>
      </w:hyperlink>
      <w:r w:rsidR="002D0CE9" w:rsidRPr="001A1CAD">
        <w:t xml:space="preserve">. Accessed </w:t>
      </w:r>
      <w:r w:rsidR="00ED7CC0">
        <w:t xml:space="preserve">August 2, </w:t>
      </w:r>
      <w:r w:rsidR="002D0CE9" w:rsidRPr="001A1CAD">
        <w:t>2020.</w:t>
      </w:r>
    </w:p>
  </w:footnote>
  <w:footnote w:id="7">
    <w:p w14:paraId="20ACCEBE" w14:textId="04547B04" w:rsidR="006D4626" w:rsidRDefault="006D4626" w:rsidP="00B246D9">
      <w:pPr>
        <w:pStyle w:val="FootnoteText"/>
      </w:pPr>
      <w:r>
        <w:rPr>
          <w:rStyle w:val="FootnoteReference"/>
        </w:rPr>
        <w:footnoteRef/>
      </w:r>
      <w:r>
        <w:t xml:space="preserve"> </w:t>
      </w:r>
      <w:r w:rsidRPr="00C54883">
        <w:rPr>
          <w:i/>
          <w:iCs/>
        </w:rPr>
        <w:t>See</w:t>
      </w:r>
      <w:r>
        <w:t xml:space="preserve"> </w:t>
      </w:r>
      <w:r w:rsidR="00B246D9">
        <w:t xml:space="preserve">Committee on Guidance for Establishing Crisis Standards of Care for Use in Disaster Situations. Institute of Medicine. Washington (DC): National Academies Press (US); March 21, 2012. Retrieved from </w:t>
      </w:r>
      <w:hyperlink r:id="rId10" w:history="1">
        <w:r w:rsidR="00A40A1B" w:rsidRPr="00AD2F52">
          <w:rPr>
            <w:rStyle w:val="Hyperlink"/>
          </w:rPr>
          <w:t>https://www.ncbi.nlm.nih.gov/books/NBK201075/</w:t>
        </w:r>
      </w:hyperlink>
      <w:r w:rsidR="00A40A1B">
        <w:t xml:space="preserve">. </w:t>
      </w:r>
      <w:r w:rsidR="0079511B" w:rsidRPr="001A1CAD">
        <w:t xml:space="preserve">Accessed </w:t>
      </w:r>
      <w:r w:rsidR="0079511B">
        <w:t xml:space="preserve">August 2, </w:t>
      </w:r>
      <w:r w:rsidR="0079511B" w:rsidRPr="001A1CAD">
        <w:t>2020.</w:t>
      </w:r>
    </w:p>
  </w:footnote>
  <w:footnote w:id="8">
    <w:p w14:paraId="442EEA2E" w14:textId="21414C21" w:rsidR="00B27083" w:rsidRDefault="00B27083">
      <w:pPr>
        <w:pStyle w:val="FootnoteText"/>
      </w:pPr>
      <w:r>
        <w:rPr>
          <w:rStyle w:val="FootnoteReference"/>
        </w:rPr>
        <w:footnoteRef/>
      </w:r>
      <w:r>
        <w:t xml:space="preserve"> </w:t>
      </w:r>
      <w:r w:rsidRPr="005541E9">
        <w:rPr>
          <w:i/>
          <w:iCs/>
        </w:rPr>
        <w:t>See</w:t>
      </w:r>
      <w:r w:rsidR="00BF5343" w:rsidRPr="005541E9">
        <w:rPr>
          <w:i/>
          <w:iCs/>
        </w:rPr>
        <w:t xml:space="preserve"> for example</w:t>
      </w:r>
      <w:r w:rsidR="005541E9" w:rsidRPr="005541E9">
        <w:rPr>
          <w:color w:val="000000"/>
          <w:sz w:val="18"/>
          <w:szCs w:val="18"/>
          <w:shd w:val="clear" w:color="auto" w:fill="FFFFFF"/>
        </w:rPr>
        <w:t xml:space="preserve"> </w:t>
      </w:r>
      <w:r w:rsidR="005541E9" w:rsidRPr="005541E9">
        <w:t>Accaoui</w:t>
      </w:r>
      <w:r w:rsidR="005541E9">
        <w:t>, S.</w:t>
      </w:r>
      <w:r w:rsidR="005541E9" w:rsidRPr="005541E9">
        <w:t> </w:t>
      </w:r>
      <w:r w:rsidR="00BF5343">
        <w:t xml:space="preserve"> </w:t>
      </w:r>
      <w:r>
        <w:t xml:space="preserve"> </w:t>
      </w:r>
      <w:r w:rsidR="00BF5343" w:rsidRPr="00BF5343">
        <w:t>One-Two Punch: Businesses Must Fight the Virus and Possible Liability Claims</w:t>
      </w:r>
      <w:r w:rsidR="005541E9">
        <w:t>. National Law Journal</w:t>
      </w:r>
      <w:r w:rsidR="001B4478">
        <w:t xml:space="preserve">. </w:t>
      </w:r>
      <w:r w:rsidR="001B4478" w:rsidRPr="001B4478">
        <w:t>July 20, 2020</w:t>
      </w:r>
      <w:r w:rsidR="001B4478">
        <w:t xml:space="preserve">. Retrieved from </w:t>
      </w:r>
      <w:hyperlink r:id="rId11" w:history="1">
        <w:r w:rsidR="00297E03">
          <w:rPr>
            <w:rStyle w:val="Hyperlink"/>
          </w:rPr>
          <w:t>https://www.natlawreview.com/article/one-two-punch-businesses-must-fight-virus-and-possible-liability-claims</w:t>
        </w:r>
      </w:hyperlink>
      <w:r w:rsidR="00297E03">
        <w:t>. Accessed August 5, 2020.</w:t>
      </w:r>
    </w:p>
  </w:footnote>
  <w:footnote w:id="9">
    <w:p w14:paraId="76E45577" w14:textId="51A3D5CE" w:rsidR="00FF67B4" w:rsidRDefault="00FF67B4">
      <w:pPr>
        <w:pStyle w:val="FootnoteText"/>
      </w:pPr>
      <w:r>
        <w:rPr>
          <w:rStyle w:val="FootnoteReference"/>
        </w:rPr>
        <w:footnoteRef/>
      </w:r>
      <w:r>
        <w:t xml:space="preserve"> There are only </w:t>
      </w:r>
      <w:r w:rsidR="00325B53">
        <w:t xml:space="preserve">five jurisdictions that currently employ pure contributory negligence: Alabama, Maryland, North Carolina, Virginia, and the District of Columbia. See </w:t>
      </w:r>
      <w:r w:rsidR="00154347" w:rsidRPr="00154347">
        <w:t>Matthiesen, Wickert &amp; Lehrer, S.C.</w:t>
      </w:r>
      <w:r w:rsidR="002F48C5">
        <w:t xml:space="preserve"> </w:t>
      </w:r>
      <w:r w:rsidR="002F48C5" w:rsidRPr="002F48C5">
        <w:t xml:space="preserve">Contributory Negligence/Comparative Fault Laws </w:t>
      </w:r>
      <w:r w:rsidR="00322E0A" w:rsidRPr="002F48C5">
        <w:t>in</w:t>
      </w:r>
      <w:r w:rsidR="002F48C5" w:rsidRPr="002F48C5">
        <w:t xml:space="preserve"> All 5o States</w:t>
      </w:r>
      <w:r w:rsidR="002F48C5">
        <w:t xml:space="preserve">. </w:t>
      </w:r>
      <w:r w:rsidR="00191E04">
        <w:t xml:space="preserve">October 24, 2019. Retrieved from </w:t>
      </w:r>
      <w:hyperlink r:id="rId12" w:history="1">
        <w:r w:rsidR="00FE7F34">
          <w:rPr>
            <w:rStyle w:val="Hyperlink"/>
          </w:rPr>
          <w:t>https://www.mwl-law.com/wp-content/uploads/2018/02/COMPARATIVE-FAULT-SYSTEMS-CHART.pdf</w:t>
        </w:r>
      </w:hyperlink>
      <w:r w:rsidR="00FE7F34">
        <w:t xml:space="preserve">. </w:t>
      </w:r>
      <w:r w:rsidR="00B42691" w:rsidRPr="00B42691">
        <w:t>Accessed August 2, 2020.</w:t>
      </w:r>
    </w:p>
  </w:footnote>
  <w:footnote w:id="10">
    <w:p w14:paraId="1124D021" w14:textId="58C66027" w:rsidR="00332B89" w:rsidRDefault="00332B89">
      <w:pPr>
        <w:pStyle w:val="FootnoteText"/>
      </w:pPr>
      <w:r>
        <w:rPr>
          <w:rStyle w:val="FootnoteReference"/>
        </w:rPr>
        <w:footnoteRef/>
      </w:r>
      <w:r>
        <w:t xml:space="preserve"> </w:t>
      </w:r>
      <w:r w:rsidRPr="00154347">
        <w:t>Matthiesen, Wickert &amp; Lehrer, S.C.</w:t>
      </w:r>
      <w:r>
        <w:t xml:space="preserve"> </w:t>
      </w:r>
      <w:r w:rsidRPr="002F48C5">
        <w:t xml:space="preserve">Contributory Negligence/Comparative Fault Laws </w:t>
      </w:r>
      <w:r w:rsidR="00322E0A" w:rsidRPr="002F48C5">
        <w:t>in</w:t>
      </w:r>
      <w:r w:rsidRPr="002F48C5">
        <w:t xml:space="preserve"> All 5o States</w:t>
      </w:r>
      <w:r>
        <w:t xml:space="preserve">. October 24, 2019. Retrieved from </w:t>
      </w:r>
      <w:hyperlink r:id="rId13" w:history="1">
        <w:r>
          <w:rPr>
            <w:rStyle w:val="Hyperlink"/>
          </w:rPr>
          <w:t>https://www.mwl-law.com/wp-content/uploads/2018/02/COMPARATIVE-FAULT-SYSTEMS-CHART.pdf</w:t>
        </w:r>
      </w:hyperlink>
      <w:r>
        <w:t xml:space="preserve">. </w:t>
      </w:r>
      <w:r w:rsidR="000F7405" w:rsidRPr="001A1CAD">
        <w:t xml:space="preserve">Accessed </w:t>
      </w:r>
      <w:r w:rsidR="000F7405">
        <w:t xml:space="preserve">August 2, </w:t>
      </w:r>
      <w:r w:rsidR="000F7405" w:rsidRPr="001A1CAD">
        <w:t>2020.</w:t>
      </w:r>
    </w:p>
  </w:footnote>
  <w:footnote w:id="11">
    <w:p w14:paraId="19F575F4" w14:textId="1526ECA1" w:rsidR="00207476" w:rsidRDefault="00207476" w:rsidP="00207476">
      <w:pPr>
        <w:pStyle w:val="FootnoteText"/>
      </w:pPr>
      <w:r>
        <w:rPr>
          <w:rStyle w:val="FootnoteReference"/>
        </w:rPr>
        <w:footnoteRef/>
      </w:r>
      <w:r>
        <w:t xml:space="preserve"> </w:t>
      </w:r>
      <w:r w:rsidR="00537DC1" w:rsidRPr="00537DC1">
        <w:t xml:space="preserve">Public Readiness and Emergency Preparedness Act of 2005. Pub. L. No. 109-417. Codified </w:t>
      </w:r>
      <w:r w:rsidR="00537DC1">
        <w:t>a</w:t>
      </w:r>
      <w:r w:rsidR="00537DC1" w:rsidRPr="00537DC1">
        <w:t>t 42 U.S.C. §§247d-6d, 247d-6e.</w:t>
      </w:r>
    </w:p>
  </w:footnote>
  <w:footnote w:id="12">
    <w:p w14:paraId="0266093E" w14:textId="5EDBA7E4" w:rsidR="008160E4" w:rsidRDefault="008160E4">
      <w:pPr>
        <w:pStyle w:val="FootnoteText"/>
      </w:pPr>
      <w:r>
        <w:rPr>
          <w:rStyle w:val="FootnoteReference"/>
        </w:rPr>
        <w:footnoteRef/>
      </w:r>
      <w:r>
        <w:t xml:space="preserve"> </w:t>
      </w:r>
      <w:r w:rsidRPr="00537DC1">
        <w:t xml:space="preserve">Public Readiness and Emergency Preparedness Act of 2005. Pub. L. No. 109-417. Codified </w:t>
      </w:r>
      <w:r>
        <w:t>a</w:t>
      </w:r>
      <w:r w:rsidRPr="00537DC1">
        <w:t>t 42 U.S.C. §§247d-6d, 247d-6e.</w:t>
      </w:r>
    </w:p>
  </w:footnote>
  <w:footnote w:id="13">
    <w:p w14:paraId="10B7788F" w14:textId="5BBB1028" w:rsidR="00CE66BD" w:rsidRDefault="00CE66BD">
      <w:pPr>
        <w:pStyle w:val="FootnoteText"/>
      </w:pPr>
      <w:r>
        <w:rPr>
          <w:rStyle w:val="FootnoteReference"/>
        </w:rPr>
        <w:footnoteRef/>
      </w:r>
      <w:r>
        <w:t xml:space="preserve"> </w:t>
      </w:r>
      <w:r w:rsidRPr="00CE66BD">
        <w:t>Social Security Act, Section 1135, as amended. Codified at 42 U.S.C. §1320b-5.</w:t>
      </w:r>
    </w:p>
  </w:footnote>
  <w:footnote w:id="14">
    <w:p w14:paraId="65887E46" w14:textId="6CA68EBA" w:rsidR="00F4339B" w:rsidRDefault="00F4339B">
      <w:pPr>
        <w:pStyle w:val="FootnoteText"/>
      </w:pPr>
      <w:r>
        <w:rPr>
          <w:rStyle w:val="FootnoteReference"/>
        </w:rPr>
        <w:footnoteRef/>
      </w:r>
      <w:r>
        <w:t xml:space="preserve"> </w:t>
      </w:r>
      <w:r w:rsidRPr="00F4339B">
        <w:t>American with Disabilities Act, as amended, Titles II and III, Pub. L. No. 110-325. Codified at 42 U.S.C. §126.</w:t>
      </w:r>
    </w:p>
  </w:footnote>
  <w:footnote w:id="15">
    <w:p w14:paraId="6335ABA1" w14:textId="7E59CDDD" w:rsidR="00705BCA" w:rsidRDefault="00705BCA">
      <w:pPr>
        <w:pStyle w:val="FootnoteText"/>
      </w:pPr>
      <w:r>
        <w:rPr>
          <w:rStyle w:val="FootnoteReference"/>
        </w:rPr>
        <w:footnoteRef/>
      </w:r>
      <w:r>
        <w:t xml:space="preserve"> </w:t>
      </w:r>
      <w:r w:rsidRPr="00705BCA">
        <w:t>Pandemic and All-Hazards Preparedness Act of 2006, Pub. L. No. 109-417. Codified, in part, in the Public Health Service Act, 42 U.S.C. §201 et seq.</w:t>
      </w:r>
      <w:r>
        <w:t xml:space="preserve"> </w:t>
      </w:r>
    </w:p>
  </w:footnote>
  <w:footnote w:id="16">
    <w:p w14:paraId="29368E1F" w14:textId="7041BE56" w:rsidR="00F01F60" w:rsidRDefault="00F01F60">
      <w:pPr>
        <w:pStyle w:val="FootnoteText"/>
      </w:pPr>
      <w:r>
        <w:rPr>
          <w:rStyle w:val="FootnoteReference"/>
        </w:rPr>
        <w:footnoteRef/>
      </w:r>
      <w:r>
        <w:t xml:space="preserve"> </w:t>
      </w:r>
      <w:r w:rsidRPr="00F01F60">
        <w:t>Emergency Medical Treatment and Labor Act, as amended. Codified at 42 U.S.C. §1395dd.</w:t>
      </w:r>
    </w:p>
  </w:footnote>
  <w:footnote w:id="17">
    <w:p w14:paraId="33006CFC" w14:textId="2CA1A4EA" w:rsidR="00775CAE" w:rsidRDefault="00775CAE">
      <w:pPr>
        <w:pStyle w:val="FootnoteText"/>
      </w:pPr>
      <w:r>
        <w:rPr>
          <w:rStyle w:val="FootnoteReference"/>
        </w:rPr>
        <w:footnoteRef/>
      </w:r>
      <w:r>
        <w:t xml:space="preserve"> </w:t>
      </w:r>
      <w:r w:rsidR="00DF7F89" w:rsidRPr="00DF7F89">
        <w:t>Public Health Service Act, Section 319. Codified at 42 U.S.C. §247d.</w:t>
      </w:r>
    </w:p>
  </w:footnote>
  <w:footnote w:id="18">
    <w:p w14:paraId="1D1C0725" w14:textId="26D33F31" w:rsidR="00775CAE" w:rsidRDefault="00775CAE">
      <w:pPr>
        <w:pStyle w:val="FootnoteText"/>
      </w:pPr>
      <w:r>
        <w:rPr>
          <w:rStyle w:val="FootnoteReference"/>
        </w:rPr>
        <w:footnoteRef/>
      </w:r>
      <w:r>
        <w:t xml:space="preserve"> </w:t>
      </w:r>
      <w:r w:rsidR="004B44E1" w:rsidRPr="004B44E1">
        <w:t>National Emergencies Act, Pub. L. No. 94-412. Codified at 50 U.S.C. §1601 - §1651.</w:t>
      </w:r>
    </w:p>
  </w:footnote>
  <w:footnote w:id="19">
    <w:p w14:paraId="241AF797" w14:textId="5BBF2B73" w:rsidR="00775CAE" w:rsidRDefault="00775CAE">
      <w:pPr>
        <w:pStyle w:val="FootnoteText"/>
      </w:pPr>
      <w:r>
        <w:rPr>
          <w:rStyle w:val="FootnoteReference"/>
        </w:rPr>
        <w:footnoteRef/>
      </w:r>
      <w:r>
        <w:t xml:space="preserve"> </w:t>
      </w:r>
      <w:r w:rsidR="00192747" w:rsidRPr="00192747">
        <w:t>Robert T. Stafford Disaster Relief and Emergency Assistance Act of 1988. Pub. L. No. 100-707; amending Pub. L. No. 93-288. Codified at 42 U.S.C. §§ 5121-5207.</w:t>
      </w:r>
    </w:p>
  </w:footnote>
  <w:footnote w:id="20">
    <w:p w14:paraId="361D72E1" w14:textId="15D22897" w:rsidR="00067A0A" w:rsidRDefault="00067A0A">
      <w:pPr>
        <w:pStyle w:val="FootnoteText"/>
      </w:pPr>
      <w:r>
        <w:rPr>
          <w:rStyle w:val="FootnoteReference"/>
        </w:rPr>
        <w:footnoteRef/>
      </w:r>
      <w:r>
        <w:t xml:space="preserve"> </w:t>
      </w:r>
      <w:r w:rsidRPr="00067A0A">
        <w:t>Health Insurance Portability and Accountability Act of 1996, Pub. L. No. 104-191. Codified at 42 U.S.C. §1320d et seq. and §300gg; and 29 U.S.C §1181 et seq.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E7922E" w14:textId="2BEC6A7C" w:rsidR="00AB5416" w:rsidRPr="00173A90" w:rsidRDefault="00AB5416" w:rsidP="00AB5416">
    <w:pPr>
      <w:pStyle w:val="Header"/>
      <w:tabs>
        <w:tab w:val="clear" w:pos="4680"/>
        <w:tab w:val="clear" w:pos="9360"/>
      </w:tabs>
      <w:jc w:val="center"/>
    </w:pPr>
    <w:r w:rsidRPr="00173A90">
      <w:rPr>
        <w:highlight w:val="yellow"/>
      </w:rPr>
      <w:t>DRAFT 1</w:t>
    </w:r>
    <w:r w:rsidR="00173A90">
      <w:rPr>
        <w:highlight w:val="yellow"/>
      </w:rPr>
      <w:t xml:space="preserve">.1 </w:t>
    </w:r>
    <w:r w:rsidRPr="00173A90">
      <w:rPr>
        <w:highlight w:val="yellow"/>
      </w:rPr>
      <w:tab/>
      <w:t>DO NOT CITE OR CIRCULATE BEYOND CSTE REVIEWERS</w:t>
    </w:r>
  </w:p>
  <w:p w14:paraId="24323089" w14:textId="7CD7AA4E" w:rsidR="00BD2654" w:rsidRPr="00BD2654" w:rsidRDefault="00BD2654" w:rsidP="00BD2654">
    <w:pPr>
      <w:pStyle w:val="Header"/>
      <w:jc w:val="center"/>
      <w:rPr>
        <w:b/>
        <w:b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0B9588" w14:textId="0CEAB65E" w:rsidR="00BD2654" w:rsidRPr="00173A90" w:rsidRDefault="00AB5416" w:rsidP="00AB5416">
    <w:pPr>
      <w:pStyle w:val="Header"/>
      <w:tabs>
        <w:tab w:val="clear" w:pos="4680"/>
        <w:tab w:val="clear" w:pos="9360"/>
      </w:tabs>
      <w:jc w:val="center"/>
    </w:pPr>
    <w:r w:rsidRPr="00173A90">
      <w:rPr>
        <w:highlight w:val="yellow"/>
      </w:rPr>
      <w:t>DRAFT 1</w:t>
    </w:r>
    <w:r w:rsidR="00173A90" w:rsidRPr="00173A90">
      <w:rPr>
        <w:highlight w:val="yellow"/>
      </w:rPr>
      <w:t>.1</w:t>
    </w:r>
    <w:r w:rsidRPr="00173A90">
      <w:rPr>
        <w:highlight w:val="yellow"/>
      </w:rPr>
      <w:tab/>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F86F4D"/>
    <w:multiLevelType w:val="hybridMultilevel"/>
    <w:tmpl w:val="6A56D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36F5124B"/>
    <w:multiLevelType w:val="hybridMultilevel"/>
    <w:tmpl w:val="72D01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9047EE7"/>
    <w:multiLevelType w:val="hybridMultilevel"/>
    <w:tmpl w:val="F98AC1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8"/>
  </w:num>
  <w:num w:numId="3">
    <w:abstractNumId w:val="5"/>
  </w:num>
  <w:num w:numId="4">
    <w:abstractNumId w:val="14"/>
  </w:num>
  <w:num w:numId="5">
    <w:abstractNumId w:val="13"/>
  </w:num>
  <w:num w:numId="6">
    <w:abstractNumId w:val="24"/>
  </w:num>
  <w:num w:numId="7">
    <w:abstractNumId w:val="9"/>
  </w:num>
  <w:num w:numId="8">
    <w:abstractNumId w:val="12"/>
  </w:num>
  <w:num w:numId="9">
    <w:abstractNumId w:val="22"/>
  </w:num>
  <w:num w:numId="10">
    <w:abstractNumId w:val="25"/>
  </w:num>
  <w:num w:numId="11">
    <w:abstractNumId w:val="21"/>
  </w:num>
  <w:num w:numId="12">
    <w:abstractNumId w:val="4"/>
  </w:num>
  <w:num w:numId="13">
    <w:abstractNumId w:val="18"/>
  </w:num>
  <w:num w:numId="14">
    <w:abstractNumId w:val="17"/>
  </w:num>
  <w:num w:numId="15">
    <w:abstractNumId w:val="1"/>
  </w:num>
  <w:num w:numId="16">
    <w:abstractNumId w:val="0"/>
  </w:num>
  <w:num w:numId="17">
    <w:abstractNumId w:val="3"/>
  </w:num>
  <w:num w:numId="18">
    <w:abstractNumId w:val="7"/>
  </w:num>
  <w:num w:numId="19">
    <w:abstractNumId w:val="20"/>
  </w:num>
  <w:num w:numId="20">
    <w:abstractNumId w:val="26"/>
  </w:num>
  <w:num w:numId="21">
    <w:abstractNumId w:val="10"/>
  </w:num>
  <w:num w:numId="22">
    <w:abstractNumId w:val="23"/>
  </w:num>
  <w:num w:numId="23">
    <w:abstractNumId w:val="19"/>
  </w:num>
  <w:num w:numId="24">
    <w:abstractNumId w:val="2"/>
  </w:num>
  <w:num w:numId="25">
    <w:abstractNumId w:val="6"/>
  </w:num>
  <w:num w:numId="26">
    <w:abstractNumId w:val="1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28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00964"/>
    <w:rsid w:val="00003DBD"/>
    <w:rsid w:val="00005DC8"/>
    <w:rsid w:val="000071F9"/>
    <w:rsid w:val="00011924"/>
    <w:rsid w:val="00020C62"/>
    <w:rsid w:val="00022EFF"/>
    <w:rsid w:val="00025114"/>
    <w:rsid w:val="00027647"/>
    <w:rsid w:val="0003087F"/>
    <w:rsid w:val="00041662"/>
    <w:rsid w:val="0004240C"/>
    <w:rsid w:val="00054F9F"/>
    <w:rsid w:val="00062A59"/>
    <w:rsid w:val="000661AF"/>
    <w:rsid w:val="00067A0A"/>
    <w:rsid w:val="00071DB4"/>
    <w:rsid w:val="000844A3"/>
    <w:rsid w:val="00090318"/>
    <w:rsid w:val="00091065"/>
    <w:rsid w:val="00093854"/>
    <w:rsid w:val="00093D8D"/>
    <w:rsid w:val="0009614B"/>
    <w:rsid w:val="000A69C3"/>
    <w:rsid w:val="000B4888"/>
    <w:rsid w:val="000C1953"/>
    <w:rsid w:val="000C26F2"/>
    <w:rsid w:val="000D476C"/>
    <w:rsid w:val="000D541A"/>
    <w:rsid w:val="000E7A41"/>
    <w:rsid w:val="000F24D5"/>
    <w:rsid w:val="000F7199"/>
    <w:rsid w:val="000F7405"/>
    <w:rsid w:val="00102376"/>
    <w:rsid w:val="001135E3"/>
    <w:rsid w:val="00117346"/>
    <w:rsid w:val="001225B6"/>
    <w:rsid w:val="0012380C"/>
    <w:rsid w:val="00124000"/>
    <w:rsid w:val="001265EC"/>
    <w:rsid w:val="00130176"/>
    <w:rsid w:val="0014269D"/>
    <w:rsid w:val="00151278"/>
    <w:rsid w:val="00153D40"/>
    <w:rsid w:val="00154347"/>
    <w:rsid w:val="001566F2"/>
    <w:rsid w:val="00162B1C"/>
    <w:rsid w:val="00172AA5"/>
    <w:rsid w:val="001734BE"/>
    <w:rsid w:val="00173A90"/>
    <w:rsid w:val="00174FC1"/>
    <w:rsid w:val="00191E04"/>
    <w:rsid w:val="00192456"/>
    <w:rsid w:val="00192747"/>
    <w:rsid w:val="00194387"/>
    <w:rsid w:val="0019776A"/>
    <w:rsid w:val="001B4478"/>
    <w:rsid w:val="001C40BE"/>
    <w:rsid w:val="001D7AA4"/>
    <w:rsid w:val="001E41E8"/>
    <w:rsid w:val="001F47C8"/>
    <w:rsid w:val="001F6FFC"/>
    <w:rsid w:val="00201ACC"/>
    <w:rsid w:val="00204A08"/>
    <w:rsid w:val="00207476"/>
    <w:rsid w:val="00210DAA"/>
    <w:rsid w:val="0021473D"/>
    <w:rsid w:val="00216741"/>
    <w:rsid w:val="00217F06"/>
    <w:rsid w:val="00220CB8"/>
    <w:rsid w:val="002235A5"/>
    <w:rsid w:val="00230F39"/>
    <w:rsid w:val="00235B7F"/>
    <w:rsid w:val="00235E8A"/>
    <w:rsid w:val="002363B4"/>
    <w:rsid w:val="002367C7"/>
    <w:rsid w:val="00251249"/>
    <w:rsid w:val="00254F9B"/>
    <w:rsid w:val="002634FA"/>
    <w:rsid w:val="00266104"/>
    <w:rsid w:val="002724FE"/>
    <w:rsid w:val="00284FD2"/>
    <w:rsid w:val="00286157"/>
    <w:rsid w:val="0029136A"/>
    <w:rsid w:val="00296A86"/>
    <w:rsid w:val="00297E03"/>
    <w:rsid w:val="002A2B2D"/>
    <w:rsid w:val="002A36D7"/>
    <w:rsid w:val="002A6FBB"/>
    <w:rsid w:val="002B0261"/>
    <w:rsid w:val="002B1027"/>
    <w:rsid w:val="002B52EA"/>
    <w:rsid w:val="002C0A1D"/>
    <w:rsid w:val="002C5AF8"/>
    <w:rsid w:val="002C7C17"/>
    <w:rsid w:val="002D07A0"/>
    <w:rsid w:val="002D0CE9"/>
    <w:rsid w:val="002D15DB"/>
    <w:rsid w:val="002D2A1C"/>
    <w:rsid w:val="002D5DE1"/>
    <w:rsid w:val="002D63E9"/>
    <w:rsid w:val="002F2DDB"/>
    <w:rsid w:val="002F48C5"/>
    <w:rsid w:val="003034FF"/>
    <w:rsid w:val="003037A1"/>
    <w:rsid w:val="0030693A"/>
    <w:rsid w:val="00307B99"/>
    <w:rsid w:val="0031317D"/>
    <w:rsid w:val="00321E8A"/>
    <w:rsid w:val="00322E0A"/>
    <w:rsid w:val="00323B65"/>
    <w:rsid w:val="003241AC"/>
    <w:rsid w:val="00325B53"/>
    <w:rsid w:val="00326ABD"/>
    <w:rsid w:val="00330EDF"/>
    <w:rsid w:val="00330FA1"/>
    <w:rsid w:val="00332AB5"/>
    <w:rsid w:val="00332B89"/>
    <w:rsid w:val="00336B2A"/>
    <w:rsid w:val="003422D5"/>
    <w:rsid w:val="00342351"/>
    <w:rsid w:val="0035095B"/>
    <w:rsid w:val="003537A9"/>
    <w:rsid w:val="00353955"/>
    <w:rsid w:val="00357EBA"/>
    <w:rsid w:val="0037310B"/>
    <w:rsid w:val="003767F5"/>
    <w:rsid w:val="003853B8"/>
    <w:rsid w:val="00386CF6"/>
    <w:rsid w:val="003A463A"/>
    <w:rsid w:val="003A53B4"/>
    <w:rsid w:val="003A710A"/>
    <w:rsid w:val="003B040B"/>
    <w:rsid w:val="003B249A"/>
    <w:rsid w:val="003B3F6C"/>
    <w:rsid w:val="003D199D"/>
    <w:rsid w:val="003D1A9D"/>
    <w:rsid w:val="003D325B"/>
    <w:rsid w:val="003D5EF6"/>
    <w:rsid w:val="003D6CB2"/>
    <w:rsid w:val="003E1A3F"/>
    <w:rsid w:val="003E7FF9"/>
    <w:rsid w:val="003F01C3"/>
    <w:rsid w:val="00411D14"/>
    <w:rsid w:val="004167CA"/>
    <w:rsid w:val="004170CB"/>
    <w:rsid w:val="0043764C"/>
    <w:rsid w:val="00446C2B"/>
    <w:rsid w:val="0045180A"/>
    <w:rsid w:val="004737C3"/>
    <w:rsid w:val="00473B9E"/>
    <w:rsid w:val="004757F9"/>
    <w:rsid w:val="00476446"/>
    <w:rsid w:val="00477E52"/>
    <w:rsid w:val="00480D8E"/>
    <w:rsid w:val="0048569F"/>
    <w:rsid w:val="004B01D7"/>
    <w:rsid w:val="004B2516"/>
    <w:rsid w:val="004B273B"/>
    <w:rsid w:val="004B4063"/>
    <w:rsid w:val="004B44E1"/>
    <w:rsid w:val="004B4C5A"/>
    <w:rsid w:val="004B75AA"/>
    <w:rsid w:val="004C6748"/>
    <w:rsid w:val="004D2258"/>
    <w:rsid w:val="004D661F"/>
    <w:rsid w:val="004D6B98"/>
    <w:rsid w:val="004E082B"/>
    <w:rsid w:val="004E79DB"/>
    <w:rsid w:val="004F2259"/>
    <w:rsid w:val="004F56C8"/>
    <w:rsid w:val="004F7804"/>
    <w:rsid w:val="00503898"/>
    <w:rsid w:val="005061AB"/>
    <w:rsid w:val="005105C6"/>
    <w:rsid w:val="00524183"/>
    <w:rsid w:val="00525CA0"/>
    <w:rsid w:val="00531E77"/>
    <w:rsid w:val="005321CA"/>
    <w:rsid w:val="0053342D"/>
    <w:rsid w:val="00534E8D"/>
    <w:rsid w:val="00536ABE"/>
    <w:rsid w:val="00537DC1"/>
    <w:rsid w:val="005541E9"/>
    <w:rsid w:val="00554713"/>
    <w:rsid w:val="0055715D"/>
    <w:rsid w:val="005576FD"/>
    <w:rsid w:val="00557FC0"/>
    <w:rsid w:val="0056051D"/>
    <w:rsid w:val="005619E9"/>
    <w:rsid w:val="0057202D"/>
    <w:rsid w:val="00573E99"/>
    <w:rsid w:val="00575811"/>
    <w:rsid w:val="0059165D"/>
    <w:rsid w:val="00593D44"/>
    <w:rsid w:val="005A51E6"/>
    <w:rsid w:val="005A541F"/>
    <w:rsid w:val="005B3A05"/>
    <w:rsid w:val="005B4C33"/>
    <w:rsid w:val="005C2444"/>
    <w:rsid w:val="005C2C57"/>
    <w:rsid w:val="005D33FC"/>
    <w:rsid w:val="005D348D"/>
    <w:rsid w:val="005E7133"/>
    <w:rsid w:val="005E76F0"/>
    <w:rsid w:val="006169FC"/>
    <w:rsid w:val="00616D59"/>
    <w:rsid w:val="00621795"/>
    <w:rsid w:val="006308CD"/>
    <w:rsid w:val="006321B5"/>
    <w:rsid w:val="00634C43"/>
    <w:rsid w:val="00635ABF"/>
    <w:rsid w:val="00667632"/>
    <w:rsid w:val="006769E2"/>
    <w:rsid w:val="00686AA7"/>
    <w:rsid w:val="0069006A"/>
    <w:rsid w:val="006A2BE6"/>
    <w:rsid w:val="006A5715"/>
    <w:rsid w:val="006B2713"/>
    <w:rsid w:val="006B36F2"/>
    <w:rsid w:val="006B49F1"/>
    <w:rsid w:val="006C49C1"/>
    <w:rsid w:val="006D0FB6"/>
    <w:rsid w:val="006D1E66"/>
    <w:rsid w:val="006D2E3A"/>
    <w:rsid w:val="006D4626"/>
    <w:rsid w:val="006D5910"/>
    <w:rsid w:val="006E2BA9"/>
    <w:rsid w:val="006F13B2"/>
    <w:rsid w:val="006F6525"/>
    <w:rsid w:val="00701DDA"/>
    <w:rsid w:val="00705BCA"/>
    <w:rsid w:val="007145A6"/>
    <w:rsid w:val="00720547"/>
    <w:rsid w:val="00730B39"/>
    <w:rsid w:val="00744249"/>
    <w:rsid w:val="00745928"/>
    <w:rsid w:val="007630F9"/>
    <w:rsid w:val="00763876"/>
    <w:rsid w:val="007651C8"/>
    <w:rsid w:val="00770415"/>
    <w:rsid w:val="00775CAE"/>
    <w:rsid w:val="0077739B"/>
    <w:rsid w:val="00783264"/>
    <w:rsid w:val="0079511B"/>
    <w:rsid w:val="00796A79"/>
    <w:rsid w:val="0079749B"/>
    <w:rsid w:val="007A037B"/>
    <w:rsid w:val="007A0825"/>
    <w:rsid w:val="007A5345"/>
    <w:rsid w:val="007B0C7D"/>
    <w:rsid w:val="007B2356"/>
    <w:rsid w:val="007C1813"/>
    <w:rsid w:val="007C79D7"/>
    <w:rsid w:val="007D0BCD"/>
    <w:rsid w:val="007D0E9F"/>
    <w:rsid w:val="007D5B9F"/>
    <w:rsid w:val="007D6506"/>
    <w:rsid w:val="007E0ED3"/>
    <w:rsid w:val="007E6B18"/>
    <w:rsid w:val="008030FD"/>
    <w:rsid w:val="00803B30"/>
    <w:rsid w:val="0080483B"/>
    <w:rsid w:val="00807718"/>
    <w:rsid w:val="00811B02"/>
    <w:rsid w:val="008160E4"/>
    <w:rsid w:val="00830323"/>
    <w:rsid w:val="008351E0"/>
    <w:rsid w:val="008379B6"/>
    <w:rsid w:val="00842F4A"/>
    <w:rsid w:val="00854797"/>
    <w:rsid w:val="0085620F"/>
    <w:rsid w:val="00860914"/>
    <w:rsid w:val="00861311"/>
    <w:rsid w:val="00865B0B"/>
    <w:rsid w:val="008667B2"/>
    <w:rsid w:val="00866ED4"/>
    <w:rsid w:val="008821B1"/>
    <w:rsid w:val="00884374"/>
    <w:rsid w:val="00885D40"/>
    <w:rsid w:val="00886D22"/>
    <w:rsid w:val="0089049A"/>
    <w:rsid w:val="00894CDE"/>
    <w:rsid w:val="00894F0A"/>
    <w:rsid w:val="008A38F2"/>
    <w:rsid w:val="008A6D9E"/>
    <w:rsid w:val="008B1B7D"/>
    <w:rsid w:val="008C2531"/>
    <w:rsid w:val="008C258F"/>
    <w:rsid w:val="008C585F"/>
    <w:rsid w:val="008C6B30"/>
    <w:rsid w:val="008C7195"/>
    <w:rsid w:val="008C7E97"/>
    <w:rsid w:val="008D04D9"/>
    <w:rsid w:val="008D6E61"/>
    <w:rsid w:val="008F2270"/>
    <w:rsid w:val="008F30A3"/>
    <w:rsid w:val="008F773F"/>
    <w:rsid w:val="009000BE"/>
    <w:rsid w:val="00902777"/>
    <w:rsid w:val="00902856"/>
    <w:rsid w:val="00903A6F"/>
    <w:rsid w:val="00907F07"/>
    <w:rsid w:val="009113BC"/>
    <w:rsid w:val="00922040"/>
    <w:rsid w:val="00926896"/>
    <w:rsid w:val="009302CF"/>
    <w:rsid w:val="00934437"/>
    <w:rsid w:val="00946260"/>
    <w:rsid w:val="009512A4"/>
    <w:rsid w:val="00955CF4"/>
    <w:rsid w:val="00985741"/>
    <w:rsid w:val="009946CB"/>
    <w:rsid w:val="0099702B"/>
    <w:rsid w:val="0099759F"/>
    <w:rsid w:val="009A3B6B"/>
    <w:rsid w:val="009A7BE0"/>
    <w:rsid w:val="009B341B"/>
    <w:rsid w:val="009D2B18"/>
    <w:rsid w:val="009D6CEE"/>
    <w:rsid w:val="009E1E66"/>
    <w:rsid w:val="009F4F1A"/>
    <w:rsid w:val="009F71D5"/>
    <w:rsid w:val="00A30406"/>
    <w:rsid w:val="00A33BCA"/>
    <w:rsid w:val="00A35468"/>
    <w:rsid w:val="00A35683"/>
    <w:rsid w:val="00A40A1B"/>
    <w:rsid w:val="00A537C9"/>
    <w:rsid w:val="00A53EBE"/>
    <w:rsid w:val="00A61720"/>
    <w:rsid w:val="00A64F88"/>
    <w:rsid w:val="00A73327"/>
    <w:rsid w:val="00A76ED3"/>
    <w:rsid w:val="00A90867"/>
    <w:rsid w:val="00A914F7"/>
    <w:rsid w:val="00A93A63"/>
    <w:rsid w:val="00A97FBE"/>
    <w:rsid w:val="00AA040F"/>
    <w:rsid w:val="00AA17CE"/>
    <w:rsid w:val="00AA71C9"/>
    <w:rsid w:val="00AB13EF"/>
    <w:rsid w:val="00AB5416"/>
    <w:rsid w:val="00AB63B7"/>
    <w:rsid w:val="00AB690F"/>
    <w:rsid w:val="00AC0282"/>
    <w:rsid w:val="00AC37CE"/>
    <w:rsid w:val="00AD16A6"/>
    <w:rsid w:val="00AD5BE1"/>
    <w:rsid w:val="00AD62B5"/>
    <w:rsid w:val="00AE599C"/>
    <w:rsid w:val="00AE63CC"/>
    <w:rsid w:val="00AF3743"/>
    <w:rsid w:val="00AF4DD8"/>
    <w:rsid w:val="00AF4DF5"/>
    <w:rsid w:val="00AF6FA3"/>
    <w:rsid w:val="00B05763"/>
    <w:rsid w:val="00B121AE"/>
    <w:rsid w:val="00B14DE0"/>
    <w:rsid w:val="00B21D79"/>
    <w:rsid w:val="00B21D84"/>
    <w:rsid w:val="00B23217"/>
    <w:rsid w:val="00B246D9"/>
    <w:rsid w:val="00B262D1"/>
    <w:rsid w:val="00B27083"/>
    <w:rsid w:val="00B30486"/>
    <w:rsid w:val="00B31B59"/>
    <w:rsid w:val="00B33748"/>
    <w:rsid w:val="00B33B0D"/>
    <w:rsid w:val="00B359BE"/>
    <w:rsid w:val="00B42691"/>
    <w:rsid w:val="00B43057"/>
    <w:rsid w:val="00B44731"/>
    <w:rsid w:val="00B53CDD"/>
    <w:rsid w:val="00B5706A"/>
    <w:rsid w:val="00B7567E"/>
    <w:rsid w:val="00B75B7F"/>
    <w:rsid w:val="00B80994"/>
    <w:rsid w:val="00B90872"/>
    <w:rsid w:val="00B978E6"/>
    <w:rsid w:val="00BA07FC"/>
    <w:rsid w:val="00BA12D5"/>
    <w:rsid w:val="00BB28E4"/>
    <w:rsid w:val="00BB7E34"/>
    <w:rsid w:val="00BC4AA8"/>
    <w:rsid w:val="00BC4BBB"/>
    <w:rsid w:val="00BC617F"/>
    <w:rsid w:val="00BD2654"/>
    <w:rsid w:val="00BD4BD6"/>
    <w:rsid w:val="00BD666C"/>
    <w:rsid w:val="00BE3CF3"/>
    <w:rsid w:val="00BF24E5"/>
    <w:rsid w:val="00BF3BE2"/>
    <w:rsid w:val="00BF5343"/>
    <w:rsid w:val="00C04A0A"/>
    <w:rsid w:val="00C10CA9"/>
    <w:rsid w:val="00C22478"/>
    <w:rsid w:val="00C3494E"/>
    <w:rsid w:val="00C53A2F"/>
    <w:rsid w:val="00C54883"/>
    <w:rsid w:val="00C6091B"/>
    <w:rsid w:val="00C616E5"/>
    <w:rsid w:val="00C704C2"/>
    <w:rsid w:val="00C71C3B"/>
    <w:rsid w:val="00C725FC"/>
    <w:rsid w:val="00C8371B"/>
    <w:rsid w:val="00C83F1E"/>
    <w:rsid w:val="00C84065"/>
    <w:rsid w:val="00C85A00"/>
    <w:rsid w:val="00C86FF5"/>
    <w:rsid w:val="00C9072A"/>
    <w:rsid w:val="00C911AB"/>
    <w:rsid w:val="00C91B48"/>
    <w:rsid w:val="00C9555D"/>
    <w:rsid w:val="00CA1D75"/>
    <w:rsid w:val="00CA24B5"/>
    <w:rsid w:val="00CA6CED"/>
    <w:rsid w:val="00CA7A57"/>
    <w:rsid w:val="00CC0F47"/>
    <w:rsid w:val="00CC3ED0"/>
    <w:rsid w:val="00CD695E"/>
    <w:rsid w:val="00CE33F1"/>
    <w:rsid w:val="00CE376E"/>
    <w:rsid w:val="00CE5873"/>
    <w:rsid w:val="00CE66BD"/>
    <w:rsid w:val="00CE70F4"/>
    <w:rsid w:val="00CF2983"/>
    <w:rsid w:val="00CF327F"/>
    <w:rsid w:val="00CF338B"/>
    <w:rsid w:val="00D01054"/>
    <w:rsid w:val="00D04357"/>
    <w:rsid w:val="00D061C5"/>
    <w:rsid w:val="00D124D9"/>
    <w:rsid w:val="00D1406D"/>
    <w:rsid w:val="00D1435C"/>
    <w:rsid w:val="00D31CAE"/>
    <w:rsid w:val="00D32762"/>
    <w:rsid w:val="00D45F1A"/>
    <w:rsid w:val="00D47FA4"/>
    <w:rsid w:val="00D556B5"/>
    <w:rsid w:val="00D6209A"/>
    <w:rsid w:val="00D7264F"/>
    <w:rsid w:val="00D77B41"/>
    <w:rsid w:val="00D91677"/>
    <w:rsid w:val="00DA3C5D"/>
    <w:rsid w:val="00DA4F45"/>
    <w:rsid w:val="00DA666A"/>
    <w:rsid w:val="00DB33B7"/>
    <w:rsid w:val="00DD4C56"/>
    <w:rsid w:val="00DD74C0"/>
    <w:rsid w:val="00DE370F"/>
    <w:rsid w:val="00DE3F1F"/>
    <w:rsid w:val="00DE54BB"/>
    <w:rsid w:val="00DF7F89"/>
    <w:rsid w:val="00E02B05"/>
    <w:rsid w:val="00E045FF"/>
    <w:rsid w:val="00E05A6A"/>
    <w:rsid w:val="00E05BC4"/>
    <w:rsid w:val="00E1117E"/>
    <w:rsid w:val="00E1401D"/>
    <w:rsid w:val="00E21791"/>
    <w:rsid w:val="00E2727F"/>
    <w:rsid w:val="00E37175"/>
    <w:rsid w:val="00E45400"/>
    <w:rsid w:val="00E456D5"/>
    <w:rsid w:val="00E525FA"/>
    <w:rsid w:val="00E53674"/>
    <w:rsid w:val="00E57DC9"/>
    <w:rsid w:val="00E64245"/>
    <w:rsid w:val="00E66C3E"/>
    <w:rsid w:val="00E70E72"/>
    <w:rsid w:val="00EA1A5E"/>
    <w:rsid w:val="00EA427D"/>
    <w:rsid w:val="00EA4DF0"/>
    <w:rsid w:val="00EB12E6"/>
    <w:rsid w:val="00ED3FB8"/>
    <w:rsid w:val="00ED4B79"/>
    <w:rsid w:val="00ED7C55"/>
    <w:rsid w:val="00ED7CC0"/>
    <w:rsid w:val="00EE7EAF"/>
    <w:rsid w:val="00EF09FE"/>
    <w:rsid w:val="00EF14F2"/>
    <w:rsid w:val="00F01F60"/>
    <w:rsid w:val="00F02A62"/>
    <w:rsid w:val="00F05217"/>
    <w:rsid w:val="00F06D25"/>
    <w:rsid w:val="00F11299"/>
    <w:rsid w:val="00F1769F"/>
    <w:rsid w:val="00F23DC2"/>
    <w:rsid w:val="00F260D9"/>
    <w:rsid w:val="00F3578C"/>
    <w:rsid w:val="00F37F01"/>
    <w:rsid w:val="00F4339B"/>
    <w:rsid w:val="00F50683"/>
    <w:rsid w:val="00F557C7"/>
    <w:rsid w:val="00F618C7"/>
    <w:rsid w:val="00F622D8"/>
    <w:rsid w:val="00F836DE"/>
    <w:rsid w:val="00F84396"/>
    <w:rsid w:val="00F86AF4"/>
    <w:rsid w:val="00FA29B8"/>
    <w:rsid w:val="00FA65E7"/>
    <w:rsid w:val="00FB0973"/>
    <w:rsid w:val="00FB2A38"/>
    <w:rsid w:val="00FB2E65"/>
    <w:rsid w:val="00FC3301"/>
    <w:rsid w:val="00FC6CC3"/>
    <w:rsid w:val="00FD019A"/>
    <w:rsid w:val="00FD22F0"/>
    <w:rsid w:val="00FD366A"/>
    <w:rsid w:val="00FD7E7C"/>
    <w:rsid w:val="00FE1703"/>
    <w:rsid w:val="00FE41FB"/>
    <w:rsid w:val="00FE42C0"/>
    <w:rsid w:val="00FE7F34"/>
    <w:rsid w:val="00FF225E"/>
    <w:rsid w:val="00FF55C0"/>
    <w:rsid w:val="00FF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 w:type="character" w:styleId="FollowedHyperlink">
    <w:name w:val="FollowedHyperlink"/>
    <w:basedOn w:val="DefaultParagraphFont"/>
    <w:uiPriority w:val="99"/>
    <w:semiHidden/>
    <w:unhideWhenUsed/>
    <w:rsid w:val="00686AA7"/>
    <w:rPr>
      <w:color w:val="954F72" w:themeColor="followedHyperlink"/>
      <w:u w:val="single"/>
    </w:rPr>
  </w:style>
  <w:style w:type="paragraph" w:styleId="FootnoteText">
    <w:name w:val="footnote text"/>
    <w:basedOn w:val="Normal"/>
    <w:link w:val="FootnoteTextChar"/>
    <w:uiPriority w:val="99"/>
    <w:unhideWhenUsed/>
    <w:rsid w:val="0031317D"/>
    <w:rPr>
      <w:sz w:val="20"/>
      <w:szCs w:val="20"/>
    </w:rPr>
  </w:style>
  <w:style w:type="character" w:customStyle="1" w:styleId="FootnoteTextChar">
    <w:name w:val="Footnote Text Char"/>
    <w:basedOn w:val="DefaultParagraphFont"/>
    <w:link w:val="FootnoteText"/>
    <w:uiPriority w:val="99"/>
    <w:rsid w:val="0031317D"/>
    <w:rPr>
      <w:sz w:val="20"/>
      <w:szCs w:val="20"/>
    </w:rPr>
  </w:style>
  <w:style w:type="character" w:styleId="FootnoteReference">
    <w:name w:val="footnote reference"/>
    <w:basedOn w:val="DefaultParagraphFont"/>
    <w:uiPriority w:val="99"/>
    <w:semiHidden/>
    <w:unhideWhenUsed/>
    <w:rsid w:val="0031317D"/>
    <w:rPr>
      <w:vertAlign w:val="superscript"/>
    </w:rPr>
  </w:style>
  <w:style w:type="character" w:styleId="UnresolvedMention">
    <w:name w:val="Unresolved Mention"/>
    <w:basedOn w:val="DefaultParagraphFont"/>
    <w:uiPriority w:val="99"/>
    <w:semiHidden/>
    <w:unhideWhenUsed/>
    <w:rsid w:val="00A914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08431">
      <w:bodyDiv w:val="1"/>
      <w:marLeft w:val="0"/>
      <w:marRight w:val="0"/>
      <w:marTop w:val="0"/>
      <w:marBottom w:val="0"/>
      <w:divBdr>
        <w:top w:val="none" w:sz="0" w:space="0" w:color="auto"/>
        <w:left w:val="none" w:sz="0" w:space="0" w:color="auto"/>
        <w:bottom w:val="none" w:sz="0" w:space="0" w:color="auto"/>
        <w:right w:val="none" w:sz="0" w:space="0" w:color="auto"/>
      </w:divBdr>
    </w:div>
    <w:div w:id="43676581">
      <w:bodyDiv w:val="1"/>
      <w:marLeft w:val="0"/>
      <w:marRight w:val="0"/>
      <w:marTop w:val="0"/>
      <w:marBottom w:val="0"/>
      <w:divBdr>
        <w:top w:val="none" w:sz="0" w:space="0" w:color="auto"/>
        <w:left w:val="none" w:sz="0" w:space="0" w:color="auto"/>
        <w:bottom w:val="none" w:sz="0" w:space="0" w:color="auto"/>
        <w:right w:val="none" w:sz="0" w:space="0" w:color="auto"/>
      </w:divBdr>
    </w:div>
    <w:div w:id="121922429">
      <w:bodyDiv w:val="1"/>
      <w:marLeft w:val="0"/>
      <w:marRight w:val="0"/>
      <w:marTop w:val="0"/>
      <w:marBottom w:val="0"/>
      <w:divBdr>
        <w:top w:val="none" w:sz="0" w:space="0" w:color="auto"/>
        <w:left w:val="none" w:sz="0" w:space="0" w:color="auto"/>
        <w:bottom w:val="none" w:sz="0" w:space="0" w:color="auto"/>
        <w:right w:val="none" w:sz="0" w:space="0" w:color="auto"/>
      </w:divBdr>
    </w:div>
    <w:div w:id="524250140">
      <w:bodyDiv w:val="1"/>
      <w:marLeft w:val="0"/>
      <w:marRight w:val="0"/>
      <w:marTop w:val="0"/>
      <w:marBottom w:val="0"/>
      <w:divBdr>
        <w:top w:val="none" w:sz="0" w:space="0" w:color="auto"/>
        <w:left w:val="none" w:sz="0" w:space="0" w:color="auto"/>
        <w:bottom w:val="none" w:sz="0" w:space="0" w:color="auto"/>
        <w:right w:val="none" w:sz="0" w:space="0" w:color="auto"/>
      </w:divBdr>
    </w:div>
    <w:div w:id="748622736">
      <w:bodyDiv w:val="1"/>
      <w:marLeft w:val="0"/>
      <w:marRight w:val="0"/>
      <w:marTop w:val="0"/>
      <w:marBottom w:val="0"/>
      <w:divBdr>
        <w:top w:val="none" w:sz="0" w:space="0" w:color="auto"/>
        <w:left w:val="none" w:sz="0" w:space="0" w:color="auto"/>
        <w:bottom w:val="none" w:sz="0" w:space="0" w:color="auto"/>
        <w:right w:val="none" w:sz="0" w:space="0" w:color="auto"/>
      </w:divBdr>
    </w:div>
    <w:div w:id="873733221">
      <w:bodyDiv w:val="1"/>
      <w:marLeft w:val="0"/>
      <w:marRight w:val="0"/>
      <w:marTop w:val="0"/>
      <w:marBottom w:val="0"/>
      <w:divBdr>
        <w:top w:val="none" w:sz="0" w:space="0" w:color="auto"/>
        <w:left w:val="none" w:sz="0" w:space="0" w:color="auto"/>
        <w:bottom w:val="none" w:sz="0" w:space="0" w:color="auto"/>
        <w:right w:val="none" w:sz="0" w:space="0" w:color="auto"/>
      </w:divBdr>
    </w:div>
    <w:div w:id="1255699834">
      <w:bodyDiv w:val="1"/>
      <w:marLeft w:val="0"/>
      <w:marRight w:val="0"/>
      <w:marTop w:val="0"/>
      <w:marBottom w:val="0"/>
      <w:divBdr>
        <w:top w:val="none" w:sz="0" w:space="0" w:color="auto"/>
        <w:left w:val="none" w:sz="0" w:space="0" w:color="auto"/>
        <w:bottom w:val="none" w:sz="0" w:space="0" w:color="auto"/>
        <w:right w:val="none" w:sz="0" w:space="0" w:color="auto"/>
      </w:divBdr>
    </w:div>
    <w:div w:id="1936012680">
      <w:bodyDiv w:val="1"/>
      <w:marLeft w:val="0"/>
      <w:marRight w:val="0"/>
      <w:marTop w:val="0"/>
      <w:marBottom w:val="0"/>
      <w:divBdr>
        <w:top w:val="none" w:sz="0" w:space="0" w:color="auto"/>
        <w:left w:val="none" w:sz="0" w:space="0" w:color="auto"/>
        <w:bottom w:val="none" w:sz="0" w:space="0" w:color="auto"/>
        <w:right w:val="none" w:sz="0" w:space="0" w:color="auto"/>
      </w:divBdr>
    </w:div>
    <w:div w:id="1965425711">
      <w:bodyDiv w:val="1"/>
      <w:marLeft w:val="0"/>
      <w:marRight w:val="0"/>
      <w:marTop w:val="0"/>
      <w:marBottom w:val="0"/>
      <w:divBdr>
        <w:top w:val="none" w:sz="0" w:space="0" w:color="auto"/>
        <w:left w:val="none" w:sz="0" w:space="0" w:color="auto"/>
        <w:bottom w:val="none" w:sz="0" w:space="0" w:color="auto"/>
        <w:right w:val="none" w:sz="0" w:space="0" w:color="auto"/>
      </w:divBdr>
    </w:div>
    <w:div w:id="206309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emacweb.org/" TargetMode="External"/><Relationship Id="rId13" Type="http://schemas.openxmlformats.org/officeDocument/2006/relationships/hyperlink" Target="https://www.mwl-law.com/wp-content/uploads/2018/02/COMPARATIVE-FAULT-SYSTEMS-CHART.pdf" TargetMode="External"/><Relationship Id="rId3" Type="http://schemas.openxmlformats.org/officeDocument/2006/relationships/hyperlink" Target="https://doi.org/10.17226/13351" TargetMode="External"/><Relationship Id="rId7" Type="http://schemas.openxmlformats.org/officeDocument/2006/relationships/hyperlink" Target="https://www.networkforphl.org/wp-content/uploads/2020/03/Crisis-Standards-of-Care-Hodge-JLME-2013.pdf" TargetMode="External"/><Relationship Id="rId12" Type="http://schemas.openxmlformats.org/officeDocument/2006/relationships/hyperlink" Target="https://www.mwl-law.com/wp-content/uploads/2018/02/COMPARATIVE-FAULT-SYSTEMS-CHART.pdf" TargetMode="External"/><Relationship Id="rId2" Type="http://schemas.openxmlformats.org/officeDocument/2006/relationships/hyperlink" Target="https://www.jhsph.edu/research/centers-and-institutes/center-for-law-and-the-publics-health/research/Research%20about%20Emergency%20Response%20Willingness1.pdf" TargetMode="External"/><Relationship Id="rId1" Type="http://schemas.openxmlformats.org/officeDocument/2006/relationships/hyperlink" Target="https://asprtracie.hhs.gov/technical-resources/11/training-and-workforce-development/1" TargetMode="External"/><Relationship Id="rId6" Type="http://schemas.openxmlformats.org/officeDocument/2006/relationships/hyperlink" Target="https://www.networkforphl.org/wp-content/uploads/2020/08/Western-Region-Primer-COVID-7-31-2020.pdf" TargetMode="External"/><Relationship Id="rId11" Type="http://schemas.openxmlformats.org/officeDocument/2006/relationships/hyperlink" Target="https://www.natlawreview.com/article/one-two-punch-businesses-must-fight-virus-and-possible-liability-claims" TargetMode="External"/><Relationship Id="rId5" Type="http://schemas.openxmlformats.org/officeDocument/2006/relationships/hyperlink" Target="https://www.azmirror.com/2020/07/03/as-covid-19-worsens-az-is-the-first-state-to-enact-crisis-care-standards/" TargetMode="External"/><Relationship Id="rId10" Type="http://schemas.openxmlformats.org/officeDocument/2006/relationships/hyperlink" Target="https://www.ncbi.nlm.nih.gov/books/NBK201075/" TargetMode="External"/><Relationship Id="rId4" Type="http://schemas.openxmlformats.org/officeDocument/2006/relationships/hyperlink" Target="https://www.networkforphl.org/wp-content/uploads/2020/08/Western-Region-Primer-COVID-7-31-2020.pdf" TargetMode="External"/><Relationship Id="rId9" Type="http://schemas.openxmlformats.org/officeDocument/2006/relationships/hyperlink" Target="https://www.emacweb.org/index.php/resources/best-practices/tribal-nation-emac-integ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209FB-968A-4364-8541-DA36AD158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15</Pages>
  <Words>4640</Words>
  <Characters>26448</Characters>
  <Application>Microsoft Office Word</Application>
  <DocSecurity>0</DocSecurity>
  <Lines>220</Lines>
  <Paragraphs>62</Paragraphs>
  <ScaleCrop>false</ScaleCrop>
  <Company/>
  <LinksUpToDate>false</LinksUpToDate>
  <CharactersWithSpaces>31026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101</cp:revision>
  <dcterms:created xsi:type="dcterms:W3CDTF">2020-08-04T00:14:00Z</dcterms:created>
  <dcterms:modified xsi:type="dcterms:W3CDTF">2020-08-08T00:11:00Z</dcterms:modified>
</cp:coreProperties>
</file>