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24CE55" w14:textId="73D4AE58" w:rsidR="004D132D" w:rsidRPr="004B6F22" w:rsidRDefault="008F27D6" w:rsidP="00B443BB">
      <w:pPr>
        <w:spacing w:line="360" w:lineRule="auto"/>
        <w:jc w:val="center"/>
        <w:rPr>
          <w:rFonts w:eastAsia="Times New Roman" w:cstheme="minorHAnsi"/>
          <w:b/>
          <w:bCs/>
          <w:color w:val="333333"/>
          <w:spacing w:val="15"/>
          <w:kern w:val="36"/>
          <w:sz w:val="24"/>
          <w:szCs w:val="24"/>
        </w:rPr>
      </w:pPr>
      <w:r w:rsidRPr="004B6F22">
        <w:rPr>
          <w:rFonts w:eastAsia="Times New Roman" w:cstheme="minorHAnsi"/>
          <w:b/>
          <w:bCs/>
          <w:color w:val="333333"/>
          <w:spacing w:val="15"/>
          <w:kern w:val="36"/>
          <w:sz w:val="24"/>
          <w:szCs w:val="24"/>
        </w:rPr>
        <w:t>SCOPE OF PRACTICE ISSUES IN PUBLIC HEALTH EMERGENCIES</w:t>
      </w:r>
      <w:r w:rsidR="0058030F">
        <w:rPr>
          <w:rFonts w:eastAsia="Times New Roman" w:cstheme="minorHAnsi"/>
          <w:b/>
          <w:bCs/>
          <w:color w:val="333333"/>
          <w:spacing w:val="15"/>
          <w:kern w:val="36"/>
          <w:sz w:val="24"/>
          <w:szCs w:val="24"/>
        </w:rPr>
        <w:t xml:space="preserve"> </w:t>
      </w:r>
    </w:p>
    <w:p w14:paraId="7BE70B4A" w14:textId="77777777" w:rsidR="00E31E7F" w:rsidRDefault="00E31E7F" w:rsidP="00E31E7F">
      <w:pPr>
        <w:spacing w:line="360" w:lineRule="auto"/>
        <w:ind w:left="720" w:right="720"/>
        <w:jc w:val="both"/>
        <w:rPr>
          <w:b/>
          <w:bCs/>
          <w:i/>
          <w:iCs/>
        </w:rPr>
      </w:pPr>
    </w:p>
    <w:p w14:paraId="36D1F8FE" w14:textId="7A22CE17" w:rsidR="00E31E7F" w:rsidRPr="00420287" w:rsidRDefault="00E31E7F" w:rsidP="00E31E7F">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D97C7A">
        <w:rPr>
          <w:i/>
          <w:iCs/>
        </w:rPr>
        <w:t>July 2020</w:t>
      </w:r>
      <w:r>
        <w:rPr>
          <w:i/>
          <w:iCs/>
        </w:rPr>
        <w:t>.</w:t>
      </w:r>
    </w:p>
    <w:p w14:paraId="39870F16" w14:textId="77777777" w:rsidR="00E4372D" w:rsidRPr="008F27D6" w:rsidRDefault="00E4372D" w:rsidP="00ED5D4C">
      <w:pPr>
        <w:spacing w:line="360" w:lineRule="auto"/>
        <w:rPr>
          <w:rFonts w:eastAsia="Times New Roman" w:cstheme="minorHAnsi"/>
          <w:b/>
          <w:bCs/>
          <w:color w:val="333333"/>
          <w:spacing w:val="15"/>
          <w:kern w:val="36"/>
        </w:rPr>
      </w:pPr>
    </w:p>
    <w:p w14:paraId="29F3E7D7" w14:textId="37957E50" w:rsidR="004D132D" w:rsidRPr="00A1396E" w:rsidRDefault="004D132D" w:rsidP="00B443BB">
      <w:pPr>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Overview</w:t>
      </w:r>
    </w:p>
    <w:p w14:paraId="6F6AC516" w14:textId="77C3AA51" w:rsidR="000F2A5A" w:rsidRDefault="004D132D" w:rsidP="00B443BB">
      <w:pPr>
        <w:spacing w:line="360" w:lineRule="auto"/>
        <w:rPr>
          <w:rFonts w:eastAsia="Times New Roman" w:cstheme="minorHAnsi"/>
          <w:szCs w:val="20"/>
        </w:rPr>
      </w:pPr>
      <w:r w:rsidRPr="00A1396E">
        <w:rPr>
          <w:rFonts w:eastAsia="Times New Roman" w:cstheme="minorHAnsi"/>
          <w:szCs w:val="20"/>
        </w:rPr>
        <w:t xml:space="preserve">States may find it necessary to modify the scope of practice for some of their regulated professions to meet increased demand for important services during an emergency. The need to supply </w:t>
      </w:r>
      <w:r w:rsidR="00F11C8E">
        <w:rPr>
          <w:rFonts w:eastAsia="Times New Roman" w:cstheme="minorHAnsi"/>
          <w:szCs w:val="20"/>
        </w:rPr>
        <w:t>enough</w:t>
      </w:r>
      <w:r w:rsidRPr="00A1396E">
        <w:rPr>
          <w:rFonts w:eastAsia="Times New Roman" w:cstheme="minorHAnsi"/>
          <w:szCs w:val="20"/>
        </w:rPr>
        <w:t xml:space="preserve"> healthcare practitioners to satisfy increased patient demand during a public health emergency is the driving force behind allowing temporary changes to practice requirements. Modifying scope of practice can be accomplished by expanding or altering the scope of activities a practitioner </w:t>
      </w:r>
      <w:r w:rsidR="00D50249" w:rsidRPr="00A1396E">
        <w:rPr>
          <w:rFonts w:eastAsia="Times New Roman" w:cstheme="minorHAnsi"/>
          <w:szCs w:val="20"/>
        </w:rPr>
        <w:t>can</w:t>
      </w:r>
      <w:r w:rsidRPr="00A1396E">
        <w:rPr>
          <w:rFonts w:eastAsia="Times New Roman" w:cstheme="minorHAnsi"/>
          <w:szCs w:val="20"/>
        </w:rPr>
        <w:t xml:space="preserve"> engage in and by removing or adding conditions on the permitted activities. Practitioners operating under a modified scope of practice during an emergency may be subject to conditions such as control, supervision, or training requirements. Their modified practice activities may be further limited to situations in which they are working under the direct order or supervision of a state or local entity such as a health agency, emergency management agency, or incident commander. </w:t>
      </w:r>
    </w:p>
    <w:p w14:paraId="24E994C6" w14:textId="25FABC86" w:rsidR="000F2A5A" w:rsidRDefault="000F2A5A" w:rsidP="00B443BB">
      <w:pPr>
        <w:spacing w:line="360" w:lineRule="auto"/>
        <w:rPr>
          <w:rFonts w:eastAsia="Times New Roman" w:cstheme="minorHAnsi"/>
          <w:szCs w:val="20"/>
        </w:rPr>
      </w:pPr>
    </w:p>
    <w:p w14:paraId="0D11DB74" w14:textId="3E7EB990" w:rsidR="004D132D" w:rsidRPr="00A1396E" w:rsidRDefault="00320C8A" w:rsidP="00B443BB">
      <w:pPr>
        <w:spacing w:line="360" w:lineRule="auto"/>
        <w:rPr>
          <w:rFonts w:eastAsia="Times New Roman" w:cstheme="minorHAnsi"/>
          <w:szCs w:val="20"/>
        </w:rPr>
      </w:pPr>
      <w:r w:rsidRPr="00320C8A">
        <w:rPr>
          <w:noProof/>
        </w:rPr>
        <mc:AlternateContent>
          <mc:Choice Requires="wps">
            <w:drawing>
              <wp:anchor distT="45720" distB="45720" distL="114300" distR="114300" simplePos="0" relativeHeight="251659264" behindDoc="0" locked="0" layoutInCell="1" allowOverlap="1" wp14:anchorId="31776569" wp14:editId="5F502121">
                <wp:simplePos x="0" y="0"/>
                <wp:positionH relativeFrom="margin">
                  <wp:align>center</wp:align>
                </wp:positionH>
                <wp:positionV relativeFrom="paragraph">
                  <wp:posOffset>1473200</wp:posOffset>
                </wp:positionV>
                <wp:extent cx="5833745" cy="786130"/>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786130"/>
                        </a:xfrm>
                        <a:prstGeom prst="rect">
                          <a:avLst/>
                        </a:prstGeom>
                        <a:solidFill>
                          <a:srgbClr val="FFFFFF"/>
                        </a:solidFill>
                        <a:ln w="9525">
                          <a:solidFill>
                            <a:srgbClr val="000000"/>
                          </a:solidFill>
                          <a:miter lim="800000"/>
                          <a:headEnd/>
                          <a:tailEnd/>
                        </a:ln>
                      </wps:spPr>
                      <wps:txbx>
                        <w:txbxContent>
                          <w:p w14:paraId="3528A49A" w14:textId="77777777" w:rsidR="00EE2801" w:rsidRPr="00CA76E9" w:rsidRDefault="00EE2801" w:rsidP="00EE2801">
                            <w:pPr>
                              <w:spacing w:after="120"/>
                              <w:jc w:val="center"/>
                              <w:rPr>
                                <w:i/>
                                <w:iCs/>
                              </w:rPr>
                            </w:pPr>
                            <w:r w:rsidRPr="00CA76E9">
                              <w:rPr>
                                <w:i/>
                                <w:iCs/>
                              </w:rPr>
                              <w:t xml:space="preserve">[Call out </w:t>
                            </w:r>
                            <w:r>
                              <w:rPr>
                                <w:i/>
                                <w:iCs/>
                              </w:rPr>
                              <w:t xml:space="preserve">box </w:t>
                            </w:r>
                            <w:r w:rsidRPr="00CA76E9">
                              <w:rPr>
                                <w:i/>
                                <w:iCs/>
                              </w:rPr>
                              <w:t>for first page of document]</w:t>
                            </w:r>
                          </w:p>
                          <w:p w14:paraId="733F8B13" w14:textId="77777777" w:rsidR="00EE2801" w:rsidRDefault="00EE2801" w:rsidP="00EE2801">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776569" id="_x0000_t202" coordsize="21600,21600" o:spt="202" path="m,l,21600r21600,l21600,xe">
                <v:stroke joinstyle="miter"/>
                <v:path gradientshapeok="t" o:connecttype="rect"/>
              </v:shapetype>
              <v:shape id="Text Box 2" o:spid="_x0000_s1026" type="#_x0000_t202" style="position:absolute;margin-left:0;margin-top:116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">
                <v:textbox>
                  <w:txbxContent>
                    <w:p w14:paraId="3528A49A" w14:textId="77777777" w:rsidR="00EE2801" w:rsidRPr="00CA76E9" w:rsidRDefault="00EE2801" w:rsidP="00EE2801">
                      <w:pPr>
                        <w:spacing w:after="120"/>
                        <w:jc w:val="center"/>
                        <w:rPr>
                          <w:i/>
                          <w:iCs/>
                        </w:rPr>
                      </w:pPr>
                      <w:r w:rsidRPr="00CA76E9">
                        <w:rPr>
                          <w:i/>
                          <w:iCs/>
                        </w:rPr>
                        <w:t xml:space="preserve">[Call out </w:t>
                      </w:r>
                      <w:r>
                        <w:rPr>
                          <w:i/>
                          <w:iCs/>
                        </w:rPr>
                        <w:t xml:space="preserve">box </w:t>
                      </w:r>
                      <w:r w:rsidRPr="00CA76E9">
                        <w:rPr>
                          <w:i/>
                          <w:iCs/>
                        </w:rPr>
                        <w:t>for first page of document]</w:t>
                      </w:r>
                    </w:p>
                    <w:p w14:paraId="733F8B13" w14:textId="77777777" w:rsidR="00EE2801" w:rsidRDefault="00EE2801" w:rsidP="00EE2801">
                      <w:r>
                        <w:t>Please see the Practice Guide accompanying this toolkit for access to practice notices, legal analysis tools, examples, and templates.</w:t>
                      </w:r>
                    </w:p>
                  </w:txbxContent>
                </v:textbox>
                <w10:wrap type="topAndBottom" anchorx="margin"/>
              </v:shape>
            </w:pict>
          </mc:Fallback>
        </mc:AlternateContent>
      </w:r>
      <w:r w:rsidR="009B26AD" w:rsidRPr="00320C8A">
        <w:rPr>
          <w:rFonts w:eastAsia="Times New Roman" w:cstheme="minorHAnsi"/>
          <w:szCs w:val="20"/>
        </w:rPr>
        <w:t xml:space="preserve">The </w:t>
      </w:r>
      <w:r w:rsidR="007D507D" w:rsidRPr="00320C8A">
        <w:rPr>
          <w:rFonts w:eastAsia="Times New Roman" w:cstheme="minorHAnsi"/>
          <w:szCs w:val="20"/>
        </w:rPr>
        <w:t>sheer</w:t>
      </w:r>
      <w:r w:rsidR="007D507D">
        <w:rPr>
          <w:rFonts w:eastAsia="Times New Roman" w:cstheme="minorHAnsi"/>
          <w:szCs w:val="20"/>
        </w:rPr>
        <w:t xml:space="preserve"> </w:t>
      </w:r>
      <w:r w:rsidR="0060535D" w:rsidRPr="0060535D">
        <w:rPr>
          <w:rFonts w:eastAsia="Times New Roman" w:cstheme="minorHAnsi"/>
          <w:szCs w:val="20"/>
        </w:rPr>
        <w:t xml:space="preserve">geographic scope and duration of the </w:t>
      </w:r>
      <w:r w:rsidR="0060535D">
        <w:rPr>
          <w:rFonts w:eastAsia="Times New Roman" w:cstheme="minorHAnsi"/>
          <w:szCs w:val="20"/>
        </w:rPr>
        <w:t xml:space="preserve">COVID-19 </w:t>
      </w:r>
      <w:r w:rsidR="0060535D" w:rsidRPr="0060535D">
        <w:rPr>
          <w:rFonts w:eastAsia="Times New Roman" w:cstheme="minorHAnsi"/>
          <w:szCs w:val="20"/>
        </w:rPr>
        <w:t>pandemic</w:t>
      </w:r>
      <w:r w:rsidR="009B26AD">
        <w:rPr>
          <w:rFonts w:eastAsia="Times New Roman" w:cstheme="minorHAnsi"/>
          <w:szCs w:val="20"/>
        </w:rPr>
        <w:t xml:space="preserve">, as well as the intensity of work required </w:t>
      </w:r>
      <w:r w:rsidR="007D507D">
        <w:rPr>
          <w:rFonts w:eastAsia="Times New Roman" w:cstheme="minorHAnsi"/>
          <w:szCs w:val="20"/>
        </w:rPr>
        <w:t xml:space="preserve">to treat </w:t>
      </w:r>
      <w:r w:rsidR="009C54ED">
        <w:rPr>
          <w:rFonts w:eastAsia="Times New Roman" w:cstheme="minorHAnsi"/>
          <w:szCs w:val="20"/>
        </w:rPr>
        <w:t>the ill</w:t>
      </w:r>
      <w:r w:rsidR="00BE7C10">
        <w:rPr>
          <w:rFonts w:eastAsia="Times New Roman" w:cstheme="minorHAnsi"/>
          <w:szCs w:val="20"/>
        </w:rPr>
        <w:t xml:space="preserve">, </w:t>
      </w:r>
      <w:r w:rsidR="009C54ED">
        <w:rPr>
          <w:rFonts w:eastAsia="Times New Roman" w:cstheme="minorHAnsi"/>
          <w:szCs w:val="20"/>
        </w:rPr>
        <w:t>conduct large</w:t>
      </w:r>
      <w:r w:rsidR="00D3441F">
        <w:rPr>
          <w:rFonts w:eastAsia="Times New Roman" w:cstheme="minorHAnsi"/>
          <w:szCs w:val="20"/>
        </w:rPr>
        <w:t xml:space="preserve"> </w:t>
      </w:r>
      <w:r w:rsidR="009C54ED">
        <w:rPr>
          <w:rFonts w:eastAsia="Times New Roman" w:cstheme="minorHAnsi"/>
          <w:szCs w:val="20"/>
        </w:rPr>
        <w:t xml:space="preserve">scale testing, </w:t>
      </w:r>
      <w:r w:rsidR="00BE7C10">
        <w:rPr>
          <w:rFonts w:eastAsia="Times New Roman" w:cstheme="minorHAnsi"/>
          <w:szCs w:val="20"/>
        </w:rPr>
        <w:t xml:space="preserve">and address the mental health needs of </w:t>
      </w:r>
      <w:r w:rsidR="00F23F9D">
        <w:rPr>
          <w:rFonts w:eastAsia="Times New Roman" w:cstheme="minorHAnsi"/>
          <w:szCs w:val="20"/>
        </w:rPr>
        <w:t xml:space="preserve">practitioners and the public alike, </w:t>
      </w:r>
      <w:r w:rsidR="00060C40">
        <w:rPr>
          <w:rFonts w:eastAsia="Times New Roman" w:cstheme="minorHAnsi"/>
          <w:szCs w:val="20"/>
        </w:rPr>
        <w:t>require</w:t>
      </w:r>
      <w:r w:rsidR="00D3441F">
        <w:rPr>
          <w:rFonts w:eastAsia="Times New Roman" w:cstheme="minorHAnsi"/>
          <w:szCs w:val="20"/>
        </w:rPr>
        <w:t>s a</w:t>
      </w:r>
      <w:r w:rsidR="003232B8">
        <w:rPr>
          <w:rFonts w:eastAsia="Times New Roman" w:cstheme="minorHAnsi"/>
          <w:szCs w:val="20"/>
        </w:rPr>
        <w:t xml:space="preserve"> vast a</w:t>
      </w:r>
      <w:r w:rsidR="00701BA7">
        <w:rPr>
          <w:rFonts w:eastAsia="Times New Roman" w:cstheme="minorHAnsi"/>
          <w:szCs w:val="20"/>
        </w:rPr>
        <w:t>rray of health</w:t>
      </w:r>
      <w:r w:rsidR="00460467">
        <w:rPr>
          <w:rFonts w:eastAsia="Times New Roman" w:cstheme="minorHAnsi"/>
          <w:szCs w:val="20"/>
        </w:rPr>
        <w:t>care practitioners</w:t>
      </w:r>
      <w:r w:rsidR="003232B8">
        <w:rPr>
          <w:rFonts w:eastAsia="Times New Roman" w:cstheme="minorHAnsi"/>
          <w:szCs w:val="20"/>
        </w:rPr>
        <w:t xml:space="preserve">. </w:t>
      </w:r>
      <w:r w:rsidR="002653AA">
        <w:rPr>
          <w:rFonts w:eastAsia="Times New Roman" w:cstheme="minorHAnsi"/>
          <w:szCs w:val="20"/>
        </w:rPr>
        <w:t xml:space="preserve">These requirements are being met through a variety of modified scope of practice </w:t>
      </w:r>
      <w:r w:rsidR="00435AEB">
        <w:rPr>
          <w:rFonts w:eastAsia="Times New Roman" w:cstheme="minorHAnsi"/>
          <w:szCs w:val="20"/>
        </w:rPr>
        <w:t>measures at the federal</w:t>
      </w:r>
      <w:r w:rsidR="00254860">
        <w:rPr>
          <w:rStyle w:val="FootnoteReference"/>
          <w:rFonts w:eastAsia="Times New Roman" w:cstheme="minorHAnsi"/>
          <w:szCs w:val="20"/>
        </w:rPr>
        <w:footnoteReference w:id="1"/>
      </w:r>
      <w:r w:rsidR="00435AEB">
        <w:rPr>
          <w:rFonts w:eastAsia="Times New Roman" w:cstheme="minorHAnsi"/>
          <w:szCs w:val="20"/>
        </w:rPr>
        <w:t xml:space="preserve"> and state level</w:t>
      </w:r>
      <w:r w:rsidR="00992CA1">
        <w:rPr>
          <w:rFonts w:eastAsia="Times New Roman" w:cstheme="minorHAnsi"/>
          <w:szCs w:val="20"/>
        </w:rPr>
        <w:t>s</w:t>
      </w:r>
      <w:r w:rsidR="00254860">
        <w:rPr>
          <w:rStyle w:val="FootnoteReference"/>
          <w:rFonts w:eastAsia="Times New Roman" w:cstheme="minorHAnsi"/>
          <w:szCs w:val="20"/>
        </w:rPr>
        <w:footnoteReference w:id="2"/>
      </w:r>
      <w:r w:rsidR="00435AEB">
        <w:rPr>
          <w:rFonts w:eastAsia="Times New Roman" w:cstheme="minorHAnsi"/>
          <w:szCs w:val="20"/>
        </w:rPr>
        <w:t>.</w:t>
      </w:r>
      <w:r>
        <w:rPr>
          <w:rFonts w:eastAsia="Times New Roman" w:cstheme="minorHAnsi"/>
          <w:szCs w:val="20"/>
        </w:rPr>
        <w:t xml:space="preserve">  </w:t>
      </w:r>
      <w:r w:rsidR="004D132D" w:rsidRPr="00A1396E">
        <w:rPr>
          <w:rFonts w:eastAsia="Times New Roman" w:cstheme="minorHAnsi"/>
          <w:szCs w:val="20"/>
        </w:rPr>
        <w:lastRenderedPageBreak/>
        <w:t xml:space="preserve">This document </w:t>
      </w:r>
      <w:r>
        <w:rPr>
          <w:rFonts w:eastAsia="Times New Roman" w:cstheme="minorHAnsi"/>
          <w:szCs w:val="20"/>
        </w:rPr>
        <w:t>provides a general discussion</w:t>
      </w:r>
      <w:r w:rsidR="004D132D" w:rsidRPr="00A1396E">
        <w:rPr>
          <w:rFonts w:eastAsia="Times New Roman" w:cstheme="minorHAnsi"/>
          <w:szCs w:val="20"/>
        </w:rPr>
        <w:t xml:space="preserve"> the mechanisms used by states to modify scope of practice during emergencies and analyzes the types of activities and control measures associated with modified scope of practice. </w:t>
      </w:r>
    </w:p>
    <w:p w14:paraId="6EF9456B" w14:textId="49777C62" w:rsidR="00EC5FD7" w:rsidRPr="00A1396E" w:rsidRDefault="00EC5FD7" w:rsidP="00B443BB">
      <w:pPr>
        <w:spacing w:line="360" w:lineRule="auto"/>
        <w:rPr>
          <w:rFonts w:eastAsia="Times New Roman" w:cstheme="minorHAnsi"/>
          <w:b/>
          <w:bCs/>
          <w:sz w:val="28"/>
          <w:szCs w:val="24"/>
        </w:rPr>
      </w:pPr>
    </w:p>
    <w:p w14:paraId="011CBB66" w14:textId="67BA3E6A" w:rsidR="004D132D" w:rsidRPr="00A1396E" w:rsidRDefault="004D132D" w:rsidP="00B443BB">
      <w:pPr>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Defining Scope of Practice</w:t>
      </w:r>
    </w:p>
    <w:p w14:paraId="51674247" w14:textId="77777777" w:rsidR="00D91EFA" w:rsidRDefault="004D132D" w:rsidP="00B443BB">
      <w:pPr>
        <w:spacing w:line="360" w:lineRule="auto"/>
        <w:rPr>
          <w:rFonts w:eastAsia="Times New Roman" w:cstheme="minorHAnsi"/>
        </w:rPr>
      </w:pPr>
      <w:r w:rsidRPr="00A1396E">
        <w:rPr>
          <w:rFonts w:eastAsia="Times New Roman" w:cstheme="minorHAnsi"/>
        </w:rPr>
        <w:t>The “scope of practice” for a regulated profession includes those activities and procedures that a person with a specified level of education, training, and competency is authorized to engage in under the statutes and regulations of the state in which the person practices. Scope of practice can also incorporate conditions that may limit the exercise of authorized activities and procedures, such as limited formularies or supervision requirements. Laws and rules governing regulated professions typically also establish continuing education or training requirements, periodic re-examination to ensure continued competency, and mechanisms to adjudicate complaints and impose penalties for violations.</w:t>
      </w:r>
    </w:p>
    <w:p w14:paraId="2E732ED1" w14:textId="77777777" w:rsidR="00D91EFA" w:rsidRDefault="00D91EFA" w:rsidP="00B443BB">
      <w:pPr>
        <w:spacing w:line="360" w:lineRule="auto"/>
        <w:rPr>
          <w:rFonts w:eastAsia="Times New Roman" w:cstheme="minorHAnsi"/>
        </w:rPr>
      </w:pPr>
    </w:p>
    <w:p w14:paraId="29A5AEEC" w14:textId="77777777" w:rsidR="00D91EFA" w:rsidRDefault="004D132D" w:rsidP="00B443BB">
      <w:pPr>
        <w:spacing w:line="360" w:lineRule="auto"/>
        <w:rPr>
          <w:rFonts w:eastAsia="Times New Roman" w:cstheme="minorHAnsi"/>
        </w:rPr>
      </w:pPr>
      <w:r w:rsidRPr="00A1396E">
        <w:rPr>
          <w:rFonts w:eastAsia="Times New Roman" w:cstheme="minorHAnsi"/>
        </w:rPr>
        <w:t>Persons meeting a state’s requirements for that field are issued a license, certification, or some other type of authorization to practice in that state. Practitioners in a field are expected to know what activities and procedures they are and are not authorized to conduct and keep their actions within this scope. Should a practitioner exceed the authorized scope of practice, he or she could be liable for violation of the state’s practice laws, as well as potentially more severe claims such as malpractice.</w:t>
      </w:r>
    </w:p>
    <w:p w14:paraId="60B3613C" w14:textId="281D51A9" w:rsidR="00D91EFA" w:rsidRDefault="00D91EFA" w:rsidP="00B443BB">
      <w:pPr>
        <w:spacing w:line="360" w:lineRule="auto"/>
        <w:rPr>
          <w:rFonts w:eastAsia="Times New Roman" w:cstheme="minorHAnsi"/>
        </w:rPr>
      </w:pPr>
    </w:p>
    <w:p w14:paraId="07D293CB" w14:textId="433C4876" w:rsidR="000C4689" w:rsidRPr="00F86628" w:rsidRDefault="000C4689" w:rsidP="00B443BB">
      <w:pPr>
        <w:spacing w:line="360" w:lineRule="auto"/>
        <w:rPr>
          <w:rFonts w:eastAsia="Times New Roman" w:cstheme="minorHAnsi"/>
        </w:rPr>
      </w:pPr>
      <w:r w:rsidRPr="00F86628">
        <w:rPr>
          <w:rFonts w:eastAsia="Times New Roman" w:cstheme="minorHAnsi"/>
          <w:b/>
          <w:bCs/>
          <w:sz w:val="24"/>
          <w:szCs w:val="24"/>
        </w:rPr>
        <w:t xml:space="preserve">Defining </w:t>
      </w:r>
      <w:r w:rsidR="00F86628" w:rsidRPr="00F86628">
        <w:rPr>
          <w:rFonts w:eastAsia="Times New Roman" w:cstheme="minorHAnsi"/>
          <w:b/>
          <w:bCs/>
          <w:sz w:val="24"/>
          <w:szCs w:val="24"/>
        </w:rPr>
        <w:t xml:space="preserve">Other Key Practice </w:t>
      </w:r>
      <w:r w:rsidR="009A12D1">
        <w:rPr>
          <w:rFonts w:eastAsia="Times New Roman" w:cstheme="minorHAnsi"/>
          <w:b/>
          <w:bCs/>
          <w:sz w:val="24"/>
          <w:szCs w:val="24"/>
        </w:rPr>
        <w:t>Concepts</w:t>
      </w:r>
    </w:p>
    <w:p w14:paraId="684BC5EC" w14:textId="77777777" w:rsidR="00E42BC4" w:rsidRDefault="00F86628" w:rsidP="00065065">
      <w:pPr>
        <w:spacing w:line="360" w:lineRule="auto"/>
        <w:rPr>
          <w:rFonts w:eastAsia="Times New Roman" w:cstheme="minorHAnsi"/>
        </w:rPr>
      </w:pPr>
      <w:r>
        <w:rPr>
          <w:rFonts w:eastAsia="Times New Roman" w:cstheme="minorHAnsi"/>
        </w:rPr>
        <w:t xml:space="preserve">In addition to understanding </w:t>
      </w:r>
      <w:r w:rsidR="004142A6">
        <w:rPr>
          <w:rFonts w:eastAsia="Times New Roman" w:cstheme="minorHAnsi"/>
        </w:rPr>
        <w:t xml:space="preserve">the definition of “scope of practice”, </w:t>
      </w:r>
      <w:r w:rsidR="00C71FB9">
        <w:rPr>
          <w:rFonts w:eastAsia="Times New Roman" w:cstheme="minorHAnsi"/>
        </w:rPr>
        <w:t xml:space="preserve">it is important to </w:t>
      </w:r>
      <w:r w:rsidR="00847220">
        <w:rPr>
          <w:rFonts w:eastAsia="Times New Roman" w:cstheme="minorHAnsi"/>
        </w:rPr>
        <w:t>recognize</w:t>
      </w:r>
      <w:r w:rsidR="0087117D">
        <w:rPr>
          <w:rFonts w:eastAsia="Times New Roman" w:cstheme="minorHAnsi"/>
        </w:rPr>
        <w:t xml:space="preserve"> </w:t>
      </w:r>
      <w:r w:rsidR="00473885">
        <w:rPr>
          <w:rFonts w:eastAsia="Times New Roman" w:cstheme="minorHAnsi"/>
        </w:rPr>
        <w:t xml:space="preserve">and differentiate among </w:t>
      </w:r>
      <w:r w:rsidR="0087117D">
        <w:rPr>
          <w:rFonts w:eastAsia="Times New Roman" w:cstheme="minorHAnsi"/>
        </w:rPr>
        <w:t xml:space="preserve">other key </w:t>
      </w:r>
      <w:r w:rsidR="009A12D1">
        <w:rPr>
          <w:rFonts w:eastAsia="Times New Roman" w:cstheme="minorHAnsi"/>
        </w:rPr>
        <w:t>concepts</w:t>
      </w:r>
      <w:r w:rsidR="0087117D">
        <w:rPr>
          <w:rFonts w:eastAsia="Times New Roman" w:cstheme="minorHAnsi"/>
        </w:rPr>
        <w:t xml:space="preserve"> relevant to modifying scope of practice</w:t>
      </w:r>
      <w:r w:rsidR="00856687">
        <w:rPr>
          <w:rFonts w:eastAsia="Times New Roman" w:cstheme="minorHAnsi"/>
        </w:rPr>
        <w:t xml:space="preserve">. </w:t>
      </w:r>
      <w:r w:rsidR="00065065" w:rsidRPr="00065065">
        <w:rPr>
          <w:rFonts w:eastAsia="Times New Roman" w:cstheme="minorHAnsi"/>
        </w:rPr>
        <w:t>Licensing, credentialing, certification, and privileging are used by regulatory agencies and private entities to ensure that a practitioner in a field has the required training, knowledge, and experience to perform as a qualified professional in that field. These mechanisms have been used predominantly in the healthcare field, but increasingly public health and other regulated professions are adopting these methods to ensure competency and protect patients and consumers. Depending on the profession and the state, the terms licensing, credentialing, and privileging may be used interchangeably at times. There are, however, distinctions among them as they are generally understood within the healthcare context.</w:t>
      </w:r>
    </w:p>
    <w:p w14:paraId="73D374A8" w14:textId="77777777" w:rsidR="00E42BC4" w:rsidRDefault="00E42BC4" w:rsidP="00065065">
      <w:pPr>
        <w:spacing w:line="360" w:lineRule="auto"/>
        <w:rPr>
          <w:rFonts w:eastAsia="Times New Roman" w:cstheme="minorHAnsi"/>
        </w:rPr>
      </w:pPr>
    </w:p>
    <w:p w14:paraId="5D40A047" w14:textId="3117F131" w:rsidR="00065065" w:rsidRPr="00065065" w:rsidRDefault="00065065" w:rsidP="00065065">
      <w:pPr>
        <w:spacing w:line="360" w:lineRule="auto"/>
        <w:rPr>
          <w:rFonts w:eastAsia="Times New Roman" w:cstheme="minorHAnsi"/>
        </w:rPr>
      </w:pPr>
      <w:r w:rsidRPr="00065065">
        <w:rPr>
          <w:rFonts w:eastAsia="Times New Roman" w:cstheme="minorHAnsi"/>
        </w:rPr>
        <w:t xml:space="preserve">These methods of classification and the requirements underpinning them are relevant when states modify the scope of practice of various practitioners to enhance public health emergency response </w:t>
      </w:r>
      <w:r w:rsidRPr="00065065">
        <w:rPr>
          <w:rFonts w:eastAsia="Times New Roman" w:cstheme="minorHAnsi"/>
        </w:rPr>
        <w:lastRenderedPageBreak/>
        <w:t xml:space="preserve">capacity, as well as when healthcare and other regulated practitioners volunteer or are otherwise deployed during emergencies to other </w:t>
      </w:r>
      <w:r w:rsidR="00E42BC4">
        <w:rPr>
          <w:rFonts w:eastAsia="Times New Roman" w:cstheme="minorHAnsi"/>
        </w:rPr>
        <w:t>jurisdictions</w:t>
      </w:r>
      <w:r w:rsidRPr="00065065">
        <w:rPr>
          <w:rFonts w:eastAsia="Times New Roman" w:cstheme="minorHAnsi"/>
        </w:rPr>
        <w:t xml:space="preserve">. The ability of a state or other entity to determine if practitioners are competent to provide care and their permitted scope of practice is important in an emergency response situation. Because of the diversity of states’ approaches to regulating professions and then modifying practice requirements in emergencies, it is important to review individual state laws and regulations. </w:t>
      </w:r>
    </w:p>
    <w:p w14:paraId="1351A2CE" w14:textId="77777777" w:rsidR="00065065" w:rsidRPr="00065065" w:rsidRDefault="00065065" w:rsidP="00065065">
      <w:pPr>
        <w:spacing w:line="360" w:lineRule="auto"/>
        <w:rPr>
          <w:rFonts w:eastAsia="Times New Roman" w:cstheme="minorHAnsi"/>
        </w:rPr>
      </w:pPr>
    </w:p>
    <w:p w14:paraId="3DDF789A" w14:textId="77777777" w:rsidR="00065065" w:rsidRPr="00065065" w:rsidRDefault="00065065" w:rsidP="00065065">
      <w:pPr>
        <w:spacing w:line="360" w:lineRule="auto"/>
        <w:rPr>
          <w:rFonts w:eastAsia="Times New Roman" w:cstheme="minorHAnsi"/>
          <w:b/>
          <w:bCs/>
        </w:rPr>
      </w:pPr>
      <w:r w:rsidRPr="00065065">
        <w:rPr>
          <w:rFonts w:eastAsia="Times New Roman" w:cstheme="minorHAnsi"/>
          <w:b/>
          <w:bCs/>
        </w:rPr>
        <w:t>Licensing</w:t>
      </w:r>
    </w:p>
    <w:p w14:paraId="41227586" w14:textId="50FA43DF" w:rsidR="00065065" w:rsidRPr="00065065" w:rsidRDefault="00065065" w:rsidP="00065065">
      <w:pPr>
        <w:spacing w:line="360" w:lineRule="auto"/>
        <w:rPr>
          <w:rFonts w:eastAsia="Times New Roman" w:cstheme="minorHAnsi"/>
        </w:rPr>
      </w:pPr>
      <w:r w:rsidRPr="00065065">
        <w:rPr>
          <w:rFonts w:eastAsia="Times New Roman" w:cstheme="minorHAnsi"/>
        </w:rPr>
        <w:t xml:space="preserve">Licensing is the formal recognition by a regulatory agency or body that a person has passed all the qualifications to practice that profession in that state. Typically, licensure requirements include some combination of education, </w:t>
      </w:r>
      <w:r w:rsidR="002002D7" w:rsidRPr="00065065">
        <w:rPr>
          <w:rFonts w:eastAsia="Times New Roman" w:cstheme="minorHAnsi"/>
        </w:rPr>
        <w:t>training,</w:t>
      </w:r>
      <w:r w:rsidRPr="00065065">
        <w:rPr>
          <w:rFonts w:eastAsia="Times New Roman" w:cstheme="minorHAnsi"/>
        </w:rPr>
        <w:t xml:space="preserve"> and examination to demonstrate competency. Licensure requirements also involve continuing education, training, and, for some, periodic re-examination. If a practitioner licensed in one state seeks licensure in another state, the existing license and any disciplinary records are considered as part of the licensing process in the new state.</w:t>
      </w:r>
    </w:p>
    <w:p w14:paraId="62037DC1" w14:textId="678CE0FE" w:rsidR="00065065" w:rsidRPr="005F5691" w:rsidRDefault="00065065" w:rsidP="00065065">
      <w:pPr>
        <w:spacing w:line="360" w:lineRule="auto"/>
        <w:rPr>
          <w:rFonts w:eastAsia="Times New Roman" w:cstheme="minorHAnsi"/>
        </w:rPr>
      </w:pPr>
    </w:p>
    <w:p w14:paraId="7B649F67" w14:textId="77777777" w:rsidR="00514A93" w:rsidRPr="00065065" w:rsidRDefault="00514A93" w:rsidP="00514A93">
      <w:pPr>
        <w:spacing w:line="360" w:lineRule="auto"/>
        <w:rPr>
          <w:rFonts w:eastAsia="Times New Roman" w:cstheme="minorHAnsi"/>
          <w:b/>
          <w:bCs/>
        </w:rPr>
      </w:pPr>
      <w:r w:rsidRPr="00065065">
        <w:rPr>
          <w:rFonts w:eastAsia="Times New Roman" w:cstheme="minorHAnsi"/>
          <w:b/>
          <w:bCs/>
        </w:rPr>
        <w:t>Certification</w:t>
      </w:r>
    </w:p>
    <w:p w14:paraId="5E4419D1" w14:textId="740AA03D" w:rsidR="00514A93" w:rsidRPr="00065065" w:rsidRDefault="00514A93" w:rsidP="00514A93">
      <w:pPr>
        <w:spacing w:line="360" w:lineRule="auto"/>
        <w:rPr>
          <w:rFonts w:eastAsia="Times New Roman" w:cstheme="minorHAnsi"/>
        </w:rPr>
      </w:pPr>
      <w:r w:rsidRPr="00065065">
        <w:rPr>
          <w:rFonts w:eastAsia="Times New Roman" w:cstheme="minorHAnsi"/>
        </w:rPr>
        <w:t>Certification is a credential that a practitioner may seek in addition to their primary qualifying degree and examination. For example, a physician may seek certification in a specialty (e.g., emergency medicine) in addition to his or her medical degree. Certifications are generally administered by national boards that specify the education, training, competency, and examination requirements to achieve certification and re-certification. Certification may or may not be required as part of the licensure process.</w:t>
      </w:r>
    </w:p>
    <w:p w14:paraId="22A05188" w14:textId="77777777" w:rsidR="00514A93" w:rsidRPr="00065065" w:rsidRDefault="00514A93" w:rsidP="00065065">
      <w:pPr>
        <w:spacing w:line="360" w:lineRule="auto"/>
        <w:rPr>
          <w:rFonts w:eastAsia="Times New Roman" w:cstheme="minorHAnsi"/>
        </w:rPr>
      </w:pPr>
    </w:p>
    <w:p w14:paraId="3AFC3A6B" w14:textId="77777777" w:rsidR="00065065" w:rsidRPr="00065065" w:rsidRDefault="00065065" w:rsidP="00065065">
      <w:pPr>
        <w:spacing w:line="360" w:lineRule="auto"/>
        <w:rPr>
          <w:rFonts w:eastAsia="Times New Roman" w:cstheme="minorHAnsi"/>
          <w:b/>
          <w:bCs/>
        </w:rPr>
      </w:pPr>
      <w:r w:rsidRPr="00065065">
        <w:rPr>
          <w:rFonts w:eastAsia="Times New Roman" w:cstheme="minorHAnsi"/>
          <w:b/>
          <w:bCs/>
        </w:rPr>
        <w:t>Credentialing</w:t>
      </w:r>
    </w:p>
    <w:p w14:paraId="7959E486" w14:textId="644902CC" w:rsidR="00065065" w:rsidRPr="00065065" w:rsidRDefault="00065065" w:rsidP="00065065">
      <w:pPr>
        <w:spacing w:line="360" w:lineRule="auto"/>
        <w:rPr>
          <w:rFonts w:eastAsia="Times New Roman" w:cstheme="minorHAnsi"/>
        </w:rPr>
      </w:pPr>
      <w:r w:rsidRPr="00065065">
        <w:rPr>
          <w:rFonts w:eastAsia="Times New Roman" w:cstheme="minorHAnsi"/>
        </w:rPr>
        <w:t>Credentialing is the process by which an employer, most frequently a hospital or health maintenance organization (HMO), verifies that a practitioner has the required education, training, and experience to practice in the state. State or local laws and rules can specify the types of credentials and verification processes that a hospital or other healthcare provider must address in credentialing a practitioner. Credentialing is typically done when a practitioner is first employed with an entity and may be updated periodically.</w:t>
      </w:r>
    </w:p>
    <w:p w14:paraId="08A0D7BA" w14:textId="77777777" w:rsidR="00065065" w:rsidRPr="00065065" w:rsidRDefault="00065065" w:rsidP="00065065">
      <w:pPr>
        <w:spacing w:line="360" w:lineRule="auto"/>
        <w:rPr>
          <w:rFonts w:eastAsia="Times New Roman" w:cstheme="minorHAnsi"/>
        </w:rPr>
      </w:pPr>
    </w:p>
    <w:p w14:paraId="1D80B58B" w14:textId="77777777" w:rsidR="00065065" w:rsidRPr="00065065" w:rsidRDefault="00065065" w:rsidP="00B63716">
      <w:pPr>
        <w:keepNext/>
        <w:keepLines/>
        <w:spacing w:line="360" w:lineRule="auto"/>
        <w:rPr>
          <w:rFonts w:eastAsia="Times New Roman" w:cstheme="minorHAnsi"/>
          <w:b/>
          <w:bCs/>
        </w:rPr>
      </w:pPr>
      <w:r w:rsidRPr="00065065">
        <w:rPr>
          <w:rFonts w:eastAsia="Times New Roman" w:cstheme="minorHAnsi"/>
          <w:b/>
          <w:bCs/>
        </w:rPr>
        <w:lastRenderedPageBreak/>
        <w:t>Privileging</w:t>
      </w:r>
    </w:p>
    <w:p w14:paraId="2AD16D5D" w14:textId="751FCC47" w:rsidR="00065065" w:rsidRPr="00065065" w:rsidRDefault="00065065" w:rsidP="00065065">
      <w:pPr>
        <w:spacing w:line="360" w:lineRule="auto"/>
        <w:rPr>
          <w:rFonts w:eastAsia="Times New Roman" w:cstheme="minorHAnsi"/>
        </w:rPr>
      </w:pPr>
      <w:r w:rsidRPr="00065065">
        <w:rPr>
          <w:rFonts w:eastAsia="Times New Roman" w:cstheme="minorHAnsi"/>
        </w:rPr>
        <w:t>Like credentialing, privileging typically arises in the healthcare context for hospitals, HMOs, and other healthcare providers to allow a practitioner to practice in or in a capacity associated with their institution. The granting of privileges to a practitioner will define the scope of permitted activities the practitioner may engage in while at the facility. A practitioner’s credentials are checked as part of the privileging process.</w:t>
      </w:r>
    </w:p>
    <w:p w14:paraId="3BAE72A6" w14:textId="77777777" w:rsidR="00065065" w:rsidRPr="00065065" w:rsidRDefault="00065065" w:rsidP="00065065">
      <w:pPr>
        <w:spacing w:line="360" w:lineRule="auto"/>
        <w:rPr>
          <w:rFonts w:eastAsia="Times New Roman" w:cstheme="minorHAnsi"/>
        </w:rPr>
      </w:pPr>
    </w:p>
    <w:p w14:paraId="2E712724" w14:textId="77777777" w:rsidR="00065065" w:rsidRPr="00065065" w:rsidRDefault="00065065" w:rsidP="00065065">
      <w:pPr>
        <w:spacing w:line="360" w:lineRule="auto"/>
        <w:rPr>
          <w:rFonts w:eastAsia="Times New Roman" w:cstheme="minorHAnsi"/>
          <w:b/>
          <w:bCs/>
        </w:rPr>
      </w:pPr>
      <w:r w:rsidRPr="00065065">
        <w:rPr>
          <w:rFonts w:eastAsia="Times New Roman" w:cstheme="minorHAnsi"/>
          <w:b/>
          <w:bCs/>
        </w:rPr>
        <w:t>Accreditation</w:t>
      </w:r>
    </w:p>
    <w:p w14:paraId="45F76BF1" w14:textId="77777777" w:rsidR="00065065" w:rsidRPr="00065065" w:rsidRDefault="00065065" w:rsidP="00065065">
      <w:pPr>
        <w:spacing w:line="360" w:lineRule="auto"/>
        <w:rPr>
          <w:rFonts w:eastAsia="Times New Roman" w:cstheme="minorHAnsi"/>
        </w:rPr>
      </w:pPr>
      <w:r w:rsidRPr="00065065">
        <w:rPr>
          <w:rFonts w:eastAsia="Times New Roman" w:cstheme="minorHAnsi"/>
        </w:rPr>
        <w:t>Accreditation is recognition by an independent professional organization or nongovernmental agency that a healthcare entity has met predetermined standards.</w:t>
      </w:r>
    </w:p>
    <w:p w14:paraId="42D74F09" w14:textId="77777777" w:rsidR="00F86628" w:rsidRPr="00F86628" w:rsidRDefault="00F86628" w:rsidP="00B443BB">
      <w:pPr>
        <w:spacing w:line="360" w:lineRule="auto"/>
        <w:rPr>
          <w:rFonts w:eastAsia="Times New Roman" w:cstheme="minorHAnsi"/>
        </w:rPr>
      </w:pPr>
    </w:p>
    <w:p w14:paraId="49713C89" w14:textId="50C25984" w:rsidR="00525AE7" w:rsidRPr="00525AE7" w:rsidRDefault="00525AE7" w:rsidP="00B443BB">
      <w:pPr>
        <w:spacing w:line="360" w:lineRule="auto"/>
        <w:rPr>
          <w:rFonts w:eastAsia="Times New Roman" w:cstheme="minorHAnsi"/>
          <w:b/>
          <w:bCs/>
          <w:color w:val="3C3030"/>
          <w:sz w:val="24"/>
          <w:szCs w:val="24"/>
        </w:rPr>
      </w:pPr>
      <w:r>
        <w:rPr>
          <w:rFonts w:eastAsia="Times New Roman" w:cstheme="minorHAnsi"/>
          <w:b/>
          <w:bCs/>
          <w:color w:val="3C3030"/>
          <w:sz w:val="24"/>
          <w:szCs w:val="24"/>
        </w:rPr>
        <w:t>Licens</w:t>
      </w:r>
      <w:r w:rsidR="00DC2AB8">
        <w:rPr>
          <w:rFonts w:eastAsia="Times New Roman" w:cstheme="minorHAnsi"/>
          <w:b/>
          <w:bCs/>
          <w:color w:val="3C3030"/>
          <w:sz w:val="24"/>
          <w:szCs w:val="24"/>
        </w:rPr>
        <w:t>ing</w:t>
      </w:r>
      <w:r>
        <w:rPr>
          <w:rFonts w:eastAsia="Times New Roman" w:cstheme="minorHAnsi"/>
          <w:b/>
          <w:bCs/>
          <w:color w:val="3C3030"/>
          <w:sz w:val="24"/>
          <w:szCs w:val="24"/>
        </w:rPr>
        <w:t xml:space="preserve"> Boards and Changing </w:t>
      </w:r>
      <w:r w:rsidR="004D132D" w:rsidRPr="00A1396E">
        <w:rPr>
          <w:rFonts w:eastAsia="Times New Roman" w:cstheme="minorHAnsi"/>
          <w:b/>
          <w:bCs/>
          <w:color w:val="3C3030"/>
          <w:sz w:val="24"/>
          <w:szCs w:val="24"/>
        </w:rPr>
        <w:t>Scope of Practice</w:t>
      </w:r>
    </w:p>
    <w:p w14:paraId="57334A65" w14:textId="44277C4A" w:rsidR="00525AE7" w:rsidRDefault="00525AE7" w:rsidP="00B443BB">
      <w:pPr>
        <w:spacing w:line="360" w:lineRule="auto"/>
        <w:rPr>
          <w:rFonts w:eastAsia="Times New Roman" w:cstheme="minorHAnsi"/>
          <w:szCs w:val="20"/>
        </w:rPr>
      </w:pPr>
      <w:r>
        <w:rPr>
          <w:rFonts w:eastAsia="Times New Roman" w:cstheme="minorHAnsi"/>
          <w:szCs w:val="20"/>
        </w:rPr>
        <w:t>All states</w:t>
      </w:r>
      <w:r w:rsidR="00447C64">
        <w:rPr>
          <w:rFonts w:eastAsia="Times New Roman" w:cstheme="minorHAnsi"/>
          <w:szCs w:val="20"/>
        </w:rPr>
        <w:t xml:space="preserve"> have </w:t>
      </w:r>
      <w:r w:rsidR="005022C2">
        <w:rPr>
          <w:rFonts w:eastAsia="Times New Roman" w:cstheme="minorHAnsi"/>
          <w:szCs w:val="20"/>
        </w:rPr>
        <w:t xml:space="preserve">multiple licensure boards created by statute and/or regulation </w:t>
      </w:r>
      <w:r w:rsidR="00C20322">
        <w:rPr>
          <w:rFonts w:eastAsia="Times New Roman" w:cstheme="minorHAnsi"/>
          <w:szCs w:val="20"/>
        </w:rPr>
        <w:t xml:space="preserve">governing a </w:t>
      </w:r>
      <w:r w:rsidR="004B189B">
        <w:rPr>
          <w:rFonts w:eastAsia="Times New Roman" w:cstheme="minorHAnsi"/>
          <w:szCs w:val="20"/>
        </w:rPr>
        <w:t>wide variety of professio</w:t>
      </w:r>
      <w:r w:rsidR="001A028B">
        <w:rPr>
          <w:rFonts w:eastAsia="Times New Roman" w:cstheme="minorHAnsi"/>
          <w:szCs w:val="20"/>
        </w:rPr>
        <w:t>ns</w:t>
      </w:r>
      <w:r w:rsidR="00C43904">
        <w:rPr>
          <w:rStyle w:val="FootnoteReference"/>
          <w:rFonts w:eastAsia="Times New Roman" w:cstheme="minorHAnsi"/>
          <w:szCs w:val="20"/>
        </w:rPr>
        <w:footnoteReference w:id="3"/>
      </w:r>
      <w:r w:rsidR="004B189B">
        <w:rPr>
          <w:rFonts w:eastAsia="Times New Roman" w:cstheme="minorHAnsi"/>
          <w:szCs w:val="20"/>
        </w:rPr>
        <w:t xml:space="preserve">. The </w:t>
      </w:r>
      <w:r w:rsidR="004058D3">
        <w:rPr>
          <w:rFonts w:eastAsia="Times New Roman" w:cstheme="minorHAnsi"/>
          <w:szCs w:val="20"/>
        </w:rPr>
        <w:t>purpose of these boards is generally</w:t>
      </w:r>
      <w:r w:rsidR="000A1A31">
        <w:rPr>
          <w:rFonts w:eastAsia="Times New Roman" w:cstheme="minorHAnsi"/>
          <w:szCs w:val="20"/>
        </w:rPr>
        <w:t>, among other things,</w:t>
      </w:r>
      <w:r w:rsidR="004058D3">
        <w:rPr>
          <w:rFonts w:eastAsia="Times New Roman" w:cstheme="minorHAnsi"/>
          <w:szCs w:val="20"/>
        </w:rPr>
        <w:t xml:space="preserve"> </w:t>
      </w:r>
      <w:r w:rsidR="005022C2">
        <w:rPr>
          <w:rFonts w:eastAsia="Times New Roman" w:cstheme="minorHAnsi"/>
          <w:szCs w:val="20"/>
        </w:rPr>
        <w:t xml:space="preserve">to </w:t>
      </w:r>
      <w:r w:rsidR="002B288C">
        <w:rPr>
          <w:rFonts w:eastAsia="Times New Roman" w:cstheme="minorHAnsi"/>
          <w:szCs w:val="20"/>
        </w:rPr>
        <w:t>determine standard</w:t>
      </w:r>
      <w:r w:rsidR="00C20322">
        <w:rPr>
          <w:rFonts w:eastAsia="Times New Roman" w:cstheme="minorHAnsi"/>
          <w:szCs w:val="20"/>
        </w:rPr>
        <w:t xml:space="preserve">s for obtaining licensure </w:t>
      </w:r>
      <w:r w:rsidR="003A4CB5">
        <w:rPr>
          <w:rFonts w:eastAsia="Times New Roman" w:cstheme="minorHAnsi"/>
          <w:szCs w:val="20"/>
        </w:rPr>
        <w:t xml:space="preserve">in the state for </w:t>
      </w:r>
      <w:r w:rsidR="008E09FA">
        <w:rPr>
          <w:rFonts w:eastAsia="Times New Roman" w:cstheme="minorHAnsi"/>
          <w:szCs w:val="20"/>
        </w:rPr>
        <w:t>a</w:t>
      </w:r>
      <w:r w:rsidR="003A4CB5">
        <w:rPr>
          <w:rFonts w:eastAsia="Times New Roman" w:cstheme="minorHAnsi"/>
          <w:szCs w:val="20"/>
        </w:rPr>
        <w:t xml:space="preserve"> specified profession, </w:t>
      </w:r>
      <w:r w:rsidR="0033681C">
        <w:rPr>
          <w:rFonts w:eastAsia="Times New Roman" w:cstheme="minorHAnsi"/>
          <w:szCs w:val="20"/>
        </w:rPr>
        <w:t>issu</w:t>
      </w:r>
      <w:r w:rsidR="0049439C">
        <w:rPr>
          <w:rFonts w:eastAsia="Times New Roman" w:cstheme="minorHAnsi"/>
          <w:szCs w:val="20"/>
        </w:rPr>
        <w:t>e</w:t>
      </w:r>
      <w:r w:rsidR="0033681C">
        <w:rPr>
          <w:rFonts w:eastAsia="Times New Roman" w:cstheme="minorHAnsi"/>
          <w:szCs w:val="20"/>
        </w:rPr>
        <w:t xml:space="preserve"> licenses to qualified </w:t>
      </w:r>
      <w:r w:rsidR="00267CEA">
        <w:rPr>
          <w:rFonts w:eastAsia="Times New Roman" w:cstheme="minorHAnsi"/>
          <w:szCs w:val="20"/>
        </w:rPr>
        <w:t xml:space="preserve">applicants, </w:t>
      </w:r>
      <w:r w:rsidR="000648F8">
        <w:rPr>
          <w:rFonts w:eastAsia="Times New Roman" w:cstheme="minorHAnsi"/>
          <w:szCs w:val="20"/>
        </w:rPr>
        <w:t xml:space="preserve">and protect the public by disciplining </w:t>
      </w:r>
      <w:r w:rsidR="00CA2400">
        <w:rPr>
          <w:rFonts w:eastAsia="Times New Roman" w:cstheme="minorHAnsi"/>
          <w:szCs w:val="20"/>
        </w:rPr>
        <w:t xml:space="preserve">licensees who do not meet </w:t>
      </w:r>
      <w:r w:rsidR="00C04B6C">
        <w:rPr>
          <w:rFonts w:eastAsia="Times New Roman" w:cstheme="minorHAnsi"/>
          <w:szCs w:val="20"/>
        </w:rPr>
        <w:t>required standard.</w:t>
      </w:r>
      <w:r w:rsidR="00EF6588">
        <w:rPr>
          <w:rFonts w:eastAsia="Times New Roman" w:cstheme="minorHAnsi"/>
          <w:szCs w:val="20"/>
        </w:rPr>
        <w:t xml:space="preserve"> </w:t>
      </w:r>
      <w:r w:rsidR="00D73A09">
        <w:rPr>
          <w:rFonts w:eastAsia="Times New Roman" w:cstheme="minorHAnsi"/>
          <w:szCs w:val="20"/>
        </w:rPr>
        <w:t>B</w:t>
      </w:r>
      <w:r w:rsidR="00D73A09" w:rsidRPr="00D73A09">
        <w:rPr>
          <w:rFonts w:eastAsia="Times New Roman" w:cstheme="minorHAnsi"/>
          <w:szCs w:val="20"/>
        </w:rPr>
        <w:t xml:space="preserve">ecause </w:t>
      </w:r>
      <w:r w:rsidR="00D73A09">
        <w:rPr>
          <w:rFonts w:eastAsia="Times New Roman" w:cstheme="minorHAnsi"/>
          <w:szCs w:val="20"/>
        </w:rPr>
        <w:t xml:space="preserve">each state generally established its </w:t>
      </w:r>
      <w:r w:rsidR="00D73A09" w:rsidRPr="00D73A09">
        <w:rPr>
          <w:rFonts w:eastAsia="Times New Roman" w:cstheme="minorHAnsi"/>
          <w:szCs w:val="20"/>
        </w:rPr>
        <w:t>licensing laws independently</w:t>
      </w:r>
      <w:r w:rsidR="00D73A09">
        <w:rPr>
          <w:rFonts w:eastAsia="Times New Roman" w:cstheme="minorHAnsi"/>
          <w:szCs w:val="20"/>
        </w:rPr>
        <w:t xml:space="preserve">, there </w:t>
      </w:r>
      <w:r w:rsidR="009E61A6">
        <w:rPr>
          <w:rFonts w:eastAsia="Times New Roman" w:cstheme="minorHAnsi"/>
          <w:szCs w:val="20"/>
        </w:rPr>
        <w:t xml:space="preserve">may be </w:t>
      </w:r>
      <w:r w:rsidR="00D73A09" w:rsidRPr="00D73A09">
        <w:rPr>
          <w:rFonts w:eastAsia="Times New Roman" w:cstheme="minorHAnsi"/>
          <w:szCs w:val="20"/>
        </w:rPr>
        <w:t>significant differences and disparities in licensing requirements</w:t>
      </w:r>
      <w:r w:rsidR="009E61A6">
        <w:rPr>
          <w:rFonts w:eastAsia="Times New Roman" w:cstheme="minorHAnsi"/>
          <w:szCs w:val="20"/>
        </w:rPr>
        <w:t xml:space="preserve"> among jurisdictions.</w:t>
      </w:r>
      <w:r w:rsidR="009E61A6">
        <w:rPr>
          <w:rStyle w:val="FootnoteReference"/>
          <w:rFonts w:eastAsia="Times New Roman" w:cstheme="minorHAnsi"/>
          <w:szCs w:val="20"/>
        </w:rPr>
        <w:footnoteReference w:id="4"/>
      </w:r>
      <w:r w:rsidR="009E61A6">
        <w:rPr>
          <w:rFonts w:eastAsia="Times New Roman" w:cstheme="minorHAnsi"/>
          <w:szCs w:val="20"/>
        </w:rPr>
        <w:t xml:space="preserve"> </w:t>
      </w:r>
      <w:r w:rsidR="00326FE3">
        <w:rPr>
          <w:rFonts w:eastAsia="Times New Roman" w:cstheme="minorHAnsi"/>
          <w:szCs w:val="20"/>
        </w:rPr>
        <w:t>L</w:t>
      </w:r>
      <w:r w:rsidR="00EB7D2D" w:rsidRPr="00EB7D2D">
        <w:rPr>
          <w:rFonts w:eastAsia="Times New Roman" w:cstheme="minorHAnsi"/>
          <w:szCs w:val="20"/>
        </w:rPr>
        <w:t xml:space="preserve">icensing requirements </w:t>
      </w:r>
      <w:r w:rsidR="001A5A7C">
        <w:rPr>
          <w:rFonts w:eastAsia="Times New Roman" w:cstheme="minorHAnsi"/>
          <w:szCs w:val="20"/>
        </w:rPr>
        <w:t xml:space="preserve">may be set in several ways: they </w:t>
      </w:r>
      <w:r w:rsidR="00326FE3">
        <w:rPr>
          <w:rFonts w:eastAsia="Times New Roman" w:cstheme="minorHAnsi"/>
          <w:szCs w:val="20"/>
        </w:rPr>
        <w:t xml:space="preserve">can be </w:t>
      </w:r>
      <w:r w:rsidR="00EB7D2D" w:rsidRPr="00EB7D2D">
        <w:rPr>
          <w:rFonts w:eastAsia="Times New Roman" w:cstheme="minorHAnsi"/>
          <w:szCs w:val="20"/>
        </w:rPr>
        <w:t xml:space="preserve">established directly in </w:t>
      </w:r>
      <w:r w:rsidR="009622FB">
        <w:rPr>
          <w:rFonts w:eastAsia="Times New Roman" w:cstheme="minorHAnsi"/>
          <w:szCs w:val="20"/>
        </w:rPr>
        <w:t xml:space="preserve">the </w:t>
      </w:r>
      <w:r w:rsidR="00683F11">
        <w:rPr>
          <w:rFonts w:eastAsia="Times New Roman" w:cstheme="minorHAnsi"/>
          <w:szCs w:val="20"/>
        </w:rPr>
        <w:t>authorizing</w:t>
      </w:r>
      <w:r w:rsidR="00EB7D2D" w:rsidRPr="00EB7D2D">
        <w:rPr>
          <w:rFonts w:eastAsia="Times New Roman" w:cstheme="minorHAnsi"/>
          <w:szCs w:val="20"/>
        </w:rPr>
        <w:t xml:space="preserve"> statute</w:t>
      </w:r>
      <w:r w:rsidR="009622FB">
        <w:rPr>
          <w:rFonts w:eastAsia="Times New Roman" w:cstheme="minorHAnsi"/>
          <w:szCs w:val="20"/>
        </w:rPr>
        <w:t>s</w:t>
      </w:r>
      <w:r w:rsidR="00EB7D2D" w:rsidRPr="00EB7D2D">
        <w:rPr>
          <w:rFonts w:eastAsia="Times New Roman" w:cstheme="minorHAnsi"/>
          <w:szCs w:val="20"/>
        </w:rPr>
        <w:t xml:space="preserve"> creati</w:t>
      </w:r>
      <w:r w:rsidR="009622FB">
        <w:rPr>
          <w:rFonts w:eastAsia="Times New Roman" w:cstheme="minorHAnsi"/>
          <w:szCs w:val="20"/>
        </w:rPr>
        <w:t xml:space="preserve">ng </w:t>
      </w:r>
      <w:r w:rsidR="00EB7D2D" w:rsidRPr="00EB7D2D">
        <w:rPr>
          <w:rFonts w:eastAsia="Times New Roman" w:cstheme="minorHAnsi"/>
          <w:szCs w:val="20"/>
        </w:rPr>
        <w:t>the license</w:t>
      </w:r>
      <w:r w:rsidR="001A5A7C">
        <w:rPr>
          <w:rFonts w:eastAsia="Times New Roman" w:cstheme="minorHAnsi"/>
          <w:szCs w:val="20"/>
        </w:rPr>
        <w:t xml:space="preserve">; </w:t>
      </w:r>
      <w:r w:rsidR="009622FB">
        <w:rPr>
          <w:rFonts w:eastAsia="Times New Roman" w:cstheme="minorHAnsi"/>
          <w:szCs w:val="20"/>
        </w:rPr>
        <w:t xml:space="preserve">the </w:t>
      </w:r>
      <w:r w:rsidR="00EB7D2D" w:rsidRPr="00EB7D2D">
        <w:rPr>
          <w:rFonts w:eastAsia="Times New Roman" w:cstheme="minorHAnsi"/>
          <w:szCs w:val="20"/>
        </w:rPr>
        <w:t xml:space="preserve">power to </w:t>
      </w:r>
      <w:r w:rsidR="009622FB">
        <w:rPr>
          <w:rFonts w:eastAsia="Times New Roman" w:cstheme="minorHAnsi"/>
          <w:szCs w:val="20"/>
        </w:rPr>
        <w:t>set l</w:t>
      </w:r>
      <w:r w:rsidR="00EB7D2D" w:rsidRPr="00EB7D2D">
        <w:rPr>
          <w:rFonts w:eastAsia="Times New Roman" w:cstheme="minorHAnsi"/>
          <w:szCs w:val="20"/>
        </w:rPr>
        <w:t xml:space="preserve">icensure requirements </w:t>
      </w:r>
      <w:r w:rsidR="009622FB">
        <w:rPr>
          <w:rFonts w:eastAsia="Times New Roman" w:cstheme="minorHAnsi"/>
          <w:szCs w:val="20"/>
        </w:rPr>
        <w:t xml:space="preserve">may be delegated </w:t>
      </w:r>
      <w:r w:rsidR="00EB7D2D" w:rsidRPr="00EB7D2D">
        <w:rPr>
          <w:rFonts w:eastAsia="Times New Roman" w:cstheme="minorHAnsi"/>
          <w:szCs w:val="20"/>
        </w:rPr>
        <w:t>to state agencies or state-sponsored independent boards</w:t>
      </w:r>
      <w:r w:rsidR="00223164">
        <w:rPr>
          <w:rFonts w:eastAsia="Times New Roman" w:cstheme="minorHAnsi"/>
          <w:szCs w:val="20"/>
        </w:rPr>
        <w:t>; or they may be developed in a combination of statute and regulation</w:t>
      </w:r>
      <w:r w:rsidR="00EB7D2D" w:rsidRPr="00EB7D2D">
        <w:rPr>
          <w:rFonts w:eastAsia="Times New Roman" w:cstheme="minorHAnsi"/>
          <w:szCs w:val="20"/>
        </w:rPr>
        <w:t>.</w:t>
      </w:r>
      <w:r w:rsidR="009622FB">
        <w:rPr>
          <w:rStyle w:val="FootnoteReference"/>
          <w:rFonts w:eastAsia="Times New Roman" w:cstheme="minorHAnsi"/>
          <w:szCs w:val="20"/>
        </w:rPr>
        <w:footnoteReference w:id="5"/>
      </w:r>
      <w:r w:rsidR="00EB7D2D" w:rsidRPr="00EB7D2D">
        <w:rPr>
          <w:rFonts w:eastAsia="Times New Roman" w:cstheme="minorHAnsi"/>
          <w:szCs w:val="20"/>
        </w:rPr>
        <w:t xml:space="preserve"> </w:t>
      </w:r>
      <w:r w:rsidR="00C065B8">
        <w:rPr>
          <w:rFonts w:eastAsia="Times New Roman" w:cstheme="minorHAnsi"/>
          <w:szCs w:val="20"/>
        </w:rPr>
        <w:t>State-sponsored i</w:t>
      </w:r>
      <w:r w:rsidR="00EB7D2D" w:rsidRPr="00EB7D2D">
        <w:rPr>
          <w:rFonts w:eastAsia="Times New Roman" w:cstheme="minorHAnsi"/>
          <w:szCs w:val="20"/>
        </w:rPr>
        <w:t>ndependent licensing board</w:t>
      </w:r>
      <w:r w:rsidR="00DE75FA">
        <w:rPr>
          <w:rFonts w:eastAsia="Times New Roman" w:cstheme="minorHAnsi"/>
          <w:szCs w:val="20"/>
        </w:rPr>
        <w:t>s</w:t>
      </w:r>
      <w:r w:rsidR="00EB7D2D" w:rsidRPr="00EB7D2D">
        <w:rPr>
          <w:rFonts w:eastAsia="Times New Roman" w:cstheme="minorHAnsi"/>
          <w:szCs w:val="20"/>
        </w:rPr>
        <w:t xml:space="preserve"> </w:t>
      </w:r>
      <w:r w:rsidR="00DE75FA">
        <w:rPr>
          <w:rFonts w:eastAsia="Times New Roman" w:cstheme="minorHAnsi"/>
          <w:szCs w:val="20"/>
        </w:rPr>
        <w:t xml:space="preserve">are generally </w:t>
      </w:r>
      <w:r w:rsidR="00EB7D2D" w:rsidRPr="00EB7D2D">
        <w:rPr>
          <w:rFonts w:eastAsia="Times New Roman" w:cstheme="minorHAnsi"/>
          <w:szCs w:val="20"/>
        </w:rPr>
        <w:t xml:space="preserve">comprised of </w:t>
      </w:r>
      <w:r w:rsidR="00F55324">
        <w:rPr>
          <w:rFonts w:eastAsia="Times New Roman" w:cstheme="minorHAnsi"/>
          <w:szCs w:val="20"/>
        </w:rPr>
        <w:t xml:space="preserve">gubernatorially-appointed </w:t>
      </w:r>
      <w:r w:rsidR="00EB7D2D" w:rsidRPr="00EB7D2D">
        <w:rPr>
          <w:rFonts w:eastAsia="Times New Roman" w:cstheme="minorHAnsi"/>
          <w:szCs w:val="20"/>
        </w:rPr>
        <w:t xml:space="preserve">representatives </w:t>
      </w:r>
      <w:r w:rsidR="00C065B8">
        <w:rPr>
          <w:rFonts w:eastAsia="Times New Roman" w:cstheme="minorHAnsi"/>
          <w:szCs w:val="20"/>
        </w:rPr>
        <w:t xml:space="preserve">of the industry/profession </w:t>
      </w:r>
      <w:r w:rsidR="00F55324">
        <w:rPr>
          <w:rFonts w:eastAsia="Times New Roman" w:cstheme="minorHAnsi"/>
          <w:szCs w:val="20"/>
        </w:rPr>
        <w:t>being regulated</w:t>
      </w:r>
      <w:r w:rsidR="000E409F">
        <w:rPr>
          <w:rFonts w:eastAsia="Times New Roman" w:cstheme="minorHAnsi"/>
          <w:szCs w:val="20"/>
        </w:rPr>
        <w:t xml:space="preserve">, </w:t>
      </w:r>
      <w:r w:rsidR="002148DA">
        <w:rPr>
          <w:rFonts w:eastAsia="Times New Roman" w:cstheme="minorHAnsi"/>
          <w:szCs w:val="20"/>
        </w:rPr>
        <w:t>al</w:t>
      </w:r>
      <w:r w:rsidR="000E409F">
        <w:rPr>
          <w:rFonts w:eastAsia="Times New Roman" w:cstheme="minorHAnsi"/>
          <w:szCs w:val="20"/>
        </w:rPr>
        <w:t xml:space="preserve">though they may also include members </w:t>
      </w:r>
      <w:r w:rsidR="007323A8">
        <w:rPr>
          <w:rFonts w:eastAsia="Times New Roman" w:cstheme="minorHAnsi"/>
          <w:szCs w:val="20"/>
        </w:rPr>
        <w:t>representing the</w:t>
      </w:r>
      <w:r w:rsidR="000E409F">
        <w:rPr>
          <w:rFonts w:eastAsia="Times New Roman" w:cstheme="minorHAnsi"/>
          <w:szCs w:val="20"/>
        </w:rPr>
        <w:t xml:space="preserve"> public</w:t>
      </w:r>
      <w:r w:rsidR="003B646D">
        <w:rPr>
          <w:rFonts w:eastAsia="Times New Roman" w:cstheme="minorHAnsi"/>
          <w:szCs w:val="20"/>
        </w:rPr>
        <w:t xml:space="preserve"> or other public/consumer-oriented organizations.</w:t>
      </w:r>
    </w:p>
    <w:p w14:paraId="6EA9DDE5" w14:textId="4AF0EE53" w:rsidR="00AF2AAE" w:rsidRDefault="00AF2AAE" w:rsidP="00B443BB">
      <w:pPr>
        <w:spacing w:line="360" w:lineRule="auto"/>
        <w:rPr>
          <w:rFonts w:eastAsia="Times New Roman" w:cstheme="minorHAnsi"/>
          <w:szCs w:val="20"/>
        </w:rPr>
      </w:pPr>
    </w:p>
    <w:p w14:paraId="17F3CA09" w14:textId="033F706F" w:rsidR="00DC2AB8" w:rsidRPr="00DC2AB8" w:rsidRDefault="00DC2AB8" w:rsidP="00B443BB">
      <w:pPr>
        <w:spacing w:line="360" w:lineRule="auto"/>
        <w:rPr>
          <w:rFonts w:eastAsia="Times New Roman" w:cstheme="minorHAnsi"/>
          <w:b/>
          <w:bCs/>
          <w:szCs w:val="20"/>
        </w:rPr>
      </w:pPr>
      <w:r w:rsidRPr="00DC2AB8">
        <w:rPr>
          <w:rFonts w:eastAsia="Times New Roman" w:cstheme="minorHAnsi"/>
          <w:b/>
          <w:bCs/>
          <w:szCs w:val="20"/>
        </w:rPr>
        <w:t>Modifying Scope of Practice Generally</w:t>
      </w:r>
    </w:p>
    <w:p w14:paraId="03084710" w14:textId="454EA47A" w:rsidR="00B443BB" w:rsidRDefault="004D132D" w:rsidP="00B443BB">
      <w:pPr>
        <w:spacing w:line="360" w:lineRule="auto"/>
        <w:rPr>
          <w:rFonts w:eastAsia="Times New Roman" w:cstheme="minorHAnsi"/>
          <w:szCs w:val="20"/>
        </w:rPr>
      </w:pPr>
      <w:r w:rsidRPr="00A1396E">
        <w:rPr>
          <w:rFonts w:eastAsia="Times New Roman" w:cstheme="minorHAnsi"/>
          <w:szCs w:val="20"/>
        </w:rPr>
        <w:t xml:space="preserve">State legislatures consider legislation that alters the routine, nonemergency scope of practice for a range of healthcare and other regulated professions annually. As a general proposition, changing the scope of practice for a given profession can be controversial for those affected by the changes. Proposed changes in scope can at times be viewed by the public and regulators as turf battles between two or more segments of a profession fighting over the exclusive right to engage in an activity. However, proposed scope of practice changes can also </w:t>
      </w:r>
      <w:r w:rsidR="00107FEF" w:rsidRPr="00A1396E">
        <w:rPr>
          <w:rFonts w:eastAsia="Times New Roman" w:cstheme="minorHAnsi"/>
          <w:szCs w:val="20"/>
        </w:rPr>
        <w:t>be</w:t>
      </w:r>
      <w:r w:rsidRPr="00A1396E">
        <w:rPr>
          <w:rFonts w:eastAsia="Times New Roman" w:cstheme="minorHAnsi"/>
          <w:szCs w:val="20"/>
        </w:rPr>
        <w:t xml:space="preserve"> </w:t>
      </w:r>
      <w:r w:rsidR="00107FEF">
        <w:rPr>
          <w:rFonts w:eastAsia="Times New Roman" w:cstheme="minorHAnsi"/>
          <w:szCs w:val="20"/>
        </w:rPr>
        <w:t>viewed as a</w:t>
      </w:r>
      <w:r w:rsidRPr="00A1396E">
        <w:rPr>
          <w:rFonts w:eastAsia="Times New Roman" w:cstheme="minorHAnsi"/>
          <w:szCs w:val="20"/>
        </w:rPr>
        <w:t xml:space="preserve"> better way to protect the public and give consumers better access to competent professionals. Scope of practice modifications may also be necessary to keep pace with changes in technology, scientific advancement, and increased societal needs. Because many of the skill sets of various professions overlap—especially in healthcare—it is inevitable that there will be some common skill sets among different regulated professions.</w:t>
      </w:r>
    </w:p>
    <w:p w14:paraId="21C4F89F" w14:textId="77777777" w:rsidR="00B443BB" w:rsidRDefault="00B443BB" w:rsidP="00B443BB">
      <w:pPr>
        <w:spacing w:line="360" w:lineRule="auto"/>
        <w:rPr>
          <w:rFonts w:eastAsia="Times New Roman" w:cstheme="minorHAnsi"/>
          <w:szCs w:val="20"/>
        </w:rPr>
      </w:pPr>
    </w:p>
    <w:p w14:paraId="131B1B02" w14:textId="6F283D9D" w:rsidR="00B443BB" w:rsidRDefault="00B443BB" w:rsidP="00B443BB">
      <w:pPr>
        <w:spacing w:line="360" w:lineRule="auto"/>
        <w:rPr>
          <w:rFonts w:eastAsia="Times New Roman" w:cstheme="minorHAnsi"/>
        </w:rPr>
      </w:pPr>
      <w:r w:rsidRPr="00A1396E">
        <w:rPr>
          <w:rFonts w:eastAsia="Times New Roman" w:cstheme="minorHAnsi"/>
        </w:rPr>
        <w:t>Because each state has its own unique set of practice requirements for the professions it regulates, the analysis of scope of practice issues should first begin with identifying and analyzing a state’s applicable statutes, regulations, and other policies issued by the cognizant regulating body (e.g., health agency, licensing board, etc.). States likewise use a variety of approaches in modifying the scope of practice that applies to regulated professions in both daily nonemergency settings and when there is a public health emergency or other emergency event.</w:t>
      </w:r>
    </w:p>
    <w:p w14:paraId="1C82C1B5" w14:textId="11E7C637" w:rsidR="00B443BB" w:rsidRPr="00A1396E" w:rsidRDefault="00B443BB" w:rsidP="00B443BB">
      <w:pPr>
        <w:spacing w:line="360" w:lineRule="auto"/>
        <w:rPr>
          <w:rFonts w:eastAsia="Times New Roman" w:cstheme="minorHAnsi"/>
          <w:szCs w:val="20"/>
        </w:rPr>
      </w:pPr>
    </w:p>
    <w:p w14:paraId="5EEE7911" w14:textId="77777777" w:rsidR="00F0755A" w:rsidRDefault="004D132D" w:rsidP="00B443BB">
      <w:pPr>
        <w:spacing w:line="360" w:lineRule="auto"/>
        <w:rPr>
          <w:rFonts w:eastAsia="Times New Roman" w:cstheme="minorHAnsi"/>
          <w:szCs w:val="20"/>
        </w:rPr>
      </w:pPr>
      <w:r w:rsidRPr="00A1396E">
        <w:rPr>
          <w:rFonts w:eastAsia="Times New Roman" w:cstheme="minorHAnsi"/>
          <w:szCs w:val="20"/>
        </w:rPr>
        <w:t>Overlapping and closely related skills can become the foundation for modifying and expanding scopes of practice during emergencies. States have modified the scope of practice for certain licensed professions as a strategy to expand their public health emergency response capacity. This practice allows practitioners to conduct activities and procedures they are not normally permitted to do or alters the conditions under which they practice (e.g., replacing direct supervision requirements with written protocols).</w:t>
      </w:r>
    </w:p>
    <w:p w14:paraId="19E54869" w14:textId="77777777" w:rsidR="00F0755A" w:rsidRDefault="00F0755A" w:rsidP="00B443BB">
      <w:pPr>
        <w:spacing w:line="360" w:lineRule="auto"/>
        <w:rPr>
          <w:rFonts w:eastAsia="Times New Roman" w:cstheme="minorHAnsi"/>
          <w:szCs w:val="20"/>
        </w:rPr>
      </w:pPr>
    </w:p>
    <w:p w14:paraId="3D312BCB" w14:textId="762E38B4" w:rsidR="004D132D" w:rsidRPr="00B443BB" w:rsidRDefault="004D132D" w:rsidP="00B443BB">
      <w:pPr>
        <w:spacing w:line="360" w:lineRule="auto"/>
        <w:rPr>
          <w:rFonts w:eastAsia="Times New Roman" w:cstheme="minorHAnsi"/>
        </w:rPr>
      </w:pPr>
      <w:r w:rsidRPr="00A1396E">
        <w:rPr>
          <w:rFonts w:eastAsia="Times New Roman" w:cstheme="minorHAnsi"/>
          <w:szCs w:val="20"/>
        </w:rPr>
        <w:t xml:space="preserve">During the 2009 H1N1 influenza pandemic, a number of states authorized or used modified scope of practice primarily to expand the number of persons eligible to perform vaccinations. These modified scopes of practice were generally temporary measures that were allowed during the duration of a declared emergency or until otherwise permitted by law or order. Other states did not use modified scope of practice during H1N1 because the capacity of healthcare providers was sufficient to respond to </w:t>
      </w:r>
      <w:r w:rsidRPr="00A1396E">
        <w:rPr>
          <w:rFonts w:eastAsia="Times New Roman" w:cstheme="minorHAnsi"/>
          <w:szCs w:val="20"/>
        </w:rPr>
        <w:lastRenderedPageBreak/>
        <w:t>the outbreak in the state; some pursued other strategies, such as the use of volunteer healthcare providers, to supplement their response capacity.</w:t>
      </w:r>
      <w:r w:rsidR="00F0755A">
        <w:rPr>
          <w:rFonts w:eastAsia="Times New Roman" w:cstheme="minorHAnsi"/>
          <w:szCs w:val="20"/>
        </w:rPr>
        <w:t xml:space="preserve"> </w:t>
      </w:r>
      <w:r w:rsidR="00825EE0" w:rsidRPr="00BC7871">
        <w:rPr>
          <w:rFonts w:eastAsia="Times New Roman" w:cstheme="minorHAnsi"/>
          <w:szCs w:val="20"/>
        </w:rPr>
        <w:t xml:space="preserve">In contrast, the COVID-19 pandemic </w:t>
      </w:r>
      <w:r w:rsidR="0039339A" w:rsidRPr="00BC7871">
        <w:rPr>
          <w:rFonts w:eastAsia="Times New Roman" w:cstheme="minorHAnsi"/>
          <w:szCs w:val="20"/>
        </w:rPr>
        <w:t xml:space="preserve">saw widespread modification of scope of practice </w:t>
      </w:r>
      <w:r w:rsidR="00D56150" w:rsidRPr="00BC7871">
        <w:rPr>
          <w:rFonts w:eastAsia="Times New Roman" w:cstheme="minorHAnsi"/>
          <w:szCs w:val="20"/>
        </w:rPr>
        <w:t>for many types of healthcare practitioners</w:t>
      </w:r>
      <w:r w:rsidR="00BC7871" w:rsidRPr="00BC7871">
        <w:rPr>
          <w:rFonts w:eastAsia="Times New Roman" w:cstheme="minorHAnsi"/>
          <w:szCs w:val="20"/>
        </w:rPr>
        <w:t>.</w:t>
      </w:r>
      <w:r w:rsidR="00BC7871">
        <w:rPr>
          <w:rStyle w:val="FootnoteReference"/>
          <w:rFonts w:eastAsia="Times New Roman" w:cstheme="minorHAnsi"/>
          <w:szCs w:val="20"/>
        </w:rPr>
        <w:footnoteReference w:id="6"/>
      </w:r>
      <w:r w:rsidR="00BC7871" w:rsidRPr="00BC7871">
        <w:rPr>
          <w:rFonts w:eastAsia="Times New Roman" w:cstheme="minorHAnsi"/>
          <w:szCs w:val="20"/>
        </w:rPr>
        <w:t xml:space="preserve"> </w:t>
      </w:r>
    </w:p>
    <w:p w14:paraId="5131103F" w14:textId="2FA4E3DB" w:rsidR="00EC5FD7" w:rsidRPr="00B443BB" w:rsidRDefault="00EC5FD7" w:rsidP="00B443BB">
      <w:pPr>
        <w:spacing w:line="360" w:lineRule="auto"/>
        <w:rPr>
          <w:rFonts w:eastAsia="Times New Roman" w:cstheme="minorHAnsi"/>
        </w:rPr>
      </w:pPr>
    </w:p>
    <w:p w14:paraId="2269D214" w14:textId="1177AC88" w:rsidR="004D132D" w:rsidRPr="00A1396E" w:rsidRDefault="004D132D" w:rsidP="0025298F">
      <w:pPr>
        <w:keepNext/>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Legal Authorities to Modify Scope of Practice</w:t>
      </w:r>
      <w:r w:rsidR="00DC2AB8">
        <w:rPr>
          <w:rFonts w:eastAsia="Times New Roman" w:cstheme="minorHAnsi"/>
          <w:b/>
          <w:bCs/>
          <w:color w:val="3C3030"/>
          <w:sz w:val="24"/>
          <w:szCs w:val="24"/>
        </w:rPr>
        <w:t xml:space="preserve"> in Emergencies</w:t>
      </w:r>
    </w:p>
    <w:p w14:paraId="45FA2A4E" w14:textId="589C56B9" w:rsidR="00DC2AB8" w:rsidRDefault="004D132D" w:rsidP="00B443BB">
      <w:pPr>
        <w:spacing w:line="360" w:lineRule="auto"/>
        <w:rPr>
          <w:rFonts w:eastAsia="Times New Roman" w:cstheme="minorHAnsi"/>
          <w:szCs w:val="20"/>
        </w:rPr>
      </w:pPr>
      <w:r w:rsidRPr="00A1396E">
        <w:rPr>
          <w:rFonts w:eastAsia="Times New Roman" w:cstheme="minorHAnsi"/>
          <w:szCs w:val="20"/>
        </w:rPr>
        <w:t xml:space="preserve">The legal authorities and mechanisms for modifying scope of practice for a public health or other emergency vary among states. Some states </w:t>
      </w:r>
      <w:r w:rsidR="008B3A86">
        <w:rPr>
          <w:rFonts w:eastAsia="Times New Roman" w:cstheme="minorHAnsi"/>
          <w:szCs w:val="20"/>
        </w:rPr>
        <w:t xml:space="preserve">have </w:t>
      </w:r>
      <w:r w:rsidR="00F83A04">
        <w:rPr>
          <w:rFonts w:eastAsia="Times New Roman" w:cstheme="minorHAnsi"/>
          <w:szCs w:val="20"/>
        </w:rPr>
        <w:t>p</w:t>
      </w:r>
      <w:r w:rsidRPr="00A1396E">
        <w:rPr>
          <w:rFonts w:eastAsia="Times New Roman" w:cstheme="minorHAnsi"/>
          <w:szCs w:val="20"/>
        </w:rPr>
        <w:t>ermanently authorized modified scopes of practice in emergencies for selected regulated professions, either by statute or regulation. In this instance, these provisions may be activated by an emergency declaration by a governor, health officer, practice regulatory body, or other authorized officials. The modifications authorized may be specified in statute or regulation or defined by order on a case-by-case basis for each emergency. Other states have used orders from a governor, health officer, or practice regulatory bodies during a declared emergency to authorize and specify the modified scope of practice applicable for that emergency.</w:t>
      </w:r>
      <w:r w:rsidR="00DC2AB8">
        <w:rPr>
          <w:rFonts w:eastAsia="Times New Roman" w:cstheme="minorHAnsi"/>
          <w:szCs w:val="20"/>
        </w:rPr>
        <w:t xml:space="preserve"> It is important to understand the extent to which and whether an emergency declaration—especially one that is not declared by the governor—can modify requirements that are </w:t>
      </w:r>
      <w:r w:rsidR="00E42C3A">
        <w:rPr>
          <w:rFonts w:eastAsia="Times New Roman" w:cstheme="minorHAnsi"/>
          <w:szCs w:val="20"/>
        </w:rPr>
        <w:t>legally within the prevue of a</w:t>
      </w:r>
      <w:r w:rsidR="00DC2AB8">
        <w:rPr>
          <w:rFonts w:eastAsia="Times New Roman" w:cstheme="minorHAnsi"/>
          <w:szCs w:val="20"/>
        </w:rPr>
        <w:t xml:space="preserve"> licensing board. </w:t>
      </w:r>
      <w:r w:rsidR="00E42C3A">
        <w:rPr>
          <w:rFonts w:eastAsia="Times New Roman" w:cstheme="minorHAnsi"/>
          <w:szCs w:val="20"/>
        </w:rPr>
        <w:t>A health agency may have to work in concert with a number of licensing boards in order to achieve the desired emergency scope of practice modifications.</w:t>
      </w:r>
    </w:p>
    <w:p w14:paraId="10CCA1AD" w14:textId="77777777" w:rsidR="00DC2AB8" w:rsidRDefault="00DC2AB8" w:rsidP="00B443BB">
      <w:pPr>
        <w:spacing w:line="360" w:lineRule="auto"/>
        <w:rPr>
          <w:rFonts w:eastAsia="Times New Roman" w:cstheme="minorHAnsi"/>
          <w:szCs w:val="20"/>
        </w:rPr>
      </w:pPr>
    </w:p>
    <w:p w14:paraId="50AD201B" w14:textId="645F848E" w:rsidR="004D132D" w:rsidRPr="00A1396E" w:rsidRDefault="004D132D" w:rsidP="00B443BB">
      <w:pPr>
        <w:spacing w:line="360" w:lineRule="auto"/>
        <w:rPr>
          <w:rFonts w:eastAsia="Times New Roman" w:cstheme="minorHAnsi"/>
          <w:szCs w:val="20"/>
        </w:rPr>
      </w:pPr>
      <w:r w:rsidRPr="00A1396E">
        <w:rPr>
          <w:rFonts w:eastAsia="Times New Roman" w:cstheme="minorHAnsi"/>
          <w:szCs w:val="20"/>
        </w:rPr>
        <w:t>Modified practice authority granted in an emergency generally lasts until the underlying emergency declaration expires or is otherwise cancelled by the health agency or professional regulatory body. The emergency scope of practice modifications may or may not evolve into permanent scope of practice changes for a profession.</w:t>
      </w:r>
      <w:r w:rsidR="009B2E8B">
        <w:rPr>
          <w:rFonts w:eastAsia="Times New Roman" w:cstheme="minorHAnsi"/>
          <w:szCs w:val="20"/>
        </w:rPr>
        <w:t xml:space="preserve"> </w:t>
      </w:r>
    </w:p>
    <w:p w14:paraId="2C8FC0D8" w14:textId="77777777" w:rsidR="00EC5FD7" w:rsidRPr="00E153B6" w:rsidRDefault="00EC5FD7" w:rsidP="00B443BB">
      <w:pPr>
        <w:spacing w:line="360" w:lineRule="auto"/>
        <w:rPr>
          <w:rFonts w:eastAsia="Times New Roman" w:cstheme="minorHAnsi"/>
          <w:szCs w:val="20"/>
        </w:rPr>
      </w:pPr>
    </w:p>
    <w:p w14:paraId="1CB599A8" w14:textId="62492EA8" w:rsidR="004D132D" w:rsidRPr="00A1396E" w:rsidRDefault="004D132D" w:rsidP="00B443BB">
      <w:pPr>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Modified Scope of Practice Activities in Emergencies</w:t>
      </w:r>
    </w:p>
    <w:p w14:paraId="7DD48071" w14:textId="220D8AB3"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 xml:space="preserve">Modifying scope of practice in emergencies generally involves addressing: (1) the types of activities permitted under the modified scope; (2) the types of practitioners permitted to engage in the modified activities; (3) the control or supervision requirements for the practitioners undertaking the modified activities; and (4) any new or supplemental training a practitioner is required to receive. </w:t>
      </w:r>
    </w:p>
    <w:p w14:paraId="0B15672C" w14:textId="77777777" w:rsidR="00EC5FD7" w:rsidRPr="009750E4" w:rsidRDefault="00EC5FD7" w:rsidP="00B443BB">
      <w:pPr>
        <w:spacing w:line="360" w:lineRule="auto"/>
        <w:rPr>
          <w:rFonts w:eastAsia="Times New Roman" w:cstheme="minorHAnsi"/>
          <w:b/>
          <w:bCs/>
          <w:szCs w:val="20"/>
        </w:rPr>
      </w:pPr>
    </w:p>
    <w:p w14:paraId="5C507B04" w14:textId="21E5E1D5" w:rsidR="004D132D" w:rsidRPr="009750E4" w:rsidRDefault="004D132D" w:rsidP="00BF6D57">
      <w:pPr>
        <w:keepNext/>
        <w:keepLines/>
        <w:spacing w:line="360" w:lineRule="auto"/>
        <w:rPr>
          <w:rFonts w:eastAsia="Times New Roman" w:cstheme="minorHAnsi"/>
          <w:b/>
          <w:bCs/>
          <w:szCs w:val="20"/>
        </w:rPr>
      </w:pPr>
      <w:r w:rsidRPr="009750E4">
        <w:rPr>
          <w:rFonts w:eastAsia="Times New Roman" w:cstheme="minorHAnsi"/>
          <w:b/>
          <w:bCs/>
          <w:szCs w:val="20"/>
        </w:rPr>
        <w:lastRenderedPageBreak/>
        <w:t>Permitted Activities and Practitioners Undertaking Them</w:t>
      </w:r>
    </w:p>
    <w:p w14:paraId="168C2DFC" w14:textId="77777777"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States’ approaches to modifying the types of practitioners and the activities they are allowed to conduct in an emergency vary considerably. There are, however, common elements addressed in a modified scope of practice decision:</w:t>
      </w:r>
    </w:p>
    <w:p w14:paraId="2957D051" w14:textId="77777777" w:rsidR="00EC5FD7" w:rsidRPr="009750E4" w:rsidRDefault="00EC5FD7" w:rsidP="00B443BB">
      <w:pPr>
        <w:spacing w:line="360" w:lineRule="auto"/>
        <w:rPr>
          <w:rFonts w:eastAsia="Times New Roman" w:cstheme="minorHAnsi"/>
          <w:b/>
          <w:bCs/>
          <w:szCs w:val="20"/>
          <w:bdr w:val="none" w:sz="0" w:space="0" w:color="auto" w:frame="1"/>
        </w:rPr>
      </w:pPr>
    </w:p>
    <w:p w14:paraId="1ACCD4BF" w14:textId="2E494A0E" w:rsidR="004D132D" w:rsidRPr="009750E4" w:rsidRDefault="004D132D" w:rsidP="00B443BB">
      <w:pPr>
        <w:pStyle w:val="ListParagraph"/>
        <w:numPr>
          <w:ilvl w:val="0"/>
          <w:numId w:val="6"/>
        </w:numPr>
        <w:spacing w:line="360" w:lineRule="auto"/>
        <w:rPr>
          <w:rFonts w:eastAsia="Times New Roman" w:cstheme="minorHAnsi"/>
          <w:szCs w:val="20"/>
        </w:rPr>
      </w:pPr>
      <w:r w:rsidRPr="009750E4">
        <w:rPr>
          <w:rFonts w:eastAsia="Times New Roman" w:cstheme="minorHAnsi"/>
          <w:b/>
          <w:bCs/>
          <w:szCs w:val="20"/>
          <w:bdr w:val="none" w:sz="0" w:space="0" w:color="auto" w:frame="1"/>
        </w:rPr>
        <w:t>Types of practitioners allowed to engage in the modified practice activity.</w:t>
      </w:r>
      <w:r w:rsidR="00DC2AB8">
        <w:rPr>
          <w:rFonts w:eastAsia="Times New Roman" w:cstheme="minorHAnsi"/>
          <w:b/>
          <w:bCs/>
          <w:szCs w:val="20"/>
          <w:bdr w:val="none" w:sz="0" w:space="0" w:color="auto" w:frame="1"/>
        </w:rPr>
        <w:t xml:space="preserve"> </w:t>
      </w:r>
      <w:r w:rsidRPr="009750E4">
        <w:rPr>
          <w:rFonts w:eastAsia="Times New Roman" w:cstheme="minorHAnsi"/>
          <w:szCs w:val="20"/>
        </w:rPr>
        <w:t xml:space="preserve">Not all regulated health professions in a state will be required or permitted to work under a modified scope of practice during an emergency. Those professions with the same or similar skill sets necessary to meet the particular demands of specific emergency event are most likely to be considered for modified practice. </w:t>
      </w:r>
      <w:r w:rsidR="002E37AE">
        <w:rPr>
          <w:rFonts w:eastAsia="Times New Roman" w:cstheme="minorHAnsi"/>
          <w:szCs w:val="20"/>
        </w:rPr>
        <w:t xml:space="preserve">For example, </w:t>
      </w:r>
      <w:r w:rsidRPr="009750E4">
        <w:rPr>
          <w:rFonts w:eastAsia="Times New Roman" w:cstheme="minorHAnsi"/>
          <w:szCs w:val="20"/>
        </w:rPr>
        <w:t xml:space="preserve">pharmacists and EMS providers </w:t>
      </w:r>
      <w:r w:rsidR="002E37AE">
        <w:rPr>
          <w:rFonts w:eastAsia="Times New Roman" w:cstheme="minorHAnsi"/>
          <w:szCs w:val="20"/>
        </w:rPr>
        <w:t>are</w:t>
      </w:r>
      <w:r w:rsidRPr="009750E4">
        <w:rPr>
          <w:rFonts w:eastAsia="Times New Roman" w:cstheme="minorHAnsi"/>
          <w:szCs w:val="20"/>
        </w:rPr>
        <w:t xml:space="preserve"> among the professions most frequently designated for a modified scope of practice to supplement states’ capacity to rapidly vaccinate their populations</w:t>
      </w:r>
      <w:r w:rsidR="00CA31E4">
        <w:rPr>
          <w:rFonts w:eastAsia="Times New Roman" w:cstheme="minorHAnsi"/>
          <w:szCs w:val="20"/>
        </w:rPr>
        <w:t xml:space="preserve"> when needed.</w:t>
      </w:r>
      <w:r w:rsidRPr="009750E4">
        <w:rPr>
          <w:rFonts w:eastAsia="Times New Roman" w:cstheme="minorHAnsi"/>
          <w:szCs w:val="20"/>
        </w:rPr>
        <w:t xml:space="preserve"> Other potential strategies include allowing experienced personnel to temporarily perform at the next level of credential within a field without qualifying education, training hours, or examination, and allowing prior licensees or retired practitioners who were in good standing to practice during the emergency event.</w:t>
      </w:r>
      <w:r w:rsidR="00DD2DAE">
        <w:rPr>
          <w:rFonts w:eastAsia="Times New Roman" w:cstheme="minorHAnsi"/>
          <w:szCs w:val="20"/>
        </w:rPr>
        <w:t xml:space="preserve"> </w:t>
      </w:r>
    </w:p>
    <w:p w14:paraId="1E787236" w14:textId="77777777" w:rsidR="00EC5FD7" w:rsidRPr="009750E4" w:rsidRDefault="00EC5FD7" w:rsidP="00B443BB">
      <w:pPr>
        <w:spacing w:line="360" w:lineRule="auto"/>
        <w:rPr>
          <w:rFonts w:eastAsia="Times New Roman" w:cstheme="minorHAnsi"/>
          <w:b/>
          <w:bCs/>
          <w:szCs w:val="20"/>
          <w:bdr w:val="none" w:sz="0" w:space="0" w:color="auto" w:frame="1"/>
        </w:rPr>
      </w:pPr>
    </w:p>
    <w:p w14:paraId="3F0A5FB4" w14:textId="0A922283" w:rsidR="004D132D" w:rsidRPr="009750E4" w:rsidRDefault="004D132D" w:rsidP="00B443BB">
      <w:pPr>
        <w:pStyle w:val="ListParagraph"/>
        <w:numPr>
          <w:ilvl w:val="0"/>
          <w:numId w:val="5"/>
        </w:numPr>
        <w:spacing w:line="360" w:lineRule="auto"/>
        <w:rPr>
          <w:rFonts w:eastAsia="Times New Roman" w:cstheme="minorHAnsi"/>
          <w:szCs w:val="20"/>
        </w:rPr>
      </w:pPr>
      <w:r w:rsidRPr="009750E4">
        <w:rPr>
          <w:rFonts w:eastAsia="Times New Roman" w:cstheme="minorHAnsi"/>
          <w:b/>
          <w:bCs/>
          <w:szCs w:val="20"/>
          <w:bdr w:val="none" w:sz="0" w:space="0" w:color="auto" w:frame="1"/>
        </w:rPr>
        <w:t>Types of modified activities permitted.</w:t>
      </w:r>
      <w:r w:rsidR="00DC2AB8">
        <w:rPr>
          <w:rFonts w:eastAsia="Times New Roman" w:cstheme="minorHAnsi"/>
          <w:szCs w:val="20"/>
        </w:rPr>
        <w:t xml:space="preserve"> </w:t>
      </w:r>
      <w:r w:rsidRPr="009750E4">
        <w:rPr>
          <w:rFonts w:eastAsia="Times New Roman" w:cstheme="minorHAnsi"/>
          <w:szCs w:val="20"/>
        </w:rPr>
        <w:t xml:space="preserve">The types of modified activities a regulated professional will be permitted to conduct under modified practice will vary with the level of practitioner (e.g., registered nurse vs. nurses’ aide) and the extent of the need. Examples of modified practice activities include, but are not limited to, administering drugs, performing vaccinations or other injections, monitoring respiratory function, and monitoring general patient condition. </w:t>
      </w:r>
    </w:p>
    <w:p w14:paraId="718F47F4" w14:textId="77777777" w:rsidR="00EC5FD7" w:rsidRPr="009750E4" w:rsidRDefault="00EC5FD7" w:rsidP="00B443BB">
      <w:pPr>
        <w:spacing w:line="360" w:lineRule="auto"/>
        <w:rPr>
          <w:rFonts w:eastAsia="Times New Roman" w:cstheme="minorHAnsi"/>
          <w:b/>
          <w:bCs/>
          <w:szCs w:val="20"/>
          <w:bdr w:val="none" w:sz="0" w:space="0" w:color="auto" w:frame="1"/>
        </w:rPr>
      </w:pPr>
    </w:p>
    <w:p w14:paraId="21E09F30" w14:textId="11DAB3B0" w:rsidR="00DC2AB8" w:rsidRDefault="004D132D" w:rsidP="00B443BB">
      <w:pPr>
        <w:pStyle w:val="ListParagraph"/>
        <w:numPr>
          <w:ilvl w:val="0"/>
          <w:numId w:val="5"/>
        </w:numPr>
        <w:spacing w:line="360" w:lineRule="auto"/>
        <w:rPr>
          <w:rFonts w:eastAsia="Times New Roman" w:cstheme="minorHAnsi"/>
          <w:szCs w:val="20"/>
        </w:rPr>
      </w:pPr>
      <w:r w:rsidRPr="009750E4">
        <w:rPr>
          <w:rFonts w:eastAsia="Times New Roman" w:cstheme="minorHAnsi"/>
          <w:b/>
          <w:bCs/>
          <w:szCs w:val="20"/>
          <w:bdr w:val="none" w:sz="0" w:space="0" w:color="auto" w:frame="1"/>
        </w:rPr>
        <w:t>Conditions or limitations on the practitioner when doing the modified practice activity.</w:t>
      </w:r>
      <w:r w:rsidR="00DC2AB8">
        <w:rPr>
          <w:rFonts w:eastAsia="Times New Roman" w:cstheme="minorHAnsi"/>
          <w:szCs w:val="20"/>
        </w:rPr>
        <w:t xml:space="preserve"> </w:t>
      </w:r>
      <w:r w:rsidRPr="009750E4">
        <w:rPr>
          <w:rFonts w:eastAsia="Times New Roman" w:cstheme="minorHAnsi"/>
          <w:szCs w:val="20"/>
        </w:rPr>
        <w:t>States frequently place conditions or limitations on regulated professionals who practice under a modified scope during an emergency. These requirements can take a number of forms. They may address the types of drugs or vaccines that a practitioner working under an emergency modified scope of practice may administer. They may limit the age of patients that the practitioner may treat (e.g., adults only). They may also impose medical control or supervision requirements (see discussion below).</w:t>
      </w:r>
    </w:p>
    <w:p w14:paraId="5067FEDD" w14:textId="77777777" w:rsidR="00DC2AB8" w:rsidRPr="00DC2AB8" w:rsidRDefault="00DC2AB8" w:rsidP="00DC2AB8">
      <w:pPr>
        <w:pStyle w:val="ListParagraph"/>
        <w:ind w:left="360"/>
        <w:rPr>
          <w:rFonts w:eastAsia="Times New Roman" w:cstheme="minorHAnsi"/>
          <w:szCs w:val="20"/>
        </w:rPr>
      </w:pPr>
    </w:p>
    <w:p w14:paraId="0C065EB3" w14:textId="6532FDDC" w:rsidR="004D132D" w:rsidRPr="009750E4" w:rsidRDefault="004D132D" w:rsidP="00DC2AB8">
      <w:pPr>
        <w:pStyle w:val="ListParagraph"/>
        <w:spacing w:line="360" w:lineRule="auto"/>
        <w:ind w:left="360"/>
        <w:rPr>
          <w:rFonts w:eastAsia="Times New Roman" w:cstheme="minorHAnsi"/>
          <w:szCs w:val="20"/>
        </w:rPr>
      </w:pPr>
      <w:r w:rsidRPr="009750E4">
        <w:rPr>
          <w:rFonts w:eastAsia="Times New Roman" w:cstheme="minorHAnsi"/>
          <w:szCs w:val="20"/>
        </w:rPr>
        <w:t xml:space="preserve">Conversely, a modified scope of practice in an emergency may relax existing conditions or limitations on scope of practice. </w:t>
      </w:r>
      <w:r w:rsidR="00D92865">
        <w:rPr>
          <w:rFonts w:eastAsia="Times New Roman" w:cstheme="minorHAnsi"/>
          <w:szCs w:val="20"/>
        </w:rPr>
        <w:t>For example</w:t>
      </w:r>
      <w:r w:rsidRPr="009750E4">
        <w:rPr>
          <w:rFonts w:eastAsia="Times New Roman" w:cstheme="minorHAnsi"/>
          <w:szCs w:val="20"/>
        </w:rPr>
        <w:t xml:space="preserve">, states </w:t>
      </w:r>
      <w:r w:rsidR="00D92865">
        <w:rPr>
          <w:rFonts w:eastAsia="Times New Roman" w:cstheme="minorHAnsi"/>
          <w:szCs w:val="20"/>
        </w:rPr>
        <w:t xml:space="preserve">could </w:t>
      </w:r>
      <w:r w:rsidRPr="009750E4">
        <w:rPr>
          <w:rFonts w:eastAsia="Times New Roman" w:cstheme="minorHAnsi"/>
          <w:szCs w:val="20"/>
        </w:rPr>
        <w:t xml:space="preserve">increase the age range of patients that </w:t>
      </w:r>
      <w:r w:rsidRPr="009750E4">
        <w:rPr>
          <w:rFonts w:eastAsia="Times New Roman" w:cstheme="minorHAnsi"/>
          <w:szCs w:val="20"/>
        </w:rPr>
        <w:lastRenderedPageBreak/>
        <w:t xml:space="preserve">specified healthcare practitioners </w:t>
      </w:r>
      <w:r w:rsidR="00D92865">
        <w:rPr>
          <w:rFonts w:eastAsia="Times New Roman" w:cstheme="minorHAnsi"/>
          <w:szCs w:val="20"/>
        </w:rPr>
        <w:t>are allowed to</w:t>
      </w:r>
      <w:r w:rsidRPr="009750E4">
        <w:rPr>
          <w:rFonts w:eastAsia="Times New Roman" w:cstheme="minorHAnsi"/>
          <w:szCs w:val="20"/>
        </w:rPr>
        <w:t xml:space="preserve"> vaccinate (e.g., adding children over a certain age). Other strategies can include reducing the numbers or types of personnel required for a task (e.g., requiring that an ambulance be staffed by specified levels and numbers of EMTs) or expanding the formulary of drugs a practitioner may administer. An emergency scope of practice can also temporarily modify or eliminate certain medical control or supervision requirements.</w:t>
      </w:r>
    </w:p>
    <w:p w14:paraId="3EE8DCB4" w14:textId="77777777" w:rsidR="00EC5FD7" w:rsidRPr="009750E4" w:rsidRDefault="00EC5FD7" w:rsidP="00B443BB">
      <w:pPr>
        <w:spacing w:line="360" w:lineRule="auto"/>
        <w:rPr>
          <w:rFonts w:eastAsia="Times New Roman" w:cstheme="minorHAnsi"/>
          <w:b/>
          <w:bCs/>
          <w:szCs w:val="20"/>
        </w:rPr>
      </w:pPr>
    </w:p>
    <w:p w14:paraId="6B6BB87D" w14:textId="20C84AC3" w:rsidR="004D132D" w:rsidRPr="009750E4" w:rsidRDefault="004D132D" w:rsidP="000127AA">
      <w:pPr>
        <w:keepNext/>
        <w:keepLines/>
        <w:spacing w:line="360" w:lineRule="auto"/>
        <w:rPr>
          <w:rFonts w:eastAsia="Times New Roman" w:cstheme="minorHAnsi"/>
          <w:b/>
          <w:bCs/>
          <w:szCs w:val="20"/>
        </w:rPr>
      </w:pPr>
      <w:r w:rsidRPr="009750E4">
        <w:rPr>
          <w:rFonts w:eastAsia="Times New Roman" w:cstheme="minorHAnsi"/>
          <w:b/>
          <w:bCs/>
          <w:szCs w:val="20"/>
        </w:rPr>
        <w:t>Medical Control and Other Supervision Issues</w:t>
      </w:r>
    </w:p>
    <w:p w14:paraId="1E918DD8" w14:textId="273831BF"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 xml:space="preserve">Some regulated professionals, such as licensed medical doctors, are authorized to practice independently within the scope of practice specified by the state in which they are licensed; they do not require supervision or control by another licensed practitioner. For many healthcare and other regulated professionals, however, their permitted scope of practice in nonemergency settings includes requirements for medical control—oversight by a more senior practitioner or one with additional training—or some other type of supervision. Medical control or supervision is accomplished through personal oversight or written directions in the form of prescriptions, protocols, or orders. Temporarily modifying medical control and supervision requirements, either by altering, removing, or adding requirements, is a frequent consideration and strategy used to change a professional scope of practice during public health emergencies. </w:t>
      </w:r>
      <w:r w:rsidR="00CF4FC0">
        <w:rPr>
          <w:rFonts w:eastAsia="Times New Roman" w:cstheme="minorHAnsi"/>
          <w:szCs w:val="20"/>
        </w:rPr>
        <w:t xml:space="preserve">For example, </w:t>
      </w:r>
      <w:r w:rsidRPr="009750E4">
        <w:rPr>
          <w:rFonts w:eastAsia="Times New Roman" w:cstheme="minorHAnsi"/>
          <w:szCs w:val="20"/>
        </w:rPr>
        <w:t xml:space="preserve">states </w:t>
      </w:r>
      <w:r w:rsidR="00EA4CFE">
        <w:rPr>
          <w:rFonts w:eastAsia="Times New Roman" w:cstheme="minorHAnsi"/>
          <w:szCs w:val="20"/>
        </w:rPr>
        <w:t xml:space="preserve">could </w:t>
      </w:r>
      <w:r w:rsidRPr="009750E4">
        <w:rPr>
          <w:rFonts w:eastAsia="Times New Roman" w:cstheme="minorHAnsi"/>
          <w:szCs w:val="20"/>
        </w:rPr>
        <w:t>allow physicians to issue standing orders permitting vaccination without issuing prescriptions to individual patients.</w:t>
      </w:r>
    </w:p>
    <w:p w14:paraId="532EC27A" w14:textId="77777777" w:rsidR="00EC5FD7" w:rsidRPr="009750E4" w:rsidRDefault="00EC5FD7" w:rsidP="00B443BB">
      <w:pPr>
        <w:spacing w:line="360" w:lineRule="auto"/>
        <w:rPr>
          <w:rFonts w:eastAsia="Times New Roman" w:cstheme="minorHAnsi"/>
          <w:b/>
          <w:bCs/>
          <w:szCs w:val="20"/>
          <w:bdr w:val="none" w:sz="0" w:space="0" w:color="auto" w:frame="1"/>
        </w:rPr>
      </w:pPr>
    </w:p>
    <w:p w14:paraId="50FB69D0" w14:textId="0667B245" w:rsidR="004D132D" w:rsidRPr="009750E4" w:rsidRDefault="004D132D" w:rsidP="00B443BB">
      <w:pPr>
        <w:pStyle w:val="ListParagraph"/>
        <w:numPr>
          <w:ilvl w:val="0"/>
          <w:numId w:val="7"/>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t>Direct Oversight—</w:t>
      </w:r>
      <w:r w:rsidRPr="009750E4">
        <w:rPr>
          <w:rFonts w:eastAsia="Times New Roman" w:cstheme="minorHAnsi"/>
          <w:szCs w:val="20"/>
        </w:rPr>
        <w:t>Some healthcare practitioners may only engage in certain activities if they are working under the direct oversight of a physician or other specified practitioner. Oversight can include requirements that practitioners work within a specified physical proximity to the supervisor.</w:t>
      </w:r>
    </w:p>
    <w:p w14:paraId="2AA8DCAD" w14:textId="77777777" w:rsidR="00EC5FD7" w:rsidRPr="009750E4" w:rsidRDefault="00EC5FD7" w:rsidP="00B443BB">
      <w:pPr>
        <w:spacing w:line="360" w:lineRule="auto"/>
        <w:rPr>
          <w:rFonts w:eastAsia="Times New Roman" w:cstheme="minorHAnsi"/>
          <w:b/>
          <w:bCs/>
          <w:szCs w:val="20"/>
          <w:bdr w:val="none" w:sz="0" w:space="0" w:color="auto" w:frame="1"/>
        </w:rPr>
      </w:pPr>
    </w:p>
    <w:p w14:paraId="5817424D" w14:textId="43E7B21D" w:rsidR="004D132D" w:rsidRPr="009750E4" w:rsidRDefault="004D132D" w:rsidP="00B443BB">
      <w:pPr>
        <w:pStyle w:val="ListParagraph"/>
        <w:numPr>
          <w:ilvl w:val="0"/>
          <w:numId w:val="7"/>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t>Prescription—</w:t>
      </w:r>
      <w:r w:rsidRPr="009750E4">
        <w:rPr>
          <w:rFonts w:eastAsia="Times New Roman" w:cstheme="minorHAnsi"/>
          <w:szCs w:val="20"/>
        </w:rPr>
        <w:t>The requirement that a drug, vaccine, or procedure cannot be administered by a healthcare practitioner unless it has been authorized in a prescription by another specified practitioner is a form of medical control. The types of healthcare providers who are authorized to issue prescriptions for drugs, vaccinations, or other medical procedures vary by state. Commonly authorized professionals include, but are not limited to, doctors, nurse practitioners, and dentists. Practitioners with prescription authority may be limited as to the types of drugs they are permitted to prescribe and the types of persons they may prescribe to. During emergencies, requirements that each patient have an individual prescription may be modified to permit the use of standing orders to authorize the widespread administration of vaccines and drugs without prescriptions.</w:t>
      </w:r>
    </w:p>
    <w:p w14:paraId="03D61BD1" w14:textId="77777777" w:rsidR="00EC5FD7" w:rsidRPr="009750E4" w:rsidRDefault="00EC5FD7" w:rsidP="00B443BB">
      <w:pPr>
        <w:spacing w:line="360" w:lineRule="auto"/>
        <w:rPr>
          <w:rFonts w:eastAsia="Times New Roman" w:cstheme="minorHAnsi"/>
          <w:b/>
          <w:bCs/>
          <w:szCs w:val="20"/>
          <w:bdr w:val="none" w:sz="0" w:space="0" w:color="auto" w:frame="1"/>
        </w:rPr>
      </w:pPr>
    </w:p>
    <w:p w14:paraId="0F5779D7" w14:textId="2B26A008" w:rsidR="004D132D" w:rsidRPr="009750E4" w:rsidRDefault="004D132D" w:rsidP="00B443BB">
      <w:pPr>
        <w:pStyle w:val="ListParagraph"/>
        <w:numPr>
          <w:ilvl w:val="0"/>
          <w:numId w:val="7"/>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t>Protocols and Standing Orders—</w:t>
      </w:r>
      <w:r w:rsidRPr="009750E4">
        <w:rPr>
          <w:rFonts w:eastAsia="Times New Roman" w:cstheme="minorHAnsi"/>
          <w:szCs w:val="20"/>
        </w:rPr>
        <w:t>Written protocols are a standard set of rules that govern the activities of regulated healthcare and other professions and serve as a form of medical control. Professionals such as EMS and nurses typically work under protocols issued by physicians. State or local laws, rules, or orders may authorize temporary changes to a protocol to facilitate public health emergency response activities. Standing orders authorize specified practitioners, such as nurses and pharmacists, to administer drugs and vaccines according to an approved protocol without a physician's examination.</w:t>
      </w:r>
    </w:p>
    <w:p w14:paraId="31601822" w14:textId="77777777" w:rsidR="00065F00" w:rsidRPr="009750E4" w:rsidRDefault="00065F00" w:rsidP="00B443BB">
      <w:pPr>
        <w:spacing w:line="360" w:lineRule="auto"/>
        <w:rPr>
          <w:rFonts w:eastAsia="Times New Roman" w:cstheme="minorHAnsi"/>
          <w:b/>
          <w:bCs/>
          <w:szCs w:val="20"/>
        </w:rPr>
      </w:pPr>
    </w:p>
    <w:p w14:paraId="29E9D5DE" w14:textId="47F5CA49" w:rsidR="004D132D" w:rsidRPr="007D1478" w:rsidRDefault="004D132D" w:rsidP="00B443BB">
      <w:pPr>
        <w:keepNext/>
        <w:spacing w:line="360" w:lineRule="auto"/>
        <w:rPr>
          <w:rFonts w:eastAsia="Times New Roman" w:cstheme="minorHAnsi"/>
          <w:b/>
          <w:bCs/>
          <w:sz w:val="24"/>
        </w:rPr>
      </w:pPr>
      <w:r w:rsidRPr="007D1478">
        <w:rPr>
          <w:rFonts w:eastAsia="Times New Roman" w:cstheme="minorHAnsi"/>
          <w:b/>
          <w:bCs/>
          <w:sz w:val="24"/>
        </w:rPr>
        <w:t>Government Oversight in Emergencies</w:t>
      </w:r>
    </w:p>
    <w:p w14:paraId="0ABE784C" w14:textId="17FE484D"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 xml:space="preserve">Modifying scope of practice may be coupled with a requirement that practitioners acting under a modified scope must be working at the direction of or under the control of state or local government emergency response officials such as a health agency, emergency management agency, or incident commander. </w:t>
      </w:r>
      <w:r w:rsidR="00674572">
        <w:rPr>
          <w:rFonts w:eastAsia="Times New Roman" w:cstheme="minorHAnsi"/>
          <w:szCs w:val="20"/>
        </w:rPr>
        <w:t xml:space="preserve">States could </w:t>
      </w:r>
      <w:r w:rsidRPr="009750E4">
        <w:rPr>
          <w:rFonts w:eastAsia="Times New Roman" w:cstheme="minorHAnsi"/>
          <w:szCs w:val="20"/>
        </w:rPr>
        <w:t>limit the activities of healthcare practitioners operating under a modified scope of practice to settings such as public vaccination clinics or point of dispensing (POD) locations.</w:t>
      </w:r>
    </w:p>
    <w:p w14:paraId="73918E3C" w14:textId="77777777" w:rsidR="00EC5FD7" w:rsidRPr="009750E4" w:rsidRDefault="00EC5FD7" w:rsidP="00B443BB">
      <w:pPr>
        <w:spacing w:line="360" w:lineRule="auto"/>
        <w:rPr>
          <w:rFonts w:eastAsia="Times New Roman" w:cstheme="minorHAnsi"/>
          <w:b/>
          <w:bCs/>
          <w:szCs w:val="20"/>
        </w:rPr>
      </w:pPr>
    </w:p>
    <w:p w14:paraId="4819BC7F" w14:textId="285F8582" w:rsidR="004D132D" w:rsidRPr="009750E4" w:rsidRDefault="004D132D" w:rsidP="00B443BB">
      <w:pPr>
        <w:spacing w:line="360" w:lineRule="auto"/>
        <w:rPr>
          <w:rFonts w:eastAsia="Times New Roman" w:cstheme="minorHAnsi"/>
          <w:b/>
          <w:bCs/>
          <w:szCs w:val="20"/>
        </w:rPr>
      </w:pPr>
      <w:r w:rsidRPr="009750E4">
        <w:rPr>
          <w:rFonts w:eastAsia="Times New Roman" w:cstheme="minorHAnsi"/>
          <w:b/>
          <w:bCs/>
          <w:szCs w:val="20"/>
        </w:rPr>
        <w:t>Training Requirements</w:t>
      </w:r>
    </w:p>
    <w:p w14:paraId="1E613984" w14:textId="77777777"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Regulated professionals may be required to receive additional training before they are permitted to undertake activities in response to a public health emergency or other emergency event. Training requirements can apply to professionals who will be acting under a modified scope of practice, as well as those who are acting within their existing scope.</w:t>
      </w:r>
    </w:p>
    <w:p w14:paraId="5B01F3FD" w14:textId="77777777" w:rsidR="00EC5FD7" w:rsidRPr="009750E4" w:rsidRDefault="00EC5FD7" w:rsidP="00B443BB">
      <w:pPr>
        <w:spacing w:line="360" w:lineRule="auto"/>
        <w:rPr>
          <w:rFonts w:eastAsia="Times New Roman" w:cstheme="minorHAnsi"/>
          <w:b/>
          <w:bCs/>
          <w:szCs w:val="20"/>
          <w:bdr w:val="none" w:sz="0" w:space="0" w:color="auto" w:frame="1"/>
        </w:rPr>
      </w:pPr>
    </w:p>
    <w:p w14:paraId="12E84D94" w14:textId="320A94F9" w:rsidR="004D132D" w:rsidRPr="009750E4" w:rsidRDefault="004D132D" w:rsidP="00B443BB">
      <w:pPr>
        <w:pStyle w:val="ListParagraph"/>
        <w:numPr>
          <w:ilvl w:val="0"/>
          <w:numId w:val="8"/>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t>Within Existing Scope of Practice—</w:t>
      </w:r>
      <w:r w:rsidRPr="009750E4">
        <w:rPr>
          <w:rFonts w:eastAsia="Times New Roman" w:cstheme="minorHAnsi"/>
          <w:szCs w:val="20"/>
        </w:rPr>
        <w:t>New training or refreshers may be required for professionals whose existing scope of practice may already authorize a specific activity (e.g., administering immunizations), but whose actual practice may not involve conducting the activity regularly. Additional training for those acting within their scope of practice may also be required because of the nature of the emergency or the medications and protocols developed to respond to it. Thus, should a disease outbreak be caused by a highly infectious agent, healthcare professions may require special training on infection control measures and personal protective equipment (e.g., N-95 respirators).</w:t>
      </w:r>
    </w:p>
    <w:p w14:paraId="3AE2323D" w14:textId="77777777" w:rsidR="00EC5FD7" w:rsidRPr="009750E4" w:rsidRDefault="00EC5FD7" w:rsidP="00B443BB">
      <w:pPr>
        <w:spacing w:line="360" w:lineRule="auto"/>
        <w:rPr>
          <w:rFonts w:eastAsia="Times New Roman" w:cstheme="minorHAnsi"/>
          <w:b/>
          <w:bCs/>
          <w:szCs w:val="20"/>
          <w:bdr w:val="none" w:sz="0" w:space="0" w:color="auto" w:frame="1"/>
        </w:rPr>
      </w:pPr>
    </w:p>
    <w:p w14:paraId="74F4EB52" w14:textId="74FA2173" w:rsidR="004D132D" w:rsidRPr="009750E4" w:rsidRDefault="004D132D" w:rsidP="00B443BB">
      <w:pPr>
        <w:pStyle w:val="ListParagraph"/>
        <w:numPr>
          <w:ilvl w:val="0"/>
          <w:numId w:val="8"/>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lastRenderedPageBreak/>
        <w:t>With Modified Scope of Practice—</w:t>
      </w:r>
      <w:r w:rsidRPr="009750E4">
        <w:rPr>
          <w:rFonts w:eastAsia="Times New Roman" w:cstheme="minorHAnsi"/>
          <w:szCs w:val="20"/>
        </w:rPr>
        <w:t>A modified scope of practice in emergencies can entail additional or specific training requirements before the professional is permitted to undertake the activities permitted by the practice modification.</w:t>
      </w:r>
    </w:p>
    <w:p w14:paraId="3B0B3EA9" w14:textId="77777777" w:rsidR="00EC5FD7" w:rsidRPr="009750E4" w:rsidRDefault="00EC5FD7" w:rsidP="00B443BB">
      <w:pPr>
        <w:spacing w:line="360" w:lineRule="auto"/>
        <w:rPr>
          <w:rFonts w:eastAsia="Times New Roman" w:cstheme="minorHAnsi"/>
          <w:b/>
          <w:bCs/>
          <w:szCs w:val="20"/>
        </w:rPr>
      </w:pPr>
    </w:p>
    <w:p w14:paraId="72F4B0B5" w14:textId="12AE1293" w:rsidR="004D132D" w:rsidRPr="00DC2AB8" w:rsidRDefault="004D132D" w:rsidP="000127AA">
      <w:pPr>
        <w:keepNext/>
        <w:keepLines/>
        <w:spacing w:line="360" w:lineRule="auto"/>
        <w:rPr>
          <w:rFonts w:eastAsia="Times New Roman" w:cstheme="minorHAnsi"/>
          <w:b/>
          <w:bCs/>
          <w:sz w:val="24"/>
        </w:rPr>
      </w:pPr>
      <w:r w:rsidRPr="00DC2AB8">
        <w:rPr>
          <w:rFonts w:eastAsia="Times New Roman" w:cstheme="minorHAnsi"/>
          <w:b/>
          <w:bCs/>
          <w:sz w:val="24"/>
        </w:rPr>
        <w:t>Concerns Regarding Modified Scope of Practice in Emergencies</w:t>
      </w:r>
    </w:p>
    <w:p w14:paraId="5F40E879" w14:textId="77777777" w:rsidR="00DC2AB8" w:rsidRDefault="004D132D" w:rsidP="00B443BB">
      <w:pPr>
        <w:spacing w:line="360" w:lineRule="auto"/>
        <w:rPr>
          <w:rFonts w:eastAsia="Times New Roman" w:cstheme="minorHAnsi"/>
          <w:szCs w:val="20"/>
        </w:rPr>
      </w:pPr>
      <w:r w:rsidRPr="009750E4">
        <w:rPr>
          <w:rFonts w:eastAsia="Times New Roman" w:cstheme="minorHAnsi"/>
          <w:szCs w:val="20"/>
        </w:rPr>
        <w:t>While modifying the scope of practice for some professions during specified circumstances in an emergency may be seen as less controversial than a permanent change, there remain areas of concern that arise when considering modifications to scope of practice during emergencies. Some of the concerns raised include that practitioners will be performing tasks or procedures they have little or no prior experience doing and that just-in-time-training does not meet the level of training necessary to perform the tasks covered by the modified scope. The use of medical controls and other forms of supervision in concert with the modified practice activities is a strategy used to address these concerns.</w:t>
      </w:r>
    </w:p>
    <w:p w14:paraId="5FC3CE8D" w14:textId="77777777" w:rsidR="00DC2AB8" w:rsidRDefault="00DC2AB8" w:rsidP="00B443BB">
      <w:pPr>
        <w:spacing w:line="360" w:lineRule="auto"/>
        <w:rPr>
          <w:rFonts w:eastAsia="Times New Roman" w:cstheme="minorHAnsi"/>
          <w:szCs w:val="20"/>
        </w:rPr>
      </w:pPr>
    </w:p>
    <w:p w14:paraId="302BFCC7" w14:textId="10382C3B" w:rsidR="004D132D" w:rsidRDefault="004D132D" w:rsidP="00B443BB">
      <w:pPr>
        <w:spacing w:line="360" w:lineRule="auto"/>
        <w:rPr>
          <w:rFonts w:eastAsia="Times New Roman" w:cstheme="minorHAnsi"/>
          <w:szCs w:val="20"/>
        </w:rPr>
      </w:pPr>
      <w:r w:rsidRPr="009750E4">
        <w:rPr>
          <w:rFonts w:eastAsia="Times New Roman" w:cstheme="minorHAnsi"/>
          <w:szCs w:val="20"/>
        </w:rPr>
        <w:t xml:space="preserve">Practitioners operating under a modified scope of practice also voice concerns about potential liability for their actions during a public health emergency. </w:t>
      </w:r>
      <w:r w:rsidR="00DE527E">
        <w:rPr>
          <w:rFonts w:eastAsia="Times New Roman" w:cstheme="minorHAnsi"/>
          <w:szCs w:val="20"/>
        </w:rPr>
        <w:t>F</w:t>
      </w:r>
      <w:r w:rsidRPr="009750E4">
        <w:rPr>
          <w:rFonts w:eastAsia="Times New Roman" w:cstheme="minorHAnsi"/>
          <w:szCs w:val="20"/>
        </w:rPr>
        <w:t xml:space="preserve">ederal and state legal protections </w:t>
      </w:r>
      <w:r w:rsidR="00DE527E">
        <w:rPr>
          <w:rFonts w:eastAsia="Times New Roman" w:cstheme="minorHAnsi"/>
          <w:szCs w:val="20"/>
        </w:rPr>
        <w:t xml:space="preserve">have been developed to </w:t>
      </w:r>
      <w:r w:rsidRPr="009750E4">
        <w:rPr>
          <w:rFonts w:eastAsia="Times New Roman" w:cstheme="minorHAnsi"/>
          <w:szCs w:val="20"/>
        </w:rPr>
        <w:t xml:space="preserve">address these </w:t>
      </w:r>
      <w:r w:rsidR="00DE527E">
        <w:rPr>
          <w:rFonts w:eastAsia="Times New Roman" w:cstheme="minorHAnsi"/>
          <w:szCs w:val="20"/>
        </w:rPr>
        <w:t xml:space="preserve">liability </w:t>
      </w:r>
      <w:r w:rsidRPr="009750E4">
        <w:rPr>
          <w:rFonts w:eastAsia="Times New Roman" w:cstheme="minorHAnsi"/>
          <w:szCs w:val="20"/>
        </w:rPr>
        <w:t xml:space="preserve">concerns. Many of the immunities and liability protections were newly developed or refined within the last </w:t>
      </w:r>
      <w:r w:rsidR="00DE527E">
        <w:rPr>
          <w:rFonts w:eastAsia="Times New Roman" w:cstheme="minorHAnsi"/>
          <w:szCs w:val="20"/>
        </w:rPr>
        <w:t>twenty years</w:t>
      </w:r>
      <w:r w:rsidRPr="009750E4">
        <w:rPr>
          <w:rFonts w:eastAsia="Times New Roman" w:cstheme="minorHAnsi"/>
          <w:szCs w:val="20"/>
        </w:rPr>
        <w:t xml:space="preserve">, while others are fundamental principles of governmental immunity that continue to evolve as our understanding of modern emergencies likewise evolves. The extent to which liability protections are available to an individual, entity, or class will depend on the actor, the law providing the protections, and the circumstances of a particular emergency response. </w:t>
      </w:r>
    </w:p>
    <w:p w14:paraId="31F8F64E" w14:textId="77777777" w:rsidR="00DC2AB8" w:rsidRDefault="00DC2AB8" w:rsidP="00B443BB">
      <w:pPr>
        <w:spacing w:line="360" w:lineRule="auto"/>
        <w:rPr>
          <w:rFonts w:eastAsia="Times New Roman" w:cstheme="minorHAnsi"/>
          <w:szCs w:val="20"/>
        </w:rPr>
      </w:pPr>
    </w:p>
    <w:p w14:paraId="228D1CDC" w14:textId="396FA825" w:rsidR="004D132D" w:rsidRPr="00A1396E" w:rsidRDefault="004D132D" w:rsidP="00B443BB">
      <w:pPr>
        <w:keepNext/>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Interstate Scope of Practice Issues in Emergencies</w:t>
      </w:r>
    </w:p>
    <w:p w14:paraId="1A98F11A" w14:textId="31D2CCC7" w:rsidR="004D132D" w:rsidRDefault="004D132D" w:rsidP="00B443BB">
      <w:pPr>
        <w:spacing w:line="360" w:lineRule="auto"/>
        <w:rPr>
          <w:rFonts w:eastAsia="Times New Roman" w:cstheme="minorHAnsi"/>
          <w:color w:val="000000" w:themeColor="text1"/>
          <w:szCs w:val="20"/>
        </w:rPr>
      </w:pPr>
      <w:r w:rsidRPr="009750E4">
        <w:rPr>
          <w:rFonts w:eastAsia="Times New Roman" w:cstheme="minorHAnsi"/>
          <w:color w:val="000000" w:themeColor="text1"/>
          <w:szCs w:val="20"/>
        </w:rPr>
        <w:t xml:space="preserve">In addition to the issues that arise when a state temporarily or permanently modifies the scope of practice for certain regulated professions within that state, questions and conflicts can develop when healthcare or other licensed practitioners deploy (as governmental employees, contractors, or volunteers) to another state during an emergency response effort. There may be differences between the allowed scope of practice in the home state and the state to which the practitioner is deployed. This is especially relevant where the practitioner has a broader scope of practice in the home state than in the deployment state. Professional requirements and any legal restrictions should be carefully considered in development of a mutual aid agreement or other mechanism through which a practitioner </w:t>
      </w:r>
      <w:r w:rsidRPr="009750E4">
        <w:rPr>
          <w:rFonts w:eastAsia="Times New Roman" w:cstheme="minorHAnsi"/>
          <w:color w:val="000000" w:themeColor="text1"/>
          <w:szCs w:val="20"/>
        </w:rPr>
        <w:lastRenderedPageBreak/>
        <w:t xml:space="preserve">is deployed. The document must set forth which scope of practice will apply as well as the potential liability protections and workers’ compensation available to a practitioner. </w:t>
      </w:r>
    </w:p>
    <w:p w14:paraId="7F06AC8E" w14:textId="15088C73" w:rsidR="00BD6382" w:rsidRPr="009750E4" w:rsidRDefault="00BD6382" w:rsidP="00B443BB">
      <w:pPr>
        <w:spacing w:line="360" w:lineRule="auto"/>
        <w:rPr>
          <w:rFonts w:eastAsia="Times New Roman" w:cstheme="minorHAnsi"/>
          <w:color w:val="000000" w:themeColor="text1"/>
          <w:szCs w:val="20"/>
        </w:rPr>
      </w:pPr>
    </w:p>
    <w:p w14:paraId="5853FA02" w14:textId="0578450F" w:rsidR="00B12347" w:rsidRPr="00B12347" w:rsidRDefault="00B12347" w:rsidP="00B443BB">
      <w:pPr>
        <w:spacing w:line="360" w:lineRule="auto"/>
        <w:rPr>
          <w:rFonts w:eastAsia="Times New Roman" w:cstheme="minorHAnsi"/>
          <w:color w:val="000000" w:themeColor="text1"/>
        </w:rPr>
      </w:pPr>
    </w:p>
    <w:p w14:paraId="6708B56C" w14:textId="5DFCD049" w:rsidR="00B75B7F" w:rsidRPr="009750E4" w:rsidRDefault="00B75B7F" w:rsidP="00B443BB">
      <w:pPr>
        <w:spacing w:line="360" w:lineRule="auto"/>
        <w:rPr>
          <w:rFonts w:cstheme="minorHAnsi"/>
          <w:sz w:val="24"/>
        </w:rPr>
      </w:pPr>
    </w:p>
    <w:p w14:paraId="19E5D3C1" w14:textId="0400C902" w:rsidR="003A2FD1" w:rsidRDefault="00BF6D57">
      <w:pPr>
        <w:rPr>
          <w:rFonts w:cstheme="minorHAnsi"/>
          <w:sz w:val="24"/>
        </w:rPr>
      </w:pPr>
      <w:r>
        <w:rPr>
          <w:noProof/>
        </w:rPr>
        <mc:AlternateContent>
          <mc:Choice Requires="wps">
            <w:drawing>
              <wp:anchor distT="45720" distB="45720" distL="114300" distR="114300" simplePos="0" relativeHeight="251661312" behindDoc="0" locked="0" layoutInCell="1" allowOverlap="1" wp14:anchorId="29FA9C73" wp14:editId="5DCD33DB">
                <wp:simplePos x="0" y="0"/>
                <wp:positionH relativeFrom="margin">
                  <wp:posOffset>413385</wp:posOffset>
                </wp:positionH>
                <wp:positionV relativeFrom="paragraph">
                  <wp:posOffset>6043295</wp:posOffset>
                </wp:positionV>
                <wp:extent cx="5120640" cy="1404620"/>
                <wp:effectExtent l="0" t="0" r="228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1404620"/>
                        </a:xfrm>
                        <a:prstGeom prst="rect">
                          <a:avLst/>
                        </a:prstGeom>
                        <a:solidFill>
                          <a:srgbClr val="FFFFFF"/>
                        </a:solidFill>
                        <a:ln w="9525">
                          <a:solidFill>
                            <a:srgbClr val="000000"/>
                          </a:solidFill>
                          <a:miter lim="800000"/>
                          <a:headEnd/>
                          <a:tailEnd/>
                        </a:ln>
                      </wps:spPr>
                      <wps:txbx>
                        <w:txbxContent>
                          <w:p w14:paraId="3E16C19E" w14:textId="0FDEA41C" w:rsidR="00BD6382" w:rsidRPr="004C64AD" w:rsidRDefault="00BD6382" w:rsidP="00BD6382">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sidR="00CC79FE">
                              <w:rPr>
                                <w:sz w:val="20"/>
                                <w:szCs w:val="20"/>
                              </w:rPr>
                              <w:t>authored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FA9C73" id="_x0000_s1027" type="#_x0000_t202" style="position:absolute;margin-left:32.55pt;margin-top:475.85pt;width:403.2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">
                <v:textbox style="mso-fit-shape-to-text:t">
                  <w:txbxContent>
                    <w:p w14:paraId="3E16C19E" w14:textId="0FDEA41C" w:rsidR="00BD6382" w:rsidRPr="004C64AD" w:rsidRDefault="00BD6382" w:rsidP="00BD6382">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sidR="00CC79FE">
                        <w:rPr>
                          <w:sz w:val="20"/>
                          <w:szCs w:val="20"/>
                        </w:rPr>
                        <w:t>authored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3A2FD1" w:rsidSect="00405B40">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4D3DB7" w14:textId="77777777" w:rsidR="001A4D46" w:rsidRDefault="001A4D46" w:rsidP="00BD7570">
      <w:r>
        <w:separator/>
      </w:r>
    </w:p>
  </w:endnote>
  <w:endnote w:type="continuationSeparator" w:id="0">
    <w:p w14:paraId="2D19317F" w14:textId="77777777" w:rsidR="001A4D46" w:rsidRDefault="001A4D46" w:rsidP="00BD7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9053890"/>
      <w:docPartObj>
        <w:docPartGallery w:val="Page Numbers (Bottom of Page)"/>
        <w:docPartUnique/>
      </w:docPartObj>
    </w:sdtPr>
    <w:sdtEndPr>
      <w:rPr>
        <w:noProof/>
      </w:rPr>
    </w:sdtEndPr>
    <w:sdtContent>
      <w:p w14:paraId="26862316" w14:textId="4870DD7E" w:rsidR="00BD7570" w:rsidRDefault="004B6F22" w:rsidP="004B6F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8C3163" w14:textId="77777777" w:rsidR="006C79C8" w:rsidRDefault="006C79C8" w:rsidP="006C79C8">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2AB19A10" w14:textId="432EAF4C" w:rsidR="00405B40" w:rsidRDefault="006C79C8" w:rsidP="006C79C8">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1EC573" w14:textId="77777777" w:rsidR="001A4D46" w:rsidRDefault="001A4D46" w:rsidP="00BD7570">
      <w:r>
        <w:separator/>
      </w:r>
    </w:p>
  </w:footnote>
  <w:footnote w:type="continuationSeparator" w:id="0">
    <w:p w14:paraId="67BB4234" w14:textId="77777777" w:rsidR="001A4D46" w:rsidRDefault="001A4D46" w:rsidP="00BD7570">
      <w:r>
        <w:continuationSeparator/>
      </w:r>
    </w:p>
  </w:footnote>
  <w:footnote w:id="1">
    <w:p w14:paraId="1599B802" w14:textId="63488942" w:rsidR="00784BC3" w:rsidRPr="00784BC3" w:rsidRDefault="00784BC3" w:rsidP="00784BC3">
      <w:pPr>
        <w:pStyle w:val="FootnoteText"/>
        <w:tabs>
          <w:tab w:val="left" w:pos="686"/>
        </w:tabs>
        <w:rPr>
          <w:b/>
          <w:bCs/>
        </w:rPr>
      </w:pPr>
      <w:r>
        <w:rPr>
          <w:b/>
          <w:bCs/>
          <w:highlight w:val="yellow"/>
        </w:rPr>
        <w:t>Footnotes will be streamlined and edited to style guide once text is finalized</w:t>
      </w:r>
    </w:p>
    <w:p w14:paraId="5DAD18CA" w14:textId="1808F41D" w:rsidR="00254860" w:rsidRDefault="00254860">
      <w:pPr>
        <w:pStyle w:val="FootnoteText"/>
      </w:pPr>
      <w:r>
        <w:rPr>
          <w:rStyle w:val="FootnoteReference"/>
        </w:rPr>
        <w:footnoteRef/>
      </w:r>
      <w:r>
        <w:t xml:space="preserve"> </w:t>
      </w:r>
      <w:r w:rsidR="00A52FA6" w:rsidRPr="000E3FFF">
        <w:rPr>
          <w:i/>
          <w:iCs/>
        </w:rPr>
        <w:t>See</w:t>
      </w:r>
      <w:r w:rsidR="000E3FFF">
        <w:t xml:space="preserve"> </w:t>
      </w:r>
      <w:r w:rsidR="00A52FA6">
        <w:t>CMS. COVID-19 Emergency Declaration Blanket Waivers for Health Care Providers</w:t>
      </w:r>
      <w:r w:rsidR="003A5FBA">
        <w:t xml:space="preserve">. March 30, 2020. Retrieved from </w:t>
      </w:r>
      <w:hyperlink r:id="rId1" w:history="1">
        <w:r w:rsidR="00AD5E08" w:rsidRPr="00AD5E08">
          <w:rPr>
            <w:rStyle w:val="Hyperlink"/>
          </w:rPr>
          <w:t>https://www.cms.gov/files/document/covid19-emergency-declaration-health-care-providers-fact-sheet.pdf</w:t>
        </w:r>
      </w:hyperlink>
      <w:r w:rsidR="00AD5E08">
        <w:t xml:space="preserve">. Accessed August </w:t>
      </w:r>
      <w:r w:rsidR="009718B3">
        <w:t>6</w:t>
      </w:r>
      <w:r w:rsidR="00AD5E08">
        <w:t>, 2020.</w:t>
      </w:r>
    </w:p>
  </w:footnote>
  <w:footnote w:id="2">
    <w:p w14:paraId="1EA1B06B" w14:textId="31991B1E" w:rsidR="00254860" w:rsidRDefault="00254860">
      <w:pPr>
        <w:pStyle w:val="FootnoteText"/>
      </w:pPr>
      <w:r>
        <w:rPr>
          <w:rStyle w:val="FootnoteReference"/>
        </w:rPr>
        <w:footnoteRef/>
      </w:r>
      <w:r>
        <w:t xml:space="preserve"> </w:t>
      </w:r>
      <w:bookmarkStart w:id="0" w:name="_Hlk47653418"/>
      <w:r w:rsidR="000E3FFF" w:rsidRPr="00B63716">
        <w:rPr>
          <w:i/>
          <w:iCs/>
        </w:rPr>
        <w:t>See</w:t>
      </w:r>
      <w:r w:rsidR="000E3FFF">
        <w:t xml:space="preserve"> </w:t>
      </w:r>
      <w:r w:rsidR="00155BE3">
        <w:t xml:space="preserve">Hentze, I. </w:t>
      </w:r>
      <w:r w:rsidR="000E3FFF">
        <w:t>NCSL.</w:t>
      </w:r>
      <w:r w:rsidR="00155BE3">
        <w:t xml:space="preserve"> </w:t>
      </w:r>
      <w:r w:rsidR="00155BE3" w:rsidRPr="00155BE3">
        <w:t>COVID-19: Occupational Licensing During Public Emergencies</w:t>
      </w:r>
      <w:r w:rsidR="003137E9">
        <w:t xml:space="preserve">. August 3, 2020. Retrieved from </w:t>
      </w:r>
      <w:hyperlink r:id="rId2" w:history="1">
        <w:r w:rsidR="00F047BF">
          <w:rPr>
            <w:rStyle w:val="Hyperlink"/>
          </w:rPr>
          <w:t>https://www.ncsl.org/research/labor-and-employment/covid-19-occupational-licensing-in-public-emergencies.aspx</w:t>
        </w:r>
      </w:hyperlink>
      <w:r w:rsidR="00F047BF">
        <w:t>. Accessed August 6, 2020.</w:t>
      </w:r>
      <w:r w:rsidR="000E3FFF">
        <w:t xml:space="preserve"> </w:t>
      </w:r>
      <w:bookmarkEnd w:id="0"/>
    </w:p>
  </w:footnote>
  <w:footnote w:id="3">
    <w:p w14:paraId="1ED11CD6" w14:textId="38870DC5" w:rsidR="00C43904" w:rsidRDefault="00C43904">
      <w:pPr>
        <w:pStyle w:val="FootnoteText"/>
      </w:pPr>
      <w:r>
        <w:rPr>
          <w:rStyle w:val="FootnoteReference"/>
        </w:rPr>
        <w:footnoteRef/>
      </w:r>
      <w:r>
        <w:t xml:space="preserve"> </w:t>
      </w:r>
      <w:r w:rsidR="007D2329">
        <w:t xml:space="preserve">Herman, Z. </w:t>
      </w:r>
      <w:r>
        <w:t>N</w:t>
      </w:r>
      <w:r w:rsidR="002546E9">
        <w:t xml:space="preserve">CSL. </w:t>
      </w:r>
      <w:r w:rsidRPr="00620398">
        <w:t>The National Occupational Licensing Database</w:t>
      </w:r>
      <w:r>
        <w:t xml:space="preserve">. Website </w:t>
      </w:r>
      <w:r w:rsidR="00F10F0D">
        <w:t>updated</w:t>
      </w:r>
      <w:r>
        <w:t xml:space="preserve"> as of </w:t>
      </w:r>
      <w:r w:rsidR="00F10F0D">
        <w:t xml:space="preserve">March 24, 2020. </w:t>
      </w:r>
      <w:r>
        <w:t xml:space="preserve">Retrieved from </w:t>
      </w:r>
      <w:hyperlink r:id="rId3" w:history="1">
        <w:r w:rsidRPr="003A1523">
          <w:rPr>
            <w:rStyle w:val="Hyperlink"/>
          </w:rPr>
          <w:t>https://www.ncsl.org/research/labor-and-employment/occupational-licensing-statute-database.aspx</w:t>
        </w:r>
      </w:hyperlink>
      <w:r>
        <w:t>.</w:t>
      </w:r>
      <w:r w:rsidR="00992C2A">
        <w:t xml:space="preserve"> </w:t>
      </w:r>
      <w:r w:rsidR="00F10F0D">
        <w:t xml:space="preserve">Accessed August 6, 2020. </w:t>
      </w:r>
      <w:r w:rsidR="00992C2A">
        <w:t>NCSL note: “</w:t>
      </w:r>
      <w:r w:rsidR="00992C2A" w:rsidRPr="00992C2A">
        <w:t>Over the last 60 years, the number of jobs requiring an occupational license, or government approval to practice a profession, has grown from about 1-in-20 to almost 1-in-4.</w:t>
      </w:r>
      <w:r w:rsidR="00992C2A">
        <w:t>”</w:t>
      </w:r>
    </w:p>
  </w:footnote>
  <w:footnote w:id="4">
    <w:p w14:paraId="512FCB7D" w14:textId="5F0FA961" w:rsidR="009E61A6" w:rsidRDefault="009E61A6">
      <w:pPr>
        <w:pStyle w:val="FootnoteText"/>
      </w:pPr>
      <w:r>
        <w:rPr>
          <w:rStyle w:val="FootnoteReference"/>
        </w:rPr>
        <w:footnoteRef/>
      </w:r>
      <w:r>
        <w:t xml:space="preserve"> </w:t>
      </w:r>
      <w:r w:rsidR="00A14524">
        <w:t xml:space="preserve">Herman, Z. NCSL. </w:t>
      </w:r>
      <w:r w:rsidR="00A14524" w:rsidRPr="00620398">
        <w:t>The National Occupational Licensing Database</w:t>
      </w:r>
      <w:r w:rsidR="00A14524">
        <w:t xml:space="preserve">. Website updated as of March 24, 2020. Retrieved from </w:t>
      </w:r>
      <w:hyperlink r:id="rId4" w:history="1">
        <w:r w:rsidR="00A14524" w:rsidRPr="003A1523">
          <w:rPr>
            <w:rStyle w:val="Hyperlink"/>
          </w:rPr>
          <w:t>https://www.ncsl.org/research/labor-and-employment/occupational-licensing-statute-database.aspx</w:t>
        </w:r>
      </w:hyperlink>
      <w:r w:rsidR="00A14524">
        <w:t>. Accessed August 6, 2020.</w:t>
      </w:r>
    </w:p>
  </w:footnote>
  <w:footnote w:id="5">
    <w:p w14:paraId="30A19CD2" w14:textId="5DC49DC0" w:rsidR="009622FB" w:rsidRDefault="009622FB">
      <w:pPr>
        <w:pStyle w:val="FootnoteText"/>
      </w:pPr>
      <w:r>
        <w:rPr>
          <w:rStyle w:val="FootnoteReference"/>
        </w:rPr>
        <w:footnoteRef/>
      </w:r>
      <w:r>
        <w:t xml:space="preserve"> </w:t>
      </w:r>
      <w:r w:rsidR="00A14524">
        <w:t xml:space="preserve">Herman, Z. NCSL. </w:t>
      </w:r>
      <w:r w:rsidR="00A14524" w:rsidRPr="00620398">
        <w:t>The National Occupational Licensing Database</w:t>
      </w:r>
      <w:r w:rsidR="00A14524">
        <w:t xml:space="preserve">. Website updated as of March 24, 2020. Retrieved from </w:t>
      </w:r>
      <w:hyperlink r:id="rId5" w:history="1">
        <w:r w:rsidR="00A14524" w:rsidRPr="003A1523">
          <w:rPr>
            <w:rStyle w:val="Hyperlink"/>
          </w:rPr>
          <w:t>https://www.ncsl.org/research/labor-and-employment/occupational-licensing-statute-database.aspx</w:t>
        </w:r>
      </w:hyperlink>
      <w:r w:rsidR="00A14524">
        <w:t>. Accessed August 6, 2020.</w:t>
      </w:r>
    </w:p>
  </w:footnote>
  <w:footnote w:id="6">
    <w:p w14:paraId="664241DB" w14:textId="649494BB" w:rsidR="00BC7871" w:rsidRDefault="00BC7871">
      <w:pPr>
        <w:pStyle w:val="FootnoteText"/>
      </w:pPr>
      <w:r>
        <w:rPr>
          <w:rStyle w:val="FootnoteReference"/>
        </w:rPr>
        <w:footnoteRef/>
      </w:r>
      <w:r>
        <w:t xml:space="preserve"> </w:t>
      </w:r>
      <w:r w:rsidRPr="00B63716">
        <w:rPr>
          <w:i/>
          <w:iCs/>
        </w:rPr>
        <w:t>See</w:t>
      </w:r>
      <w:r>
        <w:t xml:space="preserve"> Hentze, I. NCSL. </w:t>
      </w:r>
      <w:r w:rsidRPr="00155BE3">
        <w:t>COVID-19: Occupational Licensing During Public Emergencies</w:t>
      </w:r>
      <w:r>
        <w:t xml:space="preserve">. August 3, 2020. Retrieved from </w:t>
      </w:r>
      <w:hyperlink r:id="rId6" w:history="1">
        <w:r>
          <w:rPr>
            <w:rStyle w:val="Hyperlink"/>
          </w:rPr>
          <w:t>https://www.ncsl.org/research/labor-and-employment/covid-19-occupational-licensing-in-public-emergencies.aspx</w:t>
        </w:r>
      </w:hyperlink>
      <w:r>
        <w:t>. Accessed August 6,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EAF5FD" w14:textId="33EA4FC4" w:rsidR="004B6F22" w:rsidRPr="00D97C7A" w:rsidRDefault="00D97C7A" w:rsidP="00D97C7A">
    <w:pPr>
      <w:pStyle w:val="Header"/>
      <w:jc w:val="center"/>
    </w:pPr>
    <w:r w:rsidRPr="00300CBF">
      <w:rPr>
        <w:highlight w:val="yellow"/>
      </w:rPr>
      <w:t>DRAFT 1.1             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9A843" w14:textId="0DBC2D44" w:rsidR="00565126" w:rsidRPr="00D97C7A" w:rsidRDefault="00D97C7A" w:rsidP="00D97C7A">
    <w:pPr>
      <w:pStyle w:val="Header"/>
      <w:jc w:val="center"/>
    </w:pPr>
    <w:r w:rsidRPr="00300CBF">
      <w:rPr>
        <w:highlight w:val="yellow"/>
      </w:rPr>
      <w:t>DRAFT 1.1             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4671C"/>
    <w:multiLevelType w:val="hybridMultilevel"/>
    <w:tmpl w:val="F0207E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1806DD"/>
    <w:multiLevelType w:val="hybridMultilevel"/>
    <w:tmpl w:val="6D50FA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1D43E2"/>
    <w:multiLevelType w:val="hybridMultilevel"/>
    <w:tmpl w:val="A502A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74C7504"/>
    <w:multiLevelType w:val="hybridMultilevel"/>
    <w:tmpl w:val="FADEA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40637"/>
    <w:multiLevelType w:val="hybridMultilevel"/>
    <w:tmpl w:val="B15C90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2B2008"/>
    <w:multiLevelType w:val="multilevel"/>
    <w:tmpl w:val="FA9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F36B1"/>
    <w:multiLevelType w:val="multilevel"/>
    <w:tmpl w:val="CE32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061A6D"/>
    <w:multiLevelType w:val="hybridMultilevel"/>
    <w:tmpl w:val="1C2C1C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D960578"/>
    <w:multiLevelType w:val="multilevel"/>
    <w:tmpl w:val="E5105D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2836F42"/>
    <w:multiLevelType w:val="hybridMultilevel"/>
    <w:tmpl w:val="6C5EDB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8B93568"/>
    <w:multiLevelType w:val="hybridMultilevel"/>
    <w:tmpl w:val="0A8CF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BFD74EA"/>
    <w:multiLevelType w:val="multilevel"/>
    <w:tmpl w:val="ECB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A62838"/>
    <w:multiLevelType w:val="multilevel"/>
    <w:tmpl w:val="5B2A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C077E5"/>
    <w:multiLevelType w:val="hybridMultilevel"/>
    <w:tmpl w:val="F6D6FA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BD63225"/>
    <w:multiLevelType w:val="hybridMultilevel"/>
    <w:tmpl w:val="0B701C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EAE68FD"/>
    <w:multiLevelType w:val="hybridMultilevel"/>
    <w:tmpl w:val="0DF25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CA239D"/>
    <w:multiLevelType w:val="multilevel"/>
    <w:tmpl w:val="E5105D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A6A08EB"/>
    <w:multiLevelType w:val="hybridMultilevel"/>
    <w:tmpl w:val="A7D66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2B2140"/>
    <w:multiLevelType w:val="hybridMultilevel"/>
    <w:tmpl w:val="97646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12"/>
  </w:num>
  <w:num w:numId="4">
    <w:abstractNumId w:val="5"/>
  </w:num>
  <w:num w:numId="5">
    <w:abstractNumId w:val="13"/>
  </w:num>
  <w:num w:numId="6">
    <w:abstractNumId w:val="10"/>
  </w:num>
  <w:num w:numId="7">
    <w:abstractNumId w:val="18"/>
  </w:num>
  <w:num w:numId="8">
    <w:abstractNumId w:val="17"/>
  </w:num>
  <w:num w:numId="9">
    <w:abstractNumId w:val="3"/>
  </w:num>
  <w:num w:numId="10">
    <w:abstractNumId w:val="8"/>
  </w:num>
  <w:num w:numId="11">
    <w:abstractNumId w:val="7"/>
  </w:num>
  <w:num w:numId="12">
    <w:abstractNumId w:val="0"/>
  </w:num>
  <w:num w:numId="13">
    <w:abstractNumId w:val="1"/>
  </w:num>
  <w:num w:numId="14">
    <w:abstractNumId w:val="15"/>
  </w:num>
  <w:num w:numId="15">
    <w:abstractNumId w:val="14"/>
  </w:num>
  <w:num w:numId="16">
    <w:abstractNumId w:val="2"/>
  </w:num>
  <w:num w:numId="17">
    <w:abstractNumId w:val="4"/>
  </w:num>
  <w:num w:numId="18">
    <w:abstractNumId w:val="9"/>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32D"/>
    <w:rsid w:val="000127AA"/>
    <w:rsid w:val="00030FDB"/>
    <w:rsid w:val="000510DC"/>
    <w:rsid w:val="00060C40"/>
    <w:rsid w:val="000648F8"/>
    <w:rsid w:val="00065065"/>
    <w:rsid w:val="00065F00"/>
    <w:rsid w:val="000A1A31"/>
    <w:rsid w:val="000C4689"/>
    <w:rsid w:val="000E3FFF"/>
    <w:rsid w:val="000E409F"/>
    <w:rsid w:val="000F2A5A"/>
    <w:rsid w:val="00102AC2"/>
    <w:rsid w:val="00107FEF"/>
    <w:rsid w:val="00113F9C"/>
    <w:rsid w:val="00151278"/>
    <w:rsid w:val="00155BE3"/>
    <w:rsid w:val="00191FED"/>
    <w:rsid w:val="001A028B"/>
    <w:rsid w:val="001A4D46"/>
    <w:rsid w:val="001A5A7C"/>
    <w:rsid w:val="001C0667"/>
    <w:rsid w:val="001C1AF6"/>
    <w:rsid w:val="001E02D6"/>
    <w:rsid w:val="002002D7"/>
    <w:rsid w:val="002148DA"/>
    <w:rsid w:val="00223164"/>
    <w:rsid w:val="00235DEE"/>
    <w:rsid w:val="0025298F"/>
    <w:rsid w:val="002546E9"/>
    <w:rsid w:val="00254860"/>
    <w:rsid w:val="002653AA"/>
    <w:rsid w:val="00267CEA"/>
    <w:rsid w:val="002B0E16"/>
    <w:rsid w:val="002B288C"/>
    <w:rsid w:val="002E37AE"/>
    <w:rsid w:val="002E69E2"/>
    <w:rsid w:val="00312DAA"/>
    <w:rsid w:val="003137E9"/>
    <w:rsid w:val="00316065"/>
    <w:rsid w:val="00320C8A"/>
    <w:rsid w:val="003232B8"/>
    <w:rsid w:val="00324191"/>
    <w:rsid w:val="00326FE3"/>
    <w:rsid w:val="0033681C"/>
    <w:rsid w:val="00357B3E"/>
    <w:rsid w:val="00392F73"/>
    <w:rsid w:val="0039339A"/>
    <w:rsid w:val="00393427"/>
    <w:rsid w:val="003A2FD1"/>
    <w:rsid w:val="003A4CB5"/>
    <w:rsid w:val="003A5FBA"/>
    <w:rsid w:val="003B646D"/>
    <w:rsid w:val="003E3213"/>
    <w:rsid w:val="003F08F3"/>
    <w:rsid w:val="003F2FEE"/>
    <w:rsid w:val="00401E8D"/>
    <w:rsid w:val="004058D3"/>
    <w:rsid w:val="00405B40"/>
    <w:rsid w:val="00413C07"/>
    <w:rsid w:val="004142A6"/>
    <w:rsid w:val="00435AEB"/>
    <w:rsid w:val="00447C64"/>
    <w:rsid w:val="00460467"/>
    <w:rsid w:val="00473885"/>
    <w:rsid w:val="00476446"/>
    <w:rsid w:val="00483F1E"/>
    <w:rsid w:val="00487EAC"/>
    <w:rsid w:val="0049439C"/>
    <w:rsid w:val="004A705E"/>
    <w:rsid w:val="004B189B"/>
    <w:rsid w:val="004B6F22"/>
    <w:rsid w:val="004D0E88"/>
    <w:rsid w:val="004D113C"/>
    <w:rsid w:val="004D132D"/>
    <w:rsid w:val="004F29BB"/>
    <w:rsid w:val="005022C2"/>
    <w:rsid w:val="00514A93"/>
    <w:rsid w:val="00525AE7"/>
    <w:rsid w:val="00550AB6"/>
    <w:rsid w:val="00565126"/>
    <w:rsid w:val="00572311"/>
    <w:rsid w:val="0058030F"/>
    <w:rsid w:val="005A3C49"/>
    <w:rsid w:val="005F5691"/>
    <w:rsid w:val="0060535D"/>
    <w:rsid w:val="00620398"/>
    <w:rsid w:val="00627B68"/>
    <w:rsid w:val="00643DB1"/>
    <w:rsid w:val="00661680"/>
    <w:rsid w:val="00674572"/>
    <w:rsid w:val="00683F11"/>
    <w:rsid w:val="006C2A34"/>
    <w:rsid w:val="006C79C8"/>
    <w:rsid w:val="006F2F2D"/>
    <w:rsid w:val="00701BA7"/>
    <w:rsid w:val="00727B8C"/>
    <w:rsid w:val="007323A8"/>
    <w:rsid w:val="00784BC3"/>
    <w:rsid w:val="007D1478"/>
    <w:rsid w:val="007D2329"/>
    <w:rsid w:val="007D507D"/>
    <w:rsid w:val="007E5FA7"/>
    <w:rsid w:val="007E690F"/>
    <w:rsid w:val="00806408"/>
    <w:rsid w:val="00825EE0"/>
    <w:rsid w:val="00841993"/>
    <w:rsid w:val="00847220"/>
    <w:rsid w:val="0085356F"/>
    <w:rsid w:val="00856687"/>
    <w:rsid w:val="0087117D"/>
    <w:rsid w:val="00885D58"/>
    <w:rsid w:val="008B3A86"/>
    <w:rsid w:val="008E09FA"/>
    <w:rsid w:val="008F27D6"/>
    <w:rsid w:val="0090344F"/>
    <w:rsid w:val="0092737F"/>
    <w:rsid w:val="0093635B"/>
    <w:rsid w:val="009622FB"/>
    <w:rsid w:val="009718B3"/>
    <w:rsid w:val="00973A3F"/>
    <w:rsid w:val="009750E4"/>
    <w:rsid w:val="00992C2A"/>
    <w:rsid w:val="00992CA1"/>
    <w:rsid w:val="009A12D1"/>
    <w:rsid w:val="009A5AA5"/>
    <w:rsid w:val="009B26AD"/>
    <w:rsid w:val="009B2E8B"/>
    <w:rsid w:val="009C54ED"/>
    <w:rsid w:val="009C6E5D"/>
    <w:rsid w:val="009E61A6"/>
    <w:rsid w:val="00A02E26"/>
    <w:rsid w:val="00A1396E"/>
    <w:rsid w:val="00A14524"/>
    <w:rsid w:val="00A15C99"/>
    <w:rsid w:val="00A52FA6"/>
    <w:rsid w:val="00A927FF"/>
    <w:rsid w:val="00AD5E08"/>
    <w:rsid w:val="00AF2AAE"/>
    <w:rsid w:val="00B006DB"/>
    <w:rsid w:val="00B12347"/>
    <w:rsid w:val="00B34669"/>
    <w:rsid w:val="00B443BB"/>
    <w:rsid w:val="00B63716"/>
    <w:rsid w:val="00B75B7F"/>
    <w:rsid w:val="00BC20DD"/>
    <w:rsid w:val="00BC7871"/>
    <w:rsid w:val="00BD6382"/>
    <w:rsid w:val="00BD7570"/>
    <w:rsid w:val="00BE7C10"/>
    <w:rsid w:val="00BF6C14"/>
    <w:rsid w:val="00BF6D57"/>
    <w:rsid w:val="00C000A3"/>
    <w:rsid w:val="00C04907"/>
    <w:rsid w:val="00C04B6C"/>
    <w:rsid w:val="00C065B8"/>
    <w:rsid w:val="00C20322"/>
    <w:rsid w:val="00C43904"/>
    <w:rsid w:val="00C71FB9"/>
    <w:rsid w:val="00C97041"/>
    <w:rsid w:val="00CA2400"/>
    <w:rsid w:val="00CA31E4"/>
    <w:rsid w:val="00CA3696"/>
    <w:rsid w:val="00CC79FE"/>
    <w:rsid w:val="00CF4FC0"/>
    <w:rsid w:val="00D3441F"/>
    <w:rsid w:val="00D50249"/>
    <w:rsid w:val="00D56150"/>
    <w:rsid w:val="00D73A09"/>
    <w:rsid w:val="00D77903"/>
    <w:rsid w:val="00D833F2"/>
    <w:rsid w:val="00D91EFA"/>
    <w:rsid w:val="00D92865"/>
    <w:rsid w:val="00D97C7A"/>
    <w:rsid w:val="00DC2AB8"/>
    <w:rsid w:val="00DD2DAE"/>
    <w:rsid w:val="00DE24D6"/>
    <w:rsid w:val="00DE527E"/>
    <w:rsid w:val="00DE75FA"/>
    <w:rsid w:val="00E153B6"/>
    <w:rsid w:val="00E306A1"/>
    <w:rsid w:val="00E31E7F"/>
    <w:rsid w:val="00E42BC4"/>
    <w:rsid w:val="00E42C3A"/>
    <w:rsid w:val="00E4372D"/>
    <w:rsid w:val="00EA30BC"/>
    <w:rsid w:val="00EA4CFE"/>
    <w:rsid w:val="00EB7B5F"/>
    <w:rsid w:val="00EB7D2D"/>
    <w:rsid w:val="00EC5FD7"/>
    <w:rsid w:val="00ED5D4C"/>
    <w:rsid w:val="00EE2801"/>
    <w:rsid w:val="00EF6588"/>
    <w:rsid w:val="00F047BF"/>
    <w:rsid w:val="00F0755A"/>
    <w:rsid w:val="00F10ED6"/>
    <w:rsid w:val="00F10F0D"/>
    <w:rsid w:val="00F11C8E"/>
    <w:rsid w:val="00F23F9D"/>
    <w:rsid w:val="00F46C89"/>
    <w:rsid w:val="00F55324"/>
    <w:rsid w:val="00F6648F"/>
    <w:rsid w:val="00F83A04"/>
    <w:rsid w:val="00F85C74"/>
    <w:rsid w:val="00F86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22AB299A"/>
  <w15:chartTrackingRefBased/>
  <w15:docId w15:val="{226AA101-6C60-4E49-A665-B82C37C82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132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D132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D132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3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D132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D132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D132D"/>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D132D"/>
    <w:rPr>
      <w:color w:val="0000FF"/>
      <w:u w:val="single"/>
    </w:rPr>
  </w:style>
  <w:style w:type="character" w:styleId="Strong">
    <w:name w:val="Strong"/>
    <w:basedOn w:val="DefaultParagraphFont"/>
    <w:uiPriority w:val="22"/>
    <w:qFormat/>
    <w:rsid w:val="004D132D"/>
    <w:rPr>
      <w:b/>
      <w:bCs/>
    </w:rPr>
  </w:style>
  <w:style w:type="character" w:styleId="Emphasis">
    <w:name w:val="Emphasis"/>
    <w:basedOn w:val="DefaultParagraphFont"/>
    <w:uiPriority w:val="20"/>
    <w:qFormat/>
    <w:rsid w:val="004D132D"/>
    <w:rPr>
      <w:i/>
      <w:iCs/>
    </w:rPr>
  </w:style>
  <w:style w:type="paragraph" w:styleId="ListParagraph">
    <w:name w:val="List Paragraph"/>
    <w:basedOn w:val="Normal"/>
    <w:uiPriority w:val="34"/>
    <w:qFormat/>
    <w:rsid w:val="0093635B"/>
    <w:pPr>
      <w:ind w:left="720"/>
      <w:contextualSpacing/>
    </w:pPr>
  </w:style>
  <w:style w:type="paragraph" w:styleId="Header">
    <w:name w:val="header"/>
    <w:basedOn w:val="Normal"/>
    <w:link w:val="HeaderChar"/>
    <w:uiPriority w:val="99"/>
    <w:unhideWhenUsed/>
    <w:rsid w:val="00BD7570"/>
    <w:pPr>
      <w:tabs>
        <w:tab w:val="center" w:pos="4680"/>
        <w:tab w:val="right" w:pos="9360"/>
      </w:tabs>
    </w:pPr>
  </w:style>
  <w:style w:type="character" w:customStyle="1" w:styleId="HeaderChar">
    <w:name w:val="Header Char"/>
    <w:basedOn w:val="DefaultParagraphFont"/>
    <w:link w:val="Header"/>
    <w:uiPriority w:val="99"/>
    <w:rsid w:val="00BD7570"/>
  </w:style>
  <w:style w:type="paragraph" w:styleId="Footer">
    <w:name w:val="footer"/>
    <w:basedOn w:val="Normal"/>
    <w:link w:val="FooterChar"/>
    <w:uiPriority w:val="99"/>
    <w:unhideWhenUsed/>
    <w:rsid w:val="00BD7570"/>
    <w:pPr>
      <w:tabs>
        <w:tab w:val="center" w:pos="4680"/>
        <w:tab w:val="right" w:pos="9360"/>
      </w:tabs>
    </w:pPr>
  </w:style>
  <w:style w:type="character" w:customStyle="1" w:styleId="FooterChar">
    <w:name w:val="Footer Char"/>
    <w:basedOn w:val="DefaultParagraphFont"/>
    <w:link w:val="Footer"/>
    <w:uiPriority w:val="99"/>
    <w:rsid w:val="00BD7570"/>
  </w:style>
  <w:style w:type="paragraph" w:styleId="FootnoteText">
    <w:name w:val="footnote text"/>
    <w:basedOn w:val="Normal"/>
    <w:link w:val="FootnoteTextChar"/>
    <w:uiPriority w:val="99"/>
    <w:semiHidden/>
    <w:unhideWhenUsed/>
    <w:rsid w:val="009E61A6"/>
    <w:rPr>
      <w:sz w:val="20"/>
      <w:szCs w:val="20"/>
    </w:rPr>
  </w:style>
  <w:style w:type="character" w:customStyle="1" w:styleId="FootnoteTextChar">
    <w:name w:val="Footnote Text Char"/>
    <w:basedOn w:val="DefaultParagraphFont"/>
    <w:link w:val="FootnoteText"/>
    <w:uiPriority w:val="99"/>
    <w:semiHidden/>
    <w:rsid w:val="009E61A6"/>
    <w:rPr>
      <w:sz w:val="20"/>
      <w:szCs w:val="20"/>
    </w:rPr>
  </w:style>
  <w:style w:type="character" w:styleId="FootnoteReference">
    <w:name w:val="footnote reference"/>
    <w:basedOn w:val="DefaultParagraphFont"/>
    <w:uiPriority w:val="99"/>
    <w:semiHidden/>
    <w:unhideWhenUsed/>
    <w:rsid w:val="009E61A6"/>
    <w:rPr>
      <w:vertAlign w:val="superscript"/>
    </w:rPr>
  </w:style>
  <w:style w:type="character" w:styleId="UnresolvedMention">
    <w:name w:val="Unresolved Mention"/>
    <w:basedOn w:val="DefaultParagraphFont"/>
    <w:uiPriority w:val="99"/>
    <w:semiHidden/>
    <w:unhideWhenUsed/>
    <w:rsid w:val="004A705E"/>
    <w:rPr>
      <w:color w:val="605E5C"/>
      <w:shd w:val="clear" w:color="auto" w:fill="E1DFDD"/>
    </w:rPr>
  </w:style>
  <w:style w:type="table" w:styleId="TableGrid">
    <w:name w:val="Table Grid"/>
    <w:basedOn w:val="TableNormal"/>
    <w:uiPriority w:val="39"/>
    <w:rsid w:val="00C970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546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865403">
      <w:bodyDiv w:val="1"/>
      <w:marLeft w:val="0"/>
      <w:marRight w:val="0"/>
      <w:marTop w:val="0"/>
      <w:marBottom w:val="0"/>
      <w:divBdr>
        <w:top w:val="none" w:sz="0" w:space="0" w:color="auto"/>
        <w:left w:val="none" w:sz="0" w:space="0" w:color="auto"/>
        <w:bottom w:val="none" w:sz="0" w:space="0" w:color="auto"/>
        <w:right w:val="none" w:sz="0" w:space="0" w:color="auto"/>
      </w:divBdr>
    </w:div>
    <w:div w:id="1624921261">
      <w:bodyDiv w:val="1"/>
      <w:marLeft w:val="0"/>
      <w:marRight w:val="0"/>
      <w:marTop w:val="0"/>
      <w:marBottom w:val="0"/>
      <w:divBdr>
        <w:top w:val="none" w:sz="0" w:space="0" w:color="auto"/>
        <w:left w:val="none" w:sz="0" w:space="0" w:color="auto"/>
        <w:bottom w:val="none" w:sz="0" w:space="0" w:color="auto"/>
        <w:right w:val="none" w:sz="0" w:space="0" w:color="auto"/>
      </w:divBdr>
    </w:div>
    <w:div w:id="209708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ncsl.org/research/labor-and-employment/occupational-licensing-statute-database.aspx" TargetMode="External"/><Relationship Id="rId2" Type="http://schemas.openxmlformats.org/officeDocument/2006/relationships/hyperlink" Target="https://www.ncsl.org/research/labor-and-employment/covid-19-occupational-licensing-in-public-emergencies.aspx" TargetMode="External"/><Relationship Id="rId1" Type="http://schemas.openxmlformats.org/officeDocument/2006/relationships/hyperlink" Target="https://www.cms.gov/files/document/covid19-emergency-declaration-health-care-providers-fact-sheet.pdf" TargetMode="External"/><Relationship Id="rId6" Type="http://schemas.openxmlformats.org/officeDocument/2006/relationships/hyperlink" Target="https://www.ncsl.org/research/labor-and-employment/covid-19-occupational-licensing-in-public-emergencies.aspx" TargetMode="External"/><Relationship Id="rId5" Type="http://schemas.openxmlformats.org/officeDocument/2006/relationships/hyperlink" Target="https://www.ncsl.org/research/labor-and-employment/occupational-licensing-statute-database.aspx" TargetMode="External"/><Relationship Id="rId4" Type="http://schemas.openxmlformats.org/officeDocument/2006/relationships/hyperlink" Target="https://www.ncsl.org/research/labor-and-employment/occupational-licensing-statute-databas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11</Pages>
  <Words>3520</Words>
  <Characters>20068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80</cp:revision>
  <dcterms:created xsi:type="dcterms:W3CDTF">2020-08-07T03:31:00Z</dcterms:created>
  <dcterms:modified xsi:type="dcterms:W3CDTF">2020-08-08T01:21:00Z</dcterms:modified>
</cp:coreProperties>
</file>