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D9455E" w14:textId="522C8A16" w:rsidR="006459B4" w:rsidRPr="00853370" w:rsidRDefault="006459B4" w:rsidP="00FA3E7F">
      <w:pPr>
        <w:spacing w:line="360" w:lineRule="auto"/>
        <w:contextualSpacing/>
        <w:jc w:val="center"/>
        <w:rPr>
          <w:rFonts w:eastAsia="Times New Roman" w:cstheme="minorHAnsi"/>
          <w:b/>
          <w:bCs/>
          <w:spacing w:val="15"/>
          <w:kern w:val="36"/>
          <w:sz w:val="24"/>
          <w:szCs w:val="24"/>
        </w:rPr>
      </w:pPr>
      <w:r w:rsidRPr="00853370">
        <w:rPr>
          <w:rFonts w:eastAsia="Times New Roman" w:cstheme="minorHAnsi"/>
          <w:b/>
          <w:bCs/>
          <w:spacing w:val="15"/>
          <w:kern w:val="36"/>
          <w:sz w:val="24"/>
          <w:szCs w:val="24"/>
        </w:rPr>
        <w:t>SCOPE OF PRACTICE TOOLKIT</w:t>
      </w:r>
    </w:p>
    <w:p w14:paraId="2A46E63D" w14:textId="77777777" w:rsidR="006459B4" w:rsidRPr="00853370" w:rsidRDefault="006459B4" w:rsidP="00FA3E7F">
      <w:pPr>
        <w:spacing w:line="360" w:lineRule="auto"/>
        <w:contextualSpacing/>
        <w:jc w:val="center"/>
        <w:rPr>
          <w:rFonts w:eastAsia="Times New Roman" w:cstheme="minorHAnsi"/>
          <w:b/>
          <w:bCs/>
          <w:sz w:val="24"/>
          <w:szCs w:val="24"/>
        </w:rPr>
      </w:pPr>
      <w:r w:rsidRPr="00853370">
        <w:rPr>
          <w:rFonts w:eastAsia="Times New Roman" w:cstheme="minorHAnsi"/>
          <w:b/>
          <w:bCs/>
          <w:sz w:val="24"/>
          <w:szCs w:val="24"/>
        </w:rPr>
        <w:t>EXECUTIVE SUMMARY</w:t>
      </w:r>
    </w:p>
    <w:p w14:paraId="7CFB89C0" w14:textId="2C1B3462" w:rsidR="006459B4" w:rsidRDefault="006459B4" w:rsidP="00FA3E7F">
      <w:pPr>
        <w:spacing w:line="360" w:lineRule="auto"/>
        <w:contextualSpacing/>
        <w:jc w:val="center"/>
        <w:rPr>
          <w:b/>
          <w:bCs/>
          <w:sz w:val="24"/>
          <w:szCs w:val="24"/>
        </w:rPr>
      </w:pPr>
    </w:p>
    <w:p w14:paraId="26BC0628" w14:textId="46384485" w:rsidR="00F81CA5" w:rsidRPr="00420287" w:rsidRDefault="00F81CA5" w:rsidP="00F81CA5">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6A3CC6">
        <w:rPr>
          <w:i/>
          <w:iCs/>
        </w:rPr>
        <w:t>May</w:t>
      </w:r>
      <w:r w:rsidR="000A5C8C">
        <w:rPr>
          <w:i/>
          <w:iCs/>
        </w:rPr>
        <w:t xml:space="preserve"> 2020.</w:t>
      </w:r>
    </w:p>
    <w:p w14:paraId="6A242308" w14:textId="77777777" w:rsidR="007A3F3E" w:rsidRDefault="007A3F3E" w:rsidP="00FA3E7F">
      <w:pPr>
        <w:spacing w:line="360" w:lineRule="auto"/>
        <w:contextualSpacing/>
        <w:jc w:val="center"/>
        <w:rPr>
          <w:b/>
          <w:bCs/>
          <w:sz w:val="24"/>
          <w:szCs w:val="24"/>
        </w:rPr>
      </w:pPr>
    </w:p>
    <w:p w14:paraId="34280521" w14:textId="1D2D8394" w:rsidR="006459B4" w:rsidRDefault="006459B4" w:rsidP="00FA3E7F">
      <w:pPr>
        <w:spacing w:line="360" w:lineRule="auto"/>
        <w:contextualSpacing/>
        <w:rPr>
          <w:rFonts w:eastAsia="Times New Roman" w:cstheme="minorHAnsi"/>
          <w:szCs w:val="20"/>
        </w:rPr>
      </w:pPr>
      <w:r>
        <w:rPr>
          <w:rFonts w:ascii="Calibri" w:eastAsia="Times New Roman" w:hAnsi="Calibri" w:cs="Calibri"/>
          <w:szCs w:val="20"/>
        </w:rPr>
        <w:t>This document provides an overview of important concepts and laws related to</w:t>
      </w:r>
      <w:r w:rsidR="00FA3E7F" w:rsidRPr="00724268">
        <w:rPr>
          <w:rFonts w:eastAsia="Times New Roman" w:cstheme="minorHAnsi"/>
          <w:szCs w:val="20"/>
        </w:rPr>
        <w:t xml:space="preserve"> scope of practice in public health emergency response </w:t>
      </w:r>
      <w:r w:rsidR="00200A9D" w:rsidRPr="00724268">
        <w:rPr>
          <w:rFonts w:eastAsia="Times New Roman" w:cstheme="minorHAnsi"/>
          <w:szCs w:val="20"/>
        </w:rPr>
        <w:t>activities</w:t>
      </w:r>
      <w:r w:rsidR="00200A9D">
        <w:rPr>
          <w:rFonts w:eastAsia="Times New Roman" w:cstheme="minorHAnsi"/>
          <w:szCs w:val="20"/>
        </w:rPr>
        <w:t>.</w:t>
      </w:r>
      <w:r>
        <w:rPr>
          <w:rFonts w:ascii="Calibri" w:eastAsia="Times New Roman" w:hAnsi="Calibri" w:cs="Calibri"/>
          <w:szCs w:val="20"/>
        </w:rPr>
        <w:t xml:space="preserve"> </w:t>
      </w:r>
      <w:r w:rsidRPr="00BC079F">
        <w:rPr>
          <w:rFonts w:eastAsia="Times New Roman" w:cstheme="minorHAnsi"/>
          <w:szCs w:val="20"/>
        </w:rPr>
        <w:t xml:space="preserve">More information about these and other related concepts are contained in </w:t>
      </w:r>
      <w:r>
        <w:rPr>
          <w:rFonts w:eastAsia="Times New Roman" w:cstheme="minorHAnsi"/>
          <w:szCs w:val="20"/>
        </w:rPr>
        <w:t xml:space="preserve">the Scope of Practice </w:t>
      </w:r>
      <w:r w:rsidRPr="00BC079F">
        <w:rPr>
          <w:rFonts w:eastAsia="Times New Roman" w:cstheme="minorHAnsi"/>
          <w:szCs w:val="20"/>
        </w:rPr>
        <w:t>Toolkit.</w:t>
      </w:r>
    </w:p>
    <w:p w14:paraId="2C476062" w14:textId="77777777" w:rsidR="00200A9D" w:rsidRPr="00724268" w:rsidRDefault="00200A9D" w:rsidP="00FA3E7F">
      <w:pPr>
        <w:shd w:val="clear" w:color="auto" w:fill="FFFFFF"/>
        <w:spacing w:line="360" w:lineRule="auto"/>
        <w:contextualSpacing/>
        <w:textAlignment w:val="baseline"/>
        <w:rPr>
          <w:rFonts w:eastAsia="Times New Roman" w:cstheme="minorHAnsi"/>
          <w:szCs w:val="20"/>
        </w:rPr>
      </w:pPr>
    </w:p>
    <w:p w14:paraId="40D3A284" w14:textId="77777777" w:rsidR="00FA3E7F" w:rsidRPr="00200A9D" w:rsidRDefault="00CC27FD" w:rsidP="00FA3E7F">
      <w:pPr>
        <w:shd w:val="clear" w:color="auto" w:fill="FFFFFF"/>
        <w:spacing w:line="360" w:lineRule="auto"/>
        <w:contextualSpacing/>
        <w:textAlignment w:val="baseline"/>
        <w:rPr>
          <w:rFonts w:eastAsia="Times New Roman" w:cstheme="minorHAnsi"/>
          <w:b/>
          <w:bCs/>
          <w:sz w:val="24"/>
          <w:bdr w:val="none" w:sz="0" w:space="0" w:color="auto" w:frame="1"/>
        </w:rPr>
      </w:pPr>
      <w:r w:rsidRPr="00200A9D">
        <w:rPr>
          <w:rFonts w:eastAsia="Times New Roman" w:cstheme="minorHAnsi"/>
          <w:b/>
          <w:bCs/>
          <w:sz w:val="24"/>
          <w:bdr w:val="none" w:sz="0" w:space="0" w:color="auto" w:frame="1"/>
        </w:rPr>
        <w:t>Overview</w:t>
      </w:r>
    </w:p>
    <w:p w14:paraId="40861D97" w14:textId="0DCBF4D7" w:rsidR="00CC27FD" w:rsidRPr="00724268" w:rsidRDefault="007E7FEE" w:rsidP="00FA3E7F">
      <w:pPr>
        <w:shd w:val="clear" w:color="auto" w:fill="FFFFFF"/>
        <w:spacing w:line="360" w:lineRule="auto"/>
        <w:contextualSpacing/>
        <w:textAlignment w:val="baseline"/>
        <w:rPr>
          <w:rFonts w:eastAsia="Times New Roman" w:cstheme="minorHAnsi"/>
          <w:szCs w:val="20"/>
        </w:rPr>
      </w:pPr>
      <w:r>
        <w:rPr>
          <w:noProof/>
        </w:rPr>
        <mc:AlternateContent>
          <mc:Choice Requires="wps">
            <w:drawing>
              <wp:anchor distT="45720" distB="45720" distL="114300" distR="114300" simplePos="0" relativeHeight="251658240" behindDoc="0" locked="0" layoutInCell="1" allowOverlap="1" wp14:anchorId="54D63808" wp14:editId="647CA7B5">
                <wp:simplePos x="0" y="0"/>
                <wp:positionH relativeFrom="margin">
                  <wp:align>center</wp:align>
                </wp:positionH>
                <wp:positionV relativeFrom="paragraph">
                  <wp:posOffset>2198370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4401BB43" w14:textId="77777777" w:rsidR="007E7FEE" w:rsidRPr="00CA76E9" w:rsidRDefault="007E7FEE" w:rsidP="007E7FEE">
                            <w:pPr>
                              <w:spacing w:after="120"/>
                              <w:jc w:val="center"/>
                              <w:rPr>
                                <w:i/>
                                <w:iCs/>
                              </w:rPr>
                            </w:pPr>
                            <w:r w:rsidRPr="00CA76E9">
                              <w:rPr>
                                <w:i/>
                                <w:iCs/>
                              </w:rPr>
                              <w:t xml:space="preserve">[Call out </w:t>
                            </w:r>
                            <w:r>
                              <w:rPr>
                                <w:i/>
                                <w:iCs/>
                              </w:rPr>
                              <w:t xml:space="preserve">box </w:t>
                            </w:r>
                            <w:r w:rsidRPr="00CA76E9">
                              <w:rPr>
                                <w:i/>
                                <w:iCs/>
                              </w:rPr>
                              <w:t>for first page of document]</w:t>
                            </w:r>
                          </w:p>
                          <w:p w14:paraId="1179CBFD" w14:textId="77777777" w:rsidR="007E7FEE" w:rsidRDefault="007E7FEE" w:rsidP="007E7FEE">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D63808" id="_x0000_t202" coordsize="21600,21600" o:spt="202" path="m,l,21600r21600,l21600,xe">
                <v:stroke joinstyle="miter"/>
                <v:path gradientshapeok="t" o:connecttype="rect"/>
              </v:shapetype>
              <v:shape id="Text Box 2" o:spid="_x0000_s1026" type="#_x0000_t202" style="position:absolute;margin-left:0;margin-top:173.1pt;width:459.35pt;height:61.9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">
                <v:textbox>
                  <w:txbxContent>
                    <w:p w14:paraId="4401BB43" w14:textId="77777777" w:rsidR="007E7FEE" w:rsidRPr="00CA76E9" w:rsidRDefault="007E7FEE" w:rsidP="007E7FEE">
                      <w:pPr>
                        <w:spacing w:after="120"/>
                        <w:jc w:val="center"/>
                        <w:rPr>
                          <w:i/>
                          <w:iCs/>
                        </w:rPr>
                      </w:pPr>
                      <w:r w:rsidRPr="00CA76E9">
                        <w:rPr>
                          <w:i/>
                          <w:iCs/>
                        </w:rPr>
                        <w:t xml:space="preserve">[Call out </w:t>
                      </w:r>
                      <w:r>
                        <w:rPr>
                          <w:i/>
                          <w:iCs/>
                        </w:rPr>
                        <w:t xml:space="preserve">box </w:t>
                      </w:r>
                      <w:r w:rsidRPr="00CA76E9">
                        <w:rPr>
                          <w:i/>
                          <w:iCs/>
                        </w:rPr>
                        <w:t>for first page of document]</w:t>
                      </w:r>
                    </w:p>
                    <w:p w14:paraId="1179CBFD" w14:textId="77777777" w:rsidR="007E7FEE" w:rsidRDefault="007E7FEE" w:rsidP="007E7FEE">
                      <w:r>
                        <w:t>Please see the Practice Guide accompanying this toolkit for access to practice notices, legal analysis tools, examples, and templates.</w:t>
                      </w:r>
                    </w:p>
                  </w:txbxContent>
                </v:textbox>
                <w10:wrap type="topAndBottom" anchorx="margin"/>
              </v:shape>
            </w:pict>
          </mc:Fallback>
        </mc:AlternateContent>
      </w:r>
      <w:r w:rsidR="00CC27FD" w:rsidRPr="00724268">
        <w:rPr>
          <w:rFonts w:eastAsia="Times New Roman" w:cstheme="minorHAnsi"/>
          <w:szCs w:val="20"/>
        </w:rPr>
        <w:t>The “scope of practice” for a regulated profession includes those activities that a person with a specified level of education, training, and competency is authorized to engage in under the laws of the state in which the person practices. Scope of practice can also incorporate conditions that may limit the exercise of authorized activities and procedures. Persons meeting a state’s requirements for that field are issued a license, certification, or some other type of authorization to practice in that state. Practitioners are expected to know what activities they are authorized to conduct and keep their actions within this scope. Should a practitioner exceed the authorized scope of practice, they could be liable for violation of the state’s practice laws, as well as potentially more severe claims such as malpractice.</w:t>
      </w:r>
    </w:p>
    <w:p w14:paraId="1BF2966A" w14:textId="77777777" w:rsidR="00F81CA5" w:rsidRPr="00724268" w:rsidRDefault="00F81CA5" w:rsidP="00FA3E7F">
      <w:pPr>
        <w:shd w:val="clear" w:color="auto" w:fill="FFFFFF"/>
        <w:spacing w:line="360" w:lineRule="auto"/>
        <w:contextualSpacing/>
        <w:textAlignment w:val="baseline"/>
        <w:rPr>
          <w:rFonts w:eastAsia="Times New Roman" w:cstheme="minorHAnsi"/>
          <w:szCs w:val="20"/>
        </w:rPr>
      </w:pPr>
    </w:p>
    <w:p w14:paraId="7DA7D1FD" w14:textId="77777777" w:rsidR="007D11F4" w:rsidRPr="007D11F4" w:rsidRDefault="00CC27FD" w:rsidP="00FA3E7F">
      <w:pPr>
        <w:shd w:val="clear" w:color="auto" w:fill="FFFFFF"/>
        <w:spacing w:line="360" w:lineRule="auto"/>
        <w:contextualSpacing/>
        <w:textAlignment w:val="baseline"/>
        <w:rPr>
          <w:rFonts w:eastAsia="Times New Roman" w:cstheme="minorHAnsi"/>
          <w:b/>
          <w:bCs/>
          <w:sz w:val="24"/>
          <w:bdr w:val="none" w:sz="0" w:space="0" w:color="auto" w:frame="1"/>
        </w:rPr>
      </w:pPr>
      <w:r w:rsidRPr="007D11F4">
        <w:rPr>
          <w:rFonts w:eastAsia="Times New Roman" w:cstheme="minorHAnsi"/>
          <w:b/>
          <w:bCs/>
          <w:sz w:val="24"/>
          <w:bdr w:val="none" w:sz="0" w:space="0" w:color="auto" w:frame="1"/>
        </w:rPr>
        <w:t>Modifying SOP</w:t>
      </w:r>
    </w:p>
    <w:p w14:paraId="314053D4" w14:textId="2B450EFC" w:rsidR="00CC27FD" w:rsidRPr="00724268" w:rsidRDefault="007D11F4" w:rsidP="00FA3E7F">
      <w:pPr>
        <w:shd w:val="clear" w:color="auto" w:fill="FFFFFF"/>
        <w:spacing w:line="360" w:lineRule="auto"/>
        <w:contextualSpacing/>
        <w:textAlignment w:val="baseline"/>
        <w:rPr>
          <w:rFonts w:eastAsia="Times New Roman" w:cstheme="minorHAnsi"/>
          <w:szCs w:val="20"/>
        </w:rPr>
      </w:pPr>
      <w:r>
        <w:rPr>
          <w:rFonts w:eastAsia="Times New Roman" w:cstheme="minorHAnsi"/>
          <w:szCs w:val="20"/>
        </w:rPr>
        <w:t>S</w:t>
      </w:r>
      <w:r w:rsidR="00CC27FD" w:rsidRPr="00724268">
        <w:rPr>
          <w:rFonts w:eastAsia="Times New Roman" w:cstheme="minorHAnsi"/>
          <w:szCs w:val="20"/>
        </w:rPr>
        <w:t xml:space="preserve">tates may find it necessary to modify the scope of practice for some of its regulated professions to meet increased demand for important services during an emergency. Modifying scope of practice can be accomplished by expanding or altering the scope of activities a practitioner is allowed to engage in and by removing or adding conditions on the permitted activities. Overlapping and closely related skills are </w:t>
      </w:r>
      <w:r w:rsidR="00CC27FD" w:rsidRPr="00724268">
        <w:rPr>
          <w:rFonts w:eastAsia="Times New Roman" w:cstheme="minorHAnsi"/>
          <w:szCs w:val="20"/>
        </w:rPr>
        <w:lastRenderedPageBreak/>
        <w:t xml:space="preserve">the foundation for modifying and expanding scopes of practice during emergencies. This practice allows practitioners to conduct activities they are not normally permitted to conduct or alters the conditions under which they practice (e.g., replacing direct supervision requirements with written protocols). </w:t>
      </w:r>
    </w:p>
    <w:p w14:paraId="0BDCC09D"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4F55FA8E" w14:textId="2B9F4AB6" w:rsidR="0097041E" w:rsidRPr="0097041E" w:rsidRDefault="00B86D63" w:rsidP="00FA3E7F">
      <w:pPr>
        <w:shd w:val="clear" w:color="auto" w:fill="FFFFFF"/>
        <w:spacing w:line="360" w:lineRule="auto"/>
        <w:contextualSpacing/>
        <w:textAlignment w:val="baseline"/>
        <w:rPr>
          <w:rFonts w:eastAsia="Times New Roman" w:cstheme="minorHAnsi"/>
          <w:b/>
          <w:bCs/>
          <w:sz w:val="24"/>
          <w:bdr w:val="none" w:sz="0" w:space="0" w:color="auto" w:frame="1"/>
        </w:rPr>
      </w:pPr>
      <w:r>
        <w:rPr>
          <w:rFonts w:eastAsia="Times New Roman" w:cstheme="minorHAnsi"/>
          <w:b/>
          <w:bCs/>
          <w:sz w:val="24"/>
          <w:bdr w:val="none" w:sz="0" w:space="0" w:color="auto" w:frame="1"/>
        </w:rPr>
        <w:t xml:space="preserve">Licensing Boards and </w:t>
      </w:r>
      <w:r w:rsidR="0097041E" w:rsidRPr="0097041E">
        <w:rPr>
          <w:rFonts w:eastAsia="Times New Roman" w:cstheme="minorHAnsi"/>
          <w:b/>
          <w:bCs/>
          <w:sz w:val="24"/>
          <w:bdr w:val="none" w:sz="0" w:space="0" w:color="auto" w:frame="1"/>
        </w:rPr>
        <w:t xml:space="preserve">Legal </w:t>
      </w:r>
      <w:r w:rsidR="00CC27FD" w:rsidRPr="0097041E">
        <w:rPr>
          <w:rFonts w:eastAsia="Times New Roman" w:cstheme="minorHAnsi"/>
          <w:b/>
          <w:bCs/>
          <w:sz w:val="24"/>
          <w:bdr w:val="none" w:sz="0" w:space="0" w:color="auto" w:frame="1"/>
        </w:rPr>
        <w:t xml:space="preserve">Authorities to </w:t>
      </w:r>
      <w:r w:rsidR="00F6095D">
        <w:rPr>
          <w:rFonts w:eastAsia="Times New Roman" w:cstheme="minorHAnsi"/>
          <w:b/>
          <w:bCs/>
          <w:sz w:val="24"/>
          <w:bdr w:val="none" w:sz="0" w:space="0" w:color="auto" w:frame="1"/>
        </w:rPr>
        <w:t>Modify</w:t>
      </w:r>
      <w:r w:rsidR="00CC27FD" w:rsidRPr="0097041E">
        <w:rPr>
          <w:rFonts w:eastAsia="Times New Roman" w:cstheme="minorHAnsi"/>
          <w:b/>
          <w:bCs/>
          <w:sz w:val="24"/>
          <w:bdr w:val="none" w:sz="0" w:space="0" w:color="auto" w:frame="1"/>
        </w:rPr>
        <w:t xml:space="preserve"> SOP</w:t>
      </w:r>
    </w:p>
    <w:p w14:paraId="6E61B1CB" w14:textId="48FBAFBB" w:rsidR="00A27BA9" w:rsidRDefault="003F232B" w:rsidP="00FA3E7F">
      <w:pPr>
        <w:shd w:val="clear" w:color="auto" w:fill="FFFFFF"/>
        <w:spacing w:line="360" w:lineRule="auto"/>
        <w:contextualSpacing/>
        <w:textAlignment w:val="baseline"/>
        <w:rPr>
          <w:rFonts w:eastAsia="Times New Roman" w:cstheme="minorHAnsi"/>
          <w:szCs w:val="20"/>
        </w:rPr>
      </w:pPr>
      <w:r>
        <w:rPr>
          <w:rFonts w:eastAsia="Times New Roman" w:cstheme="minorHAnsi"/>
          <w:szCs w:val="20"/>
        </w:rPr>
        <w:t>All states have multiple licensure boards created by statute and/or regulation governing a wide variety of professions</w:t>
      </w:r>
      <w:r w:rsidR="00446AA4">
        <w:rPr>
          <w:rFonts w:eastAsia="Times New Roman" w:cstheme="minorHAnsi"/>
          <w:szCs w:val="20"/>
        </w:rPr>
        <w:t>.</w:t>
      </w:r>
      <w:r>
        <w:rPr>
          <w:rStyle w:val="FootnoteReference"/>
          <w:rFonts w:eastAsia="Times New Roman" w:cstheme="minorHAnsi"/>
          <w:szCs w:val="20"/>
        </w:rPr>
        <w:footnoteReference w:id="1"/>
      </w:r>
      <w:r>
        <w:rPr>
          <w:rFonts w:eastAsia="Times New Roman" w:cstheme="minorHAnsi"/>
          <w:szCs w:val="20"/>
        </w:rPr>
        <w:t xml:space="preserve"> </w:t>
      </w:r>
      <w:r w:rsidR="00C15514">
        <w:rPr>
          <w:rFonts w:eastAsia="Times New Roman" w:cstheme="minorHAnsi"/>
          <w:szCs w:val="20"/>
        </w:rPr>
        <w:t>B</w:t>
      </w:r>
      <w:r w:rsidR="00C15514" w:rsidRPr="00D73A09">
        <w:rPr>
          <w:rFonts w:eastAsia="Times New Roman" w:cstheme="minorHAnsi"/>
          <w:szCs w:val="20"/>
        </w:rPr>
        <w:t xml:space="preserve">ecause </w:t>
      </w:r>
      <w:r w:rsidR="00C15514">
        <w:rPr>
          <w:rFonts w:eastAsia="Times New Roman" w:cstheme="minorHAnsi"/>
          <w:szCs w:val="20"/>
        </w:rPr>
        <w:t xml:space="preserve">each state generally established its </w:t>
      </w:r>
      <w:r w:rsidR="00C15514" w:rsidRPr="00D73A09">
        <w:rPr>
          <w:rFonts w:eastAsia="Times New Roman" w:cstheme="minorHAnsi"/>
          <w:szCs w:val="20"/>
        </w:rPr>
        <w:t>licensing laws independently</w:t>
      </w:r>
      <w:r w:rsidR="00C15514">
        <w:rPr>
          <w:rFonts w:eastAsia="Times New Roman" w:cstheme="minorHAnsi"/>
          <w:szCs w:val="20"/>
        </w:rPr>
        <w:t xml:space="preserve">, there may be </w:t>
      </w:r>
      <w:r w:rsidR="00C15514" w:rsidRPr="00D73A09">
        <w:rPr>
          <w:rFonts w:eastAsia="Times New Roman" w:cstheme="minorHAnsi"/>
          <w:szCs w:val="20"/>
        </w:rPr>
        <w:t>significant differences and disparities in licensing requirements</w:t>
      </w:r>
      <w:r w:rsidR="00C15514">
        <w:rPr>
          <w:rFonts w:eastAsia="Times New Roman" w:cstheme="minorHAnsi"/>
          <w:szCs w:val="20"/>
        </w:rPr>
        <w:t xml:space="preserve"> among jurisdictions.</w:t>
      </w:r>
      <w:r w:rsidR="00C15514">
        <w:rPr>
          <w:rStyle w:val="FootnoteReference"/>
          <w:rFonts w:eastAsia="Times New Roman" w:cstheme="minorHAnsi"/>
          <w:szCs w:val="20"/>
        </w:rPr>
        <w:footnoteReference w:id="2"/>
      </w:r>
      <w:r w:rsidR="00605D35">
        <w:rPr>
          <w:rFonts w:eastAsia="Times New Roman" w:cstheme="minorHAnsi"/>
          <w:szCs w:val="20"/>
        </w:rPr>
        <w:t xml:space="preserve"> A state’s l</w:t>
      </w:r>
      <w:r w:rsidR="00605D35" w:rsidRPr="00EB7D2D">
        <w:rPr>
          <w:rFonts w:eastAsia="Times New Roman" w:cstheme="minorHAnsi"/>
          <w:szCs w:val="20"/>
        </w:rPr>
        <w:t xml:space="preserve">icensing requirements </w:t>
      </w:r>
      <w:r w:rsidR="00300DE5">
        <w:rPr>
          <w:rFonts w:eastAsia="Times New Roman" w:cstheme="minorHAnsi"/>
          <w:szCs w:val="20"/>
        </w:rPr>
        <w:t xml:space="preserve">for </w:t>
      </w:r>
      <w:r w:rsidR="008264BC">
        <w:rPr>
          <w:rFonts w:eastAsia="Times New Roman" w:cstheme="minorHAnsi"/>
          <w:szCs w:val="20"/>
        </w:rPr>
        <w:t xml:space="preserve">a regulated profession </w:t>
      </w:r>
      <w:r w:rsidR="00605D35">
        <w:rPr>
          <w:rFonts w:eastAsia="Times New Roman" w:cstheme="minorHAnsi"/>
          <w:szCs w:val="20"/>
        </w:rPr>
        <w:t xml:space="preserve">may be set </w:t>
      </w:r>
      <w:r w:rsidR="005777F6">
        <w:rPr>
          <w:rFonts w:eastAsia="Times New Roman" w:cstheme="minorHAnsi"/>
          <w:szCs w:val="20"/>
        </w:rPr>
        <w:t xml:space="preserve">by statute and/or in regulations created by a state agency or a </w:t>
      </w:r>
      <w:r w:rsidR="00605D35" w:rsidRPr="00EB7D2D">
        <w:rPr>
          <w:rFonts w:eastAsia="Times New Roman" w:cstheme="minorHAnsi"/>
          <w:szCs w:val="20"/>
        </w:rPr>
        <w:t>state-sponsored independent board</w:t>
      </w:r>
      <w:r w:rsidR="00300DE5">
        <w:rPr>
          <w:rFonts w:eastAsia="Times New Roman" w:cstheme="minorHAnsi"/>
          <w:szCs w:val="20"/>
        </w:rPr>
        <w:t xml:space="preserve">. </w:t>
      </w:r>
    </w:p>
    <w:p w14:paraId="152F244C" w14:textId="77777777" w:rsidR="00B90545" w:rsidRDefault="00B90545" w:rsidP="00FA3E7F">
      <w:pPr>
        <w:shd w:val="clear" w:color="auto" w:fill="FFFFFF"/>
        <w:spacing w:line="360" w:lineRule="auto"/>
        <w:contextualSpacing/>
        <w:textAlignment w:val="baseline"/>
        <w:rPr>
          <w:rFonts w:eastAsia="Times New Roman" w:cstheme="minorHAnsi"/>
          <w:szCs w:val="20"/>
        </w:rPr>
      </w:pPr>
    </w:p>
    <w:p w14:paraId="2ED5FD49" w14:textId="4446E23A"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States’ legal authorities and mechanisms for modifying scope of practice for a public health emergency vary. Some states have permanently authorized modified scopes of practice in emergencies for selected professions, either by statute or regulation, which are then activated by an emergency declaration by a governor, health officer, practice regulatory body, or other authorized official. Other states have used orders from a governor, health officer, or practice regulatory bodies during a declared emergency to authorize and specify the modified scope of practice applicable for that emergency. Modified practice authority granted in an emergency generally lasts until the underlying emergency declaration expires or is otherwise cancelled by the health agency or professional regulatory body.</w:t>
      </w:r>
    </w:p>
    <w:p w14:paraId="6262A07A"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65214CF8" w14:textId="77777777" w:rsidR="00573493" w:rsidRPr="004F638E" w:rsidRDefault="00CC27FD" w:rsidP="00D849A0">
      <w:pPr>
        <w:keepNext/>
        <w:shd w:val="clear" w:color="auto" w:fill="FFFFFF"/>
        <w:spacing w:line="360" w:lineRule="auto"/>
        <w:contextualSpacing/>
        <w:textAlignment w:val="baseline"/>
        <w:rPr>
          <w:rFonts w:eastAsia="Times New Roman" w:cstheme="minorHAnsi"/>
          <w:b/>
          <w:bCs/>
          <w:sz w:val="24"/>
          <w:bdr w:val="none" w:sz="0" w:space="0" w:color="auto" w:frame="1"/>
        </w:rPr>
      </w:pPr>
      <w:r w:rsidRPr="004F638E">
        <w:rPr>
          <w:rFonts w:eastAsia="Times New Roman" w:cstheme="minorHAnsi"/>
          <w:b/>
          <w:bCs/>
          <w:sz w:val="24"/>
          <w:bdr w:val="none" w:sz="0" w:space="0" w:color="auto" w:frame="1"/>
        </w:rPr>
        <w:t>Modified SOP in Emergencies</w:t>
      </w:r>
    </w:p>
    <w:p w14:paraId="7CB342AE" w14:textId="334E2F59" w:rsidR="00CC27FD" w:rsidRPr="00724268" w:rsidRDefault="00CC27FD" w:rsidP="000429AE">
      <w:pPr>
        <w:shd w:val="clear" w:color="auto" w:fill="FFFFFF"/>
        <w:spacing w:after="120" w:line="360" w:lineRule="auto"/>
        <w:textAlignment w:val="baseline"/>
        <w:rPr>
          <w:rFonts w:eastAsia="Times New Roman" w:cstheme="minorHAnsi"/>
          <w:szCs w:val="20"/>
        </w:rPr>
      </w:pPr>
      <w:r w:rsidRPr="00724268">
        <w:rPr>
          <w:rFonts w:eastAsia="Times New Roman" w:cstheme="minorHAnsi"/>
          <w:szCs w:val="20"/>
        </w:rPr>
        <w:t>Modifying scope of practice in emergencies generally involves addressing several factors:</w:t>
      </w:r>
    </w:p>
    <w:p w14:paraId="43EFA960" w14:textId="798059E0" w:rsidR="00CC27FD" w:rsidRDefault="00CC27FD" w:rsidP="00443043">
      <w:pPr>
        <w:pStyle w:val="ListParagraph"/>
        <w:numPr>
          <w:ilvl w:val="0"/>
          <w:numId w:val="2"/>
        </w:numPr>
        <w:spacing w:after="120" w:line="360" w:lineRule="auto"/>
        <w:contextualSpacing w:val="0"/>
        <w:textAlignment w:val="baseline"/>
        <w:rPr>
          <w:rFonts w:eastAsia="Times New Roman" w:cstheme="minorHAnsi"/>
          <w:szCs w:val="20"/>
        </w:rPr>
      </w:pPr>
      <w:r w:rsidRPr="00724268">
        <w:rPr>
          <w:rFonts w:eastAsia="Times New Roman" w:cstheme="minorHAnsi"/>
          <w:b/>
          <w:bCs/>
          <w:szCs w:val="20"/>
          <w:bdr w:val="none" w:sz="0" w:space="0" w:color="auto" w:frame="1"/>
        </w:rPr>
        <w:t>Permitted Activities and Practitioners Undertaking Them—</w:t>
      </w:r>
      <w:r w:rsidRPr="00724268">
        <w:rPr>
          <w:rFonts w:eastAsia="Times New Roman" w:cstheme="minorHAnsi"/>
          <w:szCs w:val="20"/>
        </w:rPr>
        <w:t xml:space="preserve">States’ approaches to modifying the types of practitioners and the activities they are allowed to conduct in an emergency vary (e.g., administering drugs and giving vaccinations or other injections). Practitioners with the same or </w:t>
      </w:r>
      <w:r w:rsidRPr="00724268">
        <w:rPr>
          <w:rFonts w:eastAsia="Times New Roman" w:cstheme="minorHAnsi"/>
          <w:szCs w:val="20"/>
        </w:rPr>
        <w:lastRenderedPageBreak/>
        <w:t>similar skill sets necessary to meet the demands of a specific emergency event are most likely to be considered for modified practice.</w:t>
      </w:r>
    </w:p>
    <w:p w14:paraId="5C419FB1" w14:textId="7042CDC9" w:rsidR="00CC27FD" w:rsidRDefault="00CC27FD" w:rsidP="00443043">
      <w:pPr>
        <w:pStyle w:val="ListParagraph"/>
        <w:numPr>
          <w:ilvl w:val="0"/>
          <w:numId w:val="2"/>
        </w:numPr>
        <w:spacing w:after="120" w:line="360" w:lineRule="auto"/>
        <w:contextualSpacing w:val="0"/>
        <w:textAlignment w:val="baseline"/>
        <w:rPr>
          <w:rFonts w:eastAsia="Times New Roman" w:cstheme="minorHAnsi"/>
          <w:szCs w:val="20"/>
        </w:rPr>
      </w:pPr>
      <w:r w:rsidRPr="00724268">
        <w:rPr>
          <w:rFonts w:eastAsia="Times New Roman" w:cstheme="minorHAnsi"/>
          <w:b/>
          <w:bCs/>
          <w:szCs w:val="20"/>
          <w:bdr w:val="none" w:sz="0" w:space="0" w:color="auto" w:frame="1"/>
        </w:rPr>
        <w:t>Medical Control and Supervision—</w:t>
      </w:r>
      <w:r w:rsidRPr="00724268">
        <w:rPr>
          <w:rFonts w:eastAsia="Times New Roman" w:cstheme="minorHAnsi"/>
          <w:szCs w:val="20"/>
        </w:rPr>
        <w:t>Medical control or supervision is accomplished through personal oversight or written directions in the form of prescriptions, protocols, or orders. Temporarily modifying medical control and supervision requirements, either by altering, removing, or adding requirements, is a strategy used to change a professional scope of practice during public health emergencies.</w:t>
      </w:r>
    </w:p>
    <w:p w14:paraId="5C981EA5" w14:textId="77777777" w:rsidR="00CC27FD" w:rsidRPr="00724268" w:rsidRDefault="00CC27FD" w:rsidP="00FA3E7F">
      <w:pPr>
        <w:pStyle w:val="ListParagraph"/>
        <w:numPr>
          <w:ilvl w:val="0"/>
          <w:numId w:val="2"/>
        </w:numPr>
        <w:spacing w:line="360" w:lineRule="auto"/>
        <w:textAlignment w:val="baseline"/>
        <w:rPr>
          <w:rFonts w:eastAsia="Times New Roman" w:cstheme="minorHAnsi"/>
          <w:szCs w:val="20"/>
        </w:rPr>
      </w:pPr>
      <w:r w:rsidRPr="00724268">
        <w:rPr>
          <w:rFonts w:eastAsia="Times New Roman" w:cstheme="minorHAnsi"/>
          <w:b/>
          <w:bCs/>
          <w:szCs w:val="20"/>
          <w:bdr w:val="none" w:sz="0" w:space="0" w:color="auto" w:frame="1"/>
        </w:rPr>
        <w:t>Training—</w:t>
      </w:r>
      <w:r w:rsidRPr="00724268">
        <w:rPr>
          <w:rFonts w:eastAsia="Times New Roman" w:cstheme="minorHAnsi"/>
          <w:szCs w:val="20"/>
        </w:rPr>
        <w:t>Training requirements can apply to practitioners who will be acting under a modified scope of practice, as well as those who are acting within their existing scope but whose daily activities do not include performing the specified activity (e.g., giving injections).</w:t>
      </w:r>
    </w:p>
    <w:p w14:paraId="52DC7582" w14:textId="77777777" w:rsidR="00CC27FD" w:rsidRPr="00724268" w:rsidRDefault="00CC27FD" w:rsidP="00FA3E7F">
      <w:pPr>
        <w:spacing w:line="360" w:lineRule="auto"/>
        <w:contextualSpacing/>
        <w:textAlignment w:val="baseline"/>
        <w:rPr>
          <w:rFonts w:eastAsia="Times New Roman" w:cstheme="minorHAnsi"/>
          <w:sz w:val="24"/>
          <w:szCs w:val="20"/>
        </w:rPr>
      </w:pPr>
    </w:p>
    <w:p w14:paraId="302B048E" w14:textId="77777777" w:rsidR="00543CAC" w:rsidRPr="00DC2AB8" w:rsidRDefault="00543CAC" w:rsidP="00543CAC">
      <w:pPr>
        <w:spacing w:line="360" w:lineRule="auto"/>
        <w:rPr>
          <w:rFonts w:eastAsia="Times New Roman" w:cstheme="minorHAnsi"/>
          <w:b/>
          <w:bCs/>
          <w:sz w:val="24"/>
        </w:rPr>
      </w:pPr>
      <w:r w:rsidRPr="00DC2AB8">
        <w:rPr>
          <w:rFonts w:eastAsia="Times New Roman" w:cstheme="minorHAnsi"/>
          <w:b/>
          <w:bCs/>
          <w:sz w:val="24"/>
        </w:rPr>
        <w:t>Concerns Regarding Modified Scope of Practice in Emergencies</w:t>
      </w:r>
    </w:p>
    <w:p w14:paraId="6E94E6B2" w14:textId="25956923"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 xml:space="preserve">Concerns have been noted that practitioners working under modified SOPs will be performing activities they have little or no prior experience doing and that just-in-time-training will not be sufficient. The use of medical controls and supervision in concert with the modified practice activities is a strategy used to address these concerns. Practitioners operating under a modified scope of practice also voice concerns about potential liability for their actions during a public health emergency. </w:t>
      </w:r>
      <w:r w:rsidR="00BB48F3">
        <w:rPr>
          <w:rFonts w:eastAsia="Times New Roman" w:cstheme="minorHAnsi"/>
          <w:szCs w:val="20"/>
        </w:rPr>
        <w:t>F</w:t>
      </w:r>
      <w:r w:rsidRPr="00724268">
        <w:rPr>
          <w:rFonts w:eastAsia="Times New Roman" w:cstheme="minorHAnsi"/>
          <w:szCs w:val="20"/>
        </w:rPr>
        <w:t xml:space="preserve">ederal and state legal protections </w:t>
      </w:r>
      <w:r w:rsidR="00FF6854">
        <w:rPr>
          <w:rFonts w:eastAsia="Times New Roman" w:cstheme="minorHAnsi"/>
          <w:szCs w:val="20"/>
        </w:rPr>
        <w:t xml:space="preserve">have been </w:t>
      </w:r>
      <w:r w:rsidR="00BB48F3">
        <w:rPr>
          <w:rFonts w:eastAsia="Times New Roman" w:cstheme="minorHAnsi"/>
          <w:szCs w:val="20"/>
        </w:rPr>
        <w:t>de</w:t>
      </w:r>
      <w:r w:rsidR="001C22E2">
        <w:rPr>
          <w:rFonts w:eastAsia="Times New Roman" w:cstheme="minorHAnsi"/>
          <w:szCs w:val="20"/>
        </w:rPr>
        <w:t xml:space="preserve">veloped in the last twenty years </w:t>
      </w:r>
      <w:r w:rsidR="00FF6854">
        <w:rPr>
          <w:rFonts w:eastAsia="Times New Roman" w:cstheme="minorHAnsi"/>
          <w:szCs w:val="20"/>
        </w:rPr>
        <w:t>to</w:t>
      </w:r>
      <w:r w:rsidR="00755530">
        <w:rPr>
          <w:rFonts w:eastAsia="Times New Roman" w:cstheme="minorHAnsi"/>
          <w:szCs w:val="20"/>
        </w:rPr>
        <w:t xml:space="preserve"> </w:t>
      </w:r>
      <w:r w:rsidRPr="00724268">
        <w:rPr>
          <w:rFonts w:eastAsia="Times New Roman" w:cstheme="minorHAnsi"/>
          <w:szCs w:val="20"/>
        </w:rPr>
        <w:t xml:space="preserve">address these </w:t>
      </w:r>
      <w:r w:rsidR="00755530">
        <w:rPr>
          <w:rFonts w:eastAsia="Times New Roman" w:cstheme="minorHAnsi"/>
          <w:szCs w:val="20"/>
        </w:rPr>
        <w:t xml:space="preserve">liability </w:t>
      </w:r>
      <w:r w:rsidRPr="00724268">
        <w:rPr>
          <w:rFonts w:eastAsia="Times New Roman" w:cstheme="minorHAnsi"/>
          <w:szCs w:val="20"/>
        </w:rPr>
        <w:t>concerns.</w:t>
      </w:r>
    </w:p>
    <w:p w14:paraId="61633F23" w14:textId="77777777" w:rsidR="00CC27FD" w:rsidRPr="00724268" w:rsidRDefault="00CC27FD" w:rsidP="00FA3E7F">
      <w:pPr>
        <w:spacing w:line="360" w:lineRule="auto"/>
        <w:contextualSpacing/>
        <w:rPr>
          <w:rFonts w:cstheme="minorHAnsi"/>
          <w:sz w:val="24"/>
        </w:rPr>
      </w:pPr>
    </w:p>
    <w:p w14:paraId="0C22605D" w14:textId="382FACF7" w:rsidR="00B75B7F" w:rsidRDefault="00C33800" w:rsidP="00FA3E7F">
      <w:pPr>
        <w:spacing w:line="360" w:lineRule="auto"/>
        <w:contextualSpacing/>
      </w:pPr>
      <w:r>
        <w:rPr>
          <w:noProof/>
        </w:rPr>
        <mc:AlternateContent>
          <mc:Choice Requires="wps">
            <w:drawing>
              <wp:anchor distT="45720" distB="45720" distL="114300" distR="114300" simplePos="0" relativeHeight="251660288" behindDoc="0" locked="0" layoutInCell="1" allowOverlap="1" wp14:anchorId="180B4963" wp14:editId="74DEB2DD">
                <wp:simplePos x="0" y="0"/>
                <wp:positionH relativeFrom="margin">
                  <wp:align>center</wp:align>
                </wp:positionH>
                <wp:positionV relativeFrom="paragraph">
                  <wp:posOffset>2195939</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5244A9B2" w14:textId="77777777" w:rsidR="00C33800" w:rsidRPr="004C64AD" w:rsidRDefault="00C33800" w:rsidP="00C33800">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0B4963" id="_x0000_s1027" type="#_x0000_t202" style="position:absolute;margin-left:0;margin-top:172.9pt;width:403.2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">
                <v:textbox style="mso-fit-shape-to-text:t">
                  <w:txbxContent>
                    <w:p w14:paraId="5244A9B2" w14:textId="77777777" w:rsidR="00C33800" w:rsidRPr="004C64AD" w:rsidRDefault="00C33800" w:rsidP="00C33800">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B75B7F" w:rsidSect="00795404">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60EE9F" w14:textId="77777777" w:rsidR="007227E7" w:rsidRDefault="007227E7" w:rsidP="003F232B">
      <w:r>
        <w:separator/>
      </w:r>
    </w:p>
  </w:endnote>
  <w:endnote w:type="continuationSeparator" w:id="0">
    <w:p w14:paraId="3D439025" w14:textId="77777777" w:rsidR="007227E7" w:rsidRDefault="007227E7" w:rsidP="003F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9298218"/>
      <w:docPartObj>
        <w:docPartGallery w:val="Page Numbers (Bottom of Page)"/>
        <w:docPartUnique/>
      </w:docPartObj>
    </w:sdtPr>
    <w:sdtEndPr>
      <w:rPr>
        <w:noProof/>
      </w:rPr>
    </w:sdtEndPr>
    <w:sdtContent>
      <w:p w14:paraId="326FF59E" w14:textId="6D48F086" w:rsidR="00143CC2" w:rsidRDefault="00143CC2" w:rsidP="00143C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FC124" w14:textId="77777777" w:rsidR="007A3F3E" w:rsidRDefault="007A3F3E" w:rsidP="007A3F3E">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605EA9B0" w14:textId="283BDA3D" w:rsidR="00795404" w:rsidRDefault="007A3F3E" w:rsidP="007A3F3E">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59EB1" w14:textId="77777777" w:rsidR="007227E7" w:rsidRDefault="007227E7" w:rsidP="003F232B">
      <w:r>
        <w:separator/>
      </w:r>
    </w:p>
  </w:footnote>
  <w:footnote w:type="continuationSeparator" w:id="0">
    <w:p w14:paraId="366A7D20" w14:textId="77777777" w:rsidR="007227E7" w:rsidRDefault="007227E7" w:rsidP="003F232B">
      <w:r>
        <w:continuationSeparator/>
      </w:r>
    </w:p>
  </w:footnote>
  <w:footnote w:id="1">
    <w:p w14:paraId="254B6813" w14:textId="77777777" w:rsidR="003F232B" w:rsidRPr="00E153B6" w:rsidRDefault="003F232B" w:rsidP="003F232B">
      <w:pPr>
        <w:pStyle w:val="FootnoteText"/>
        <w:tabs>
          <w:tab w:val="left" w:pos="686"/>
        </w:tabs>
        <w:rPr>
          <w:b/>
          <w:bCs/>
        </w:rPr>
      </w:pPr>
      <w:r>
        <w:rPr>
          <w:b/>
          <w:bCs/>
          <w:highlight w:val="yellow"/>
        </w:rPr>
        <w:t>Footnotes will be streamlined and edited to style guide once text is finalized</w:t>
      </w:r>
    </w:p>
    <w:p w14:paraId="58E456ED" w14:textId="77777777" w:rsidR="003F232B" w:rsidRDefault="003F232B" w:rsidP="003F232B">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1" w:history="1">
        <w:r w:rsidRPr="003A1523">
          <w:rPr>
            <w:rStyle w:val="Hyperlink"/>
          </w:rPr>
          <w:t>https://www.ncsl.org/research/labor-and-employment/occupational-licensing-statute-database.aspx</w:t>
        </w:r>
      </w:hyperlink>
      <w:r>
        <w:t>. NCSL note: “</w:t>
      </w:r>
      <w:r w:rsidRPr="00992C2A">
        <w:t>Over the last 60 years, the number of jobs requiring an occupational license, or government approval to practice a profession, has grown from about 1-in-20 to almost 1-in-4.</w:t>
      </w:r>
      <w:r>
        <w:t>”</w:t>
      </w:r>
    </w:p>
  </w:footnote>
  <w:footnote w:id="2">
    <w:p w14:paraId="40F320A5" w14:textId="77777777" w:rsidR="00C15514" w:rsidRDefault="00C15514" w:rsidP="00C15514">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2" w:history="1">
        <w:r w:rsidRPr="003A1523">
          <w:rPr>
            <w:rStyle w:val="Hyperlink"/>
          </w:rPr>
          <w:t>https://www.ncsl.org/research/labor-and-employment/occupational-licensing-statute-database.aspx</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9AFE4" w14:textId="4B92107C" w:rsidR="00795404" w:rsidRPr="000A5C8C" w:rsidRDefault="000A5C8C" w:rsidP="000A5C8C">
    <w:pPr>
      <w:tabs>
        <w:tab w:val="center" w:pos="4680"/>
        <w:tab w:val="right" w:pos="9360"/>
      </w:tabs>
      <w:jc w:val="center"/>
    </w:pPr>
    <w:r w:rsidRPr="000E2930">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47801" w14:textId="21B6FBC7" w:rsidR="00795404" w:rsidRPr="000A5C8C" w:rsidRDefault="000A5C8C" w:rsidP="000A5C8C">
    <w:pPr>
      <w:tabs>
        <w:tab w:val="center" w:pos="4680"/>
        <w:tab w:val="right" w:pos="9360"/>
      </w:tabs>
      <w:jc w:val="center"/>
    </w:pPr>
    <w:r w:rsidRPr="000E2930">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051E8"/>
    <w:multiLevelType w:val="hybridMultilevel"/>
    <w:tmpl w:val="CB68E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B4"/>
    <w:rsid w:val="00007DA4"/>
    <w:rsid w:val="000429AE"/>
    <w:rsid w:val="000449CE"/>
    <w:rsid w:val="000A5C8C"/>
    <w:rsid w:val="000D78E1"/>
    <w:rsid w:val="00112396"/>
    <w:rsid w:val="00143CC2"/>
    <w:rsid w:val="00151278"/>
    <w:rsid w:val="001C22E2"/>
    <w:rsid w:val="00200A9D"/>
    <w:rsid w:val="00300DE5"/>
    <w:rsid w:val="003F232B"/>
    <w:rsid w:val="00443043"/>
    <w:rsid w:val="00446AA4"/>
    <w:rsid w:val="00474E65"/>
    <w:rsid w:val="00476446"/>
    <w:rsid w:val="00481730"/>
    <w:rsid w:val="004F638E"/>
    <w:rsid w:val="00543CAC"/>
    <w:rsid w:val="00573493"/>
    <w:rsid w:val="005777F6"/>
    <w:rsid w:val="00605D35"/>
    <w:rsid w:val="006459B4"/>
    <w:rsid w:val="006A3CC6"/>
    <w:rsid w:val="007227E7"/>
    <w:rsid w:val="00755530"/>
    <w:rsid w:val="00795404"/>
    <w:rsid w:val="007A3F3E"/>
    <w:rsid w:val="007D11F4"/>
    <w:rsid w:val="007E7FEE"/>
    <w:rsid w:val="008264BC"/>
    <w:rsid w:val="00853370"/>
    <w:rsid w:val="0097041E"/>
    <w:rsid w:val="00A13CE8"/>
    <w:rsid w:val="00A27BA9"/>
    <w:rsid w:val="00A9516F"/>
    <w:rsid w:val="00AF108B"/>
    <w:rsid w:val="00B75B7F"/>
    <w:rsid w:val="00B86D63"/>
    <w:rsid w:val="00B90545"/>
    <w:rsid w:val="00BB48F3"/>
    <w:rsid w:val="00C007B4"/>
    <w:rsid w:val="00C053D8"/>
    <w:rsid w:val="00C15514"/>
    <w:rsid w:val="00C33800"/>
    <w:rsid w:val="00CC27FD"/>
    <w:rsid w:val="00D766FB"/>
    <w:rsid w:val="00D849A0"/>
    <w:rsid w:val="00E67625"/>
    <w:rsid w:val="00E92776"/>
    <w:rsid w:val="00F6095D"/>
    <w:rsid w:val="00F81CA5"/>
    <w:rsid w:val="00FA3E7F"/>
    <w:rsid w:val="00FF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40AE18"/>
  <w15:chartTrackingRefBased/>
  <w15:docId w15:val="{30A7B497-6600-4B04-B21F-293C61FE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9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6459B4"/>
    <w:pPr>
      <w:ind w:left="720"/>
      <w:contextualSpacing/>
    </w:pPr>
  </w:style>
  <w:style w:type="character" w:styleId="Hyperlink">
    <w:name w:val="Hyperlink"/>
    <w:basedOn w:val="DefaultParagraphFont"/>
    <w:uiPriority w:val="99"/>
    <w:unhideWhenUsed/>
    <w:rsid w:val="003F232B"/>
    <w:rPr>
      <w:color w:val="0000FF"/>
      <w:u w:val="single"/>
    </w:rPr>
  </w:style>
  <w:style w:type="paragraph" w:styleId="FootnoteText">
    <w:name w:val="footnote text"/>
    <w:basedOn w:val="Normal"/>
    <w:link w:val="FootnoteTextChar"/>
    <w:uiPriority w:val="99"/>
    <w:semiHidden/>
    <w:unhideWhenUsed/>
    <w:rsid w:val="003F232B"/>
    <w:rPr>
      <w:sz w:val="20"/>
      <w:szCs w:val="20"/>
    </w:rPr>
  </w:style>
  <w:style w:type="character" w:customStyle="1" w:styleId="FootnoteTextChar">
    <w:name w:val="Footnote Text Char"/>
    <w:basedOn w:val="DefaultParagraphFont"/>
    <w:link w:val="FootnoteText"/>
    <w:uiPriority w:val="99"/>
    <w:semiHidden/>
    <w:rsid w:val="003F232B"/>
    <w:rPr>
      <w:sz w:val="20"/>
      <w:szCs w:val="20"/>
    </w:rPr>
  </w:style>
  <w:style w:type="character" w:styleId="FootnoteReference">
    <w:name w:val="footnote reference"/>
    <w:basedOn w:val="DefaultParagraphFont"/>
    <w:uiPriority w:val="99"/>
    <w:semiHidden/>
    <w:unhideWhenUsed/>
    <w:rsid w:val="003F232B"/>
    <w:rPr>
      <w:vertAlign w:val="superscript"/>
    </w:rPr>
  </w:style>
  <w:style w:type="paragraph" w:styleId="Header">
    <w:name w:val="header"/>
    <w:basedOn w:val="Normal"/>
    <w:link w:val="HeaderChar"/>
    <w:uiPriority w:val="99"/>
    <w:unhideWhenUsed/>
    <w:rsid w:val="00143CC2"/>
    <w:pPr>
      <w:tabs>
        <w:tab w:val="center" w:pos="4680"/>
        <w:tab w:val="right" w:pos="9360"/>
      </w:tabs>
    </w:pPr>
  </w:style>
  <w:style w:type="character" w:customStyle="1" w:styleId="HeaderChar">
    <w:name w:val="Header Char"/>
    <w:basedOn w:val="DefaultParagraphFont"/>
    <w:link w:val="Header"/>
    <w:uiPriority w:val="99"/>
    <w:rsid w:val="00143CC2"/>
  </w:style>
  <w:style w:type="paragraph" w:styleId="Footer">
    <w:name w:val="footer"/>
    <w:basedOn w:val="Normal"/>
    <w:link w:val="FooterChar"/>
    <w:uiPriority w:val="99"/>
    <w:unhideWhenUsed/>
    <w:rsid w:val="00143CC2"/>
    <w:pPr>
      <w:tabs>
        <w:tab w:val="center" w:pos="4680"/>
        <w:tab w:val="right" w:pos="9360"/>
      </w:tabs>
    </w:pPr>
  </w:style>
  <w:style w:type="character" w:customStyle="1" w:styleId="FooterChar">
    <w:name w:val="Footer Char"/>
    <w:basedOn w:val="DefaultParagraphFont"/>
    <w:link w:val="Footer"/>
    <w:uiPriority w:val="99"/>
    <w:rsid w:val="00143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ncsl.org/research/labor-and-employment/occupational-licensing-statute-database.aspx" TargetMode="External"/><Relationship Id="rId1" Type="http://schemas.openxmlformats.org/officeDocument/2006/relationships/hyperlink" Target="https://www.ncsl.org/research/labor-and-employment/occupational-licensing-statute-databas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820</Words>
  <Characters>4679</Characters>
  <Application>Microsoft Office Word</Application>
  <DocSecurity>0</DocSecurity>
  <Lines>38</Lines>
  <Paragraphs>10</Paragraphs>
  <ScaleCrop>false</ScaleCrop>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11</cp:revision>
  <dcterms:created xsi:type="dcterms:W3CDTF">2020-08-08T01:29:00Z</dcterms:created>
  <dcterms:modified xsi:type="dcterms:W3CDTF">2020-08-08T01:38:00Z</dcterms:modified>
</cp:coreProperties>
</file>