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AA223" w14:textId="3F0779D5" w:rsidR="009206D5" w:rsidRPr="00A9237A" w:rsidRDefault="00A9237A" w:rsidP="00F72C4D">
      <w:pPr>
        <w:spacing w:after="120"/>
        <w:jc w:val="center"/>
        <w:rPr>
          <w:rFonts w:eastAsia="Times New Roman" w:cs="Helvetica"/>
          <w:b/>
          <w:bCs/>
          <w:color w:val="333333"/>
          <w:spacing w:val="15"/>
          <w:kern w:val="36"/>
          <w:sz w:val="24"/>
          <w:szCs w:val="24"/>
        </w:rPr>
      </w:pPr>
      <w:r w:rsidRPr="00A9237A">
        <w:rPr>
          <w:rFonts w:eastAsia="Times New Roman" w:cs="Helvetica"/>
          <w:b/>
          <w:bCs/>
          <w:color w:val="333333"/>
          <w:spacing w:val="15"/>
          <w:kern w:val="36"/>
          <w:sz w:val="24"/>
          <w:szCs w:val="24"/>
        </w:rPr>
        <w:t>WORKERS’ COMPENSATION IN EMERGENCY PREPAREDNESS AND RESPONSE</w:t>
      </w:r>
    </w:p>
    <w:p w14:paraId="0CCD2584" w14:textId="77777777" w:rsidR="009206D5" w:rsidRDefault="009206D5" w:rsidP="00EB12E6">
      <w:pPr>
        <w:spacing w:after="120"/>
        <w:rPr>
          <w:rFonts w:eastAsia="Times New Roman" w:cs="Helvetica"/>
          <w:b/>
          <w:bCs/>
          <w:color w:val="333333"/>
          <w:spacing w:val="15"/>
          <w:kern w:val="36"/>
          <w:sz w:val="28"/>
          <w:szCs w:val="28"/>
        </w:rPr>
      </w:pPr>
    </w:p>
    <w:p w14:paraId="268E0A98"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365B6D11" w14:textId="77777777" w:rsidR="00F67303" w:rsidRDefault="00CB0845" w:rsidP="003A7E56">
      <w:pPr>
        <w:spacing w:line="360" w:lineRule="auto"/>
        <w:rPr>
          <w:rFonts w:eastAsia="Times New Roman" w:cs="Arial"/>
          <w:color w:val="000000" w:themeColor="text1"/>
          <w:szCs w:val="20"/>
        </w:rPr>
      </w:pPr>
      <w:r>
        <w:rPr>
          <w:rFonts w:eastAsia="Times New Roman" w:cs="Arial"/>
          <w:color w:val="000000" w:themeColor="text1"/>
          <w:szCs w:val="20"/>
        </w:rPr>
        <w:t>In addition to con</w:t>
      </w:r>
      <w:r w:rsidR="0099702B" w:rsidRPr="0099702B">
        <w:rPr>
          <w:rFonts w:eastAsia="Times New Roman" w:cs="Arial"/>
          <w:color w:val="000000" w:themeColor="text1"/>
          <w:szCs w:val="20"/>
        </w:rPr>
        <w:t>cerns about potential liabilities</w:t>
      </w:r>
      <w:r w:rsidR="00D61506">
        <w:rPr>
          <w:rFonts w:eastAsia="Times New Roman" w:cs="Arial"/>
          <w:color w:val="000000" w:themeColor="text1"/>
          <w:szCs w:val="20"/>
        </w:rPr>
        <w:t xml:space="preserve">, </w:t>
      </w:r>
      <w:r w:rsidR="0099702B" w:rsidRPr="0099702B">
        <w:rPr>
          <w:rFonts w:eastAsia="Times New Roman" w:cs="Arial"/>
          <w:color w:val="000000" w:themeColor="text1"/>
          <w:szCs w:val="20"/>
        </w:rPr>
        <w:t xml:space="preserve">government employees, volunteers, and healthcare </w:t>
      </w:r>
      <w:r w:rsidR="002D1F6A">
        <w:rPr>
          <w:rFonts w:eastAsia="Times New Roman" w:cs="Arial"/>
          <w:color w:val="000000" w:themeColor="text1"/>
          <w:szCs w:val="20"/>
        </w:rPr>
        <w:t xml:space="preserve">professional </w:t>
      </w:r>
      <w:r w:rsidR="0099702B" w:rsidRPr="0099702B">
        <w:rPr>
          <w:rFonts w:eastAsia="Times New Roman" w:cs="Arial"/>
          <w:color w:val="000000" w:themeColor="text1"/>
          <w:szCs w:val="20"/>
        </w:rPr>
        <w:t xml:space="preserve">raise questions about their ability to obtain coverage under state workers’ compensation programs </w:t>
      </w:r>
      <w:r w:rsidR="000A18D1">
        <w:rPr>
          <w:rFonts w:eastAsia="Times New Roman" w:cs="Arial"/>
          <w:color w:val="000000" w:themeColor="text1"/>
          <w:szCs w:val="20"/>
        </w:rPr>
        <w:t>or though</w:t>
      </w:r>
      <w:r w:rsidR="00E31205">
        <w:rPr>
          <w:rFonts w:eastAsia="Times New Roman" w:cs="Arial"/>
          <w:color w:val="000000" w:themeColor="text1"/>
          <w:szCs w:val="20"/>
        </w:rPr>
        <w:t xml:space="preserve"> </w:t>
      </w:r>
      <w:r w:rsidR="000B3C09">
        <w:rPr>
          <w:rFonts w:eastAsia="Times New Roman" w:cs="Arial"/>
          <w:color w:val="000000" w:themeColor="text1"/>
          <w:szCs w:val="20"/>
        </w:rPr>
        <w:t xml:space="preserve">other </w:t>
      </w:r>
      <w:r w:rsidR="00E31205">
        <w:rPr>
          <w:rFonts w:eastAsia="Times New Roman" w:cs="Arial"/>
          <w:color w:val="000000" w:themeColor="text1"/>
          <w:szCs w:val="20"/>
        </w:rPr>
        <w:t xml:space="preserve">mechanisms </w:t>
      </w:r>
      <w:r w:rsidR="0099702B" w:rsidRPr="0099702B">
        <w:rPr>
          <w:rFonts w:eastAsia="Times New Roman" w:cs="Arial"/>
          <w:color w:val="000000" w:themeColor="text1"/>
          <w:szCs w:val="20"/>
        </w:rPr>
        <w:t xml:space="preserve">for injuries received while participating in </w:t>
      </w:r>
      <w:r w:rsidR="00A47CF6">
        <w:rPr>
          <w:rFonts w:eastAsia="Times New Roman" w:cs="Arial"/>
          <w:color w:val="000000" w:themeColor="text1"/>
          <w:szCs w:val="20"/>
        </w:rPr>
        <w:t>emergency preparedness and response activities</w:t>
      </w:r>
      <w:r w:rsidR="0099702B" w:rsidRPr="0099702B">
        <w:rPr>
          <w:rFonts w:eastAsia="Times New Roman" w:cs="Arial"/>
          <w:color w:val="000000" w:themeColor="text1"/>
          <w:szCs w:val="20"/>
        </w:rPr>
        <w:t>.</w:t>
      </w:r>
      <w:r w:rsidR="00515D53">
        <w:rPr>
          <w:rFonts w:eastAsia="Times New Roman" w:cs="Arial"/>
          <w:color w:val="000000" w:themeColor="text1"/>
          <w:szCs w:val="20"/>
        </w:rPr>
        <w:t xml:space="preserve"> </w:t>
      </w:r>
      <w:r w:rsidR="00515D53" w:rsidRPr="0099702B">
        <w:rPr>
          <w:rFonts w:eastAsia="Times New Roman" w:cs="Arial"/>
          <w:color w:val="000000" w:themeColor="text1"/>
          <w:szCs w:val="20"/>
        </w:rPr>
        <w:t xml:space="preserve">Workers’ compensation programs provide benefits to </w:t>
      </w:r>
      <w:r w:rsidR="00515D53">
        <w:rPr>
          <w:rFonts w:eastAsia="Times New Roman" w:cs="Arial"/>
          <w:color w:val="000000" w:themeColor="text1"/>
          <w:szCs w:val="20"/>
        </w:rPr>
        <w:t>persons</w:t>
      </w:r>
      <w:r w:rsidR="00515D53" w:rsidRPr="0099702B">
        <w:rPr>
          <w:rFonts w:eastAsia="Times New Roman" w:cs="Arial"/>
          <w:color w:val="000000" w:themeColor="text1"/>
          <w:szCs w:val="20"/>
        </w:rPr>
        <w:t xml:space="preserve"> who are injured </w:t>
      </w:r>
      <w:r w:rsidR="00515D53">
        <w:rPr>
          <w:rFonts w:eastAsia="Times New Roman" w:cs="Arial"/>
          <w:color w:val="000000" w:themeColor="text1"/>
          <w:szCs w:val="20"/>
        </w:rPr>
        <w:t>in the</w:t>
      </w:r>
      <w:r w:rsidR="00515D53" w:rsidRPr="0099702B">
        <w:rPr>
          <w:rFonts w:eastAsia="Times New Roman" w:cs="Arial"/>
          <w:color w:val="000000" w:themeColor="text1"/>
          <w:szCs w:val="20"/>
        </w:rPr>
        <w:t xml:space="preserve"> course of their employment. </w:t>
      </w:r>
      <w:r w:rsidR="00F26909">
        <w:rPr>
          <w:rFonts w:eastAsia="Times New Roman" w:cs="Arial"/>
          <w:color w:val="000000" w:themeColor="text1"/>
          <w:szCs w:val="20"/>
        </w:rPr>
        <w:t xml:space="preserve">There are compensation funds </w:t>
      </w:r>
      <w:r w:rsidR="000100B5">
        <w:rPr>
          <w:rFonts w:eastAsia="Times New Roman" w:cs="Arial"/>
          <w:color w:val="000000" w:themeColor="text1"/>
          <w:szCs w:val="20"/>
        </w:rPr>
        <w:t xml:space="preserve">designated for certain types of workers </w:t>
      </w:r>
      <w:r w:rsidR="00220278">
        <w:rPr>
          <w:rFonts w:eastAsia="Times New Roman" w:cs="Arial"/>
          <w:color w:val="000000" w:themeColor="text1"/>
          <w:szCs w:val="20"/>
        </w:rPr>
        <w:t xml:space="preserve">or for injuries that occurred </w:t>
      </w:r>
      <w:r w:rsidR="00443FB3">
        <w:rPr>
          <w:rFonts w:eastAsia="Times New Roman" w:cs="Arial"/>
          <w:color w:val="000000" w:themeColor="text1"/>
          <w:szCs w:val="20"/>
        </w:rPr>
        <w:t>in specific emergencies.</w:t>
      </w:r>
      <w:r w:rsidR="00834121">
        <w:rPr>
          <w:rFonts w:eastAsia="Times New Roman" w:cs="Arial"/>
          <w:color w:val="000000" w:themeColor="text1"/>
          <w:szCs w:val="20"/>
        </w:rPr>
        <w:t xml:space="preserve"> </w:t>
      </w:r>
      <w:r w:rsidR="00336ABA">
        <w:rPr>
          <w:rFonts w:eastAsia="Times New Roman" w:cs="Arial"/>
          <w:color w:val="000000" w:themeColor="text1"/>
          <w:szCs w:val="20"/>
        </w:rPr>
        <w:t xml:space="preserve">Individuals may </w:t>
      </w:r>
      <w:r w:rsidR="00D2699F">
        <w:rPr>
          <w:rFonts w:eastAsia="Times New Roman" w:cs="Arial"/>
          <w:color w:val="000000" w:themeColor="text1"/>
          <w:szCs w:val="20"/>
        </w:rPr>
        <w:t xml:space="preserve">also </w:t>
      </w:r>
      <w:r w:rsidR="00C57780">
        <w:rPr>
          <w:rFonts w:eastAsia="Times New Roman" w:cs="Arial"/>
          <w:color w:val="000000" w:themeColor="text1"/>
          <w:szCs w:val="20"/>
        </w:rPr>
        <w:t>be able to access sick leave or disability insurance</w:t>
      </w:r>
      <w:r w:rsidR="00CF79A7">
        <w:rPr>
          <w:rFonts w:eastAsia="Times New Roman" w:cs="Arial"/>
          <w:color w:val="000000" w:themeColor="text1"/>
          <w:szCs w:val="20"/>
        </w:rPr>
        <w:t xml:space="preserve">. </w:t>
      </w:r>
    </w:p>
    <w:p w14:paraId="3858D625" w14:textId="77777777" w:rsidR="00F67303" w:rsidRDefault="00F67303" w:rsidP="003A7E56">
      <w:pPr>
        <w:spacing w:line="360" w:lineRule="auto"/>
        <w:rPr>
          <w:rFonts w:eastAsia="Times New Roman" w:cs="Arial"/>
          <w:color w:val="000000" w:themeColor="text1"/>
          <w:szCs w:val="20"/>
        </w:rPr>
      </w:pPr>
    </w:p>
    <w:p w14:paraId="7F97B916" w14:textId="6C73FA5E" w:rsidR="003A7E56" w:rsidRPr="001052CC" w:rsidRDefault="003A7E56" w:rsidP="003A7E56">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This </w:t>
      </w:r>
      <w:r>
        <w:rPr>
          <w:rFonts w:eastAsia="Times New Roman" w:cs="Arial"/>
          <w:color w:val="000000" w:themeColor="text1"/>
          <w:szCs w:val="20"/>
        </w:rPr>
        <w:t>document</w:t>
      </w:r>
      <w:r w:rsidRPr="0099702B">
        <w:rPr>
          <w:rFonts w:eastAsia="Times New Roman" w:cs="Arial"/>
          <w:color w:val="000000" w:themeColor="text1"/>
          <w:szCs w:val="20"/>
        </w:rPr>
        <w:t xml:space="preserve"> reviews</w:t>
      </w:r>
      <w:r w:rsidR="00D2699F">
        <w:rPr>
          <w:rFonts w:eastAsia="Times New Roman" w:cs="Arial"/>
          <w:color w:val="000000" w:themeColor="text1"/>
          <w:szCs w:val="20"/>
        </w:rPr>
        <w:t xml:space="preserve"> these various mechanisms for </w:t>
      </w:r>
      <w:r w:rsidR="00DC27E8">
        <w:rPr>
          <w:rFonts w:eastAsia="Times New Roman" w:cs="Arial"/>
          <w:color w:val="000000" w:themeColor="text1"/>
          <w:szCs w:val="20"/>
        </w:rPr>
        <w:t xml:space="preserve">compensation and benefits. </w:t>
      </w:r>
      <w:r w:rsidRPr="00DB1BB0">
        <w:rPr>
          <w:rFonts w:eastAsia="Times New Roman" w:cs="Arial"/>
          <w:color w:val="3C3030"/>
        </w:rPr>
        <w:t xml:space="preserve">It should be reviewed in conjunction with two other documents in this series: </w:t>
      </w:r>
      <w:r>
        <w:rPr>
          <w:rFonts w:eastAsia="Times New Roman" w:cs="Arial"/>
          <w:color w:val="3C3030"/>
        </w:rPr>
        <w:t xml:space="preserve">Liability </w:t>
      </w:r>
      <w:r w:rsidRPr="00DB1BB0">
        <w:rPr>
          <w:rFonts w:eastAsia="Times New Roman" w:cs="Arial"/>
          <w:color w:val="3C3030"/>
        </w:rPr>
        <w:t xml:space="preserve">in </w:t>
      </w:r>
      <w:r>
        <w:rPr>
          <w:rFonts w:eastAsia="Times New Roman" w:cs="Arial"/>
          <w:color w:val="3C3030"/>
        </w:rPr>
        <w:t>Emergency Preparedness and Response, a</w:t>
      </w:r>
      <w:r w:rsidRPr="00DB1BB0">
        <w:rPr>
          <w:rFonts w:eastAsia="Times New Roman" w:cs="Arial"/>
          <w:color w:val="3C3030"/>
        </w:rPr>
        <w:t xml:space="preserve">nd </w:t>
      </w:r>
      <w:r w:rsidR="00750253">
        <w:rPr>
          <w:rFonts w:eastAsia="Times New Roman" w:cs="Arial"/>
          <w:color w:val="3C3030"/>
        </w:rPr>
        <w:t>Immunity</w:t>
      </w:r>
      <w:r w:rsidR="00BD1796">
        <w:rPr>
          <w:rFonts w:eastAsia="Times New Roman" w:cs="Arial"/>
          <w:color w:val="3C3030"/>
        </w:rPr>
        <w:t xml:space="preserve"> Issues</w:t>
      </w:r>
      <w:r w:rsidRPr="00DB1BB0">
        <w:rPr>
          <w:rFonts w:eastAsia="Times New Roman" w:cs="Arial"/>
          <w:color w:val="3C3030"/>
        </w:rPr>
        <w:t xml:space="preserve"> in </w:t>
      </w:r>
      <w:r>
        <w:rPr>
          <w:rFonts w:eastAsia="Times New Roman" w:cs="Arial"/>
          <w:color w:val="3C3030"/>
        </w:rPr>
        <w:t>Emergency Preparedness and Response</w:t>
      </w:r>
      <w:r w:rsidRPr="00DB1BB0">
        <w:rPr>
          <w:rFonts w:eastAsia="Times New Roman" w:cs="Arial"/>
          <w:color w:val="3C3030"/>
        </w:rPr>
        <w:t xml:space="preserve">. These documents address the potential theories of liability and </w:t>
      </w:r>
      <w:r w:rsidR="00706301">
        <w:rPr>
          <w:rFonts w:eastAsia="Times New Roman" w:cs="Arial"/>
          <w:color w:val="3C3030"/>
        </w:rPr>
        <w:t>p</w:t>
      </w:r>
      <w:r w:rsidR="00EE7FFB">
        <w:rPr>
          <w:rFonts w:eastAsia="Times New Roman" w:cs="Arial"/>
          <w:color w:val="3C3030"/>
        </w:rPr>
        <w:t>ossible immunity and other legal defenses to th</w:t>
      </w:r>
      <w:r w:rsidR="00612EF7">
        <w:rPr>
          <w:rFonts w:eastAsia="Times New Roman" w:cs="Arial"/>
          <w:color w:val="3C3030"/>
        </w:rPr>
        <w:t>ose</w:t>
      </w:r>
      <w:r w:rsidR="00EE7FFB">
        <w:rPr>
          <w:rFonts w:eastAsia="Times New Roman" w:cs="Arial"/>
          <w:color w:val="3C3030"/>
        </w:rPr>
        <w:t xml:space="preserve"> potential liabilities</w:t>
      </w:r>
      <w:r w:rsidRPr="00DB1BB0">
        <w:rPr>
          <w:rFonts w:eastAsia="Times New Roman" w:cs="Arial"/>
          <w:color w:val="3C3030"/>
        </w:rPr>
        <w:t xml:space="preserve">. Finally, this document is intended to provide general information on the topics presented; it is not intended to be a comprehensive treatment of the law or to provide legal advice. </w:t>
      </w:r>
      <w:r w:rsidRPr="002605BF">
        <w:rPr>
          <w:rFonts w:eastAsia="Times New Roman" w:cs="Arial"/>
          <w:color w:val="3C3030"/>
        </w:rPr>
        <w:t xml:space="preserve">The laws surrounding </w:t>
      </w:r>
      <w:r w:rsidR="009F02DA" w:rsidRPr="002605BF">
        <w:rPr>
          <w:rFonts w:eastAsia="Times New Roman" w:cs="Arial"/>
          <w:color w:val="3C3030"/>
        </w:rPr>
        <w:t>workers’ compensation</w:t>
      </w:r>
      <w:r w:rsidRPr="002605BF">
        <w:rPr>
          <w:rFonts w:eastAsia="Times New Roman" w:cs="Arial"/>
          <w:color w:val="3C3030"/>
        </w:rPr>
        <w:t xml:space="preserve"> are a mix of common law decisions (represented in the case law of individual</w:t>
      </w:r>
      <w:r w:rsidRPr="00DB1BB0">
        <w:rPr>
          <w:rFonts w:eastAsia="Times New Roman" w:cs="Arial"/>
          <w:color w:val="3C3030"/>
        </w:rPr>
        <w:t xml:space="preserve"> jurisdictions), statutory law, and constitutional law in individual states, tribes, and territories (STT), as well as federal laws that may preempt STT laws. As such, readers should examine the laws in their own jurisdictions to determine how the liability </w:t>
      </w:r>
      <w:r>
        <w:rPr>
          <w:rFonts w:eastAsia="Times New Roman" w:cs="Arial"/>
          <w:color w:val="3C3030"/>
        </w:rPr>
        <w:t xml:space="preserve">protections </w:t>
      </w:r>
      <w:r w:rsidRPr="00DB1BB0">
        <w:rPr>
          <w:rFonts w:eastAsia="Times New Roman" w:cs="Arial"/>
          <w:color w:val="3C3030"/>
        </w:rPr>
        <w:t>discussed here would be addressed in their specific jurisdictions.</w:t>
      </w:r>
    </w:p>
    <w:p w14:paraId="239AAAD0" w14:textId="77777777" w:rsidR="003A7E56" w:rsidRPr="00B80809" w:rsidRDefault="003A7E56" w:rsidP="00B80809">
      <w:pPr>
        <w:spacing w:line="360" w:lineRule="auto"/>
        <w:rPr>
          <w:rFonts w:eastAsia="Times New Roman" w:cs="Arial"/>
          <w:b/>
          <w:bCs/>
          <w:color w:val="3C3030"/>
          <w:sz w:val="24"/>
          <w:szCs w:val="24"/>
        </w:rPr>
      </w:pPr>
    </w:p>
    <w:p w14:paraId="4A269C66"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 and Disability Issues</w:t>
      </w:r>
    </w:p>
    <w:p w14:paraId="2AAF98FD" w14:textId="49BEF4E6" w:rsidR="00B80809" w:rsidRDefault="0099702B" w:rsidP="00B80809">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Government employees, contractors, and volunteers may be injured and disabled </w:t>
      </w:r>
      <w:r w:rsidR="00E32BBE">
        <w:rPr>
          <w:rFonts w:eastAsia="Times New Roman" w:cs="Arial"/>
          <w:color w:val="000000" w:themeColor="text1"/>
          <w:szCs w:val="20"/>
        </w:rPr>
        <w:t xml:space="preserve">while undertaking emergency preparedness and response activities. </w:t>
      </w:r>
      <w:r w:rsidRPr="0099702B">
        <w:rPr>
          <w:rFonts w:eastAsia="Times New Roman" w:cs="Arial"/>
          <w:color w:val="000000" w:themeColor="text1"/>
          <w:szCs w:val="20"/>
        </w:rPr>
        <w:t>A person’s ability to obtain workers’ compensation for injuries or lost wages is a significant question for those responding to emergency events. In deciding the issue, a number of factors can affect the analysis such as the parameters of a state’s workers’ compensation laws, the person’s status while responding (employee or volunteer), the systems or programs under which a person deploys, and events surrounding the injury.</w:t>
      </w:r>
      <w:r w:rsidR="00BD23A6">
        <w:rPr>
          <w:rStyle w:val="FootnoteReference"/>
          <w:rFonts w:eastAsia="Times New Roman" w:cs="Arial"/>
          <w:color w:val="000000" w:themeColor="text1"/>
          <w:szCs w:val="20"/>
        </w:rPr>
        <w:footnoteReference w:id="1"/>
      </w:r>
      <w:r w:rsidRPr="0099702B">
        <w:rPr>
          <w:rFonts w:eastAsia="Times New Roman" w:cs="Arial"/>
          <w:color w:val="000000" w:themeColor="text1"/>
          <w:szCs w:val="20"/>
        </w:rPr>
        <w:t xml:space="preserve"> Sick leave and disability </w:t>
      </w:r>
      <w:r w:rsidRPr="0099702B">
        <w:rPr>
          <w:rFonts w:eastAsia="Times New Roman" w:cs="Arial"/>
          <w:color w:val="000000" w:themeColor="text1"/>
          <w:szCs w:val="20"/>
        </w:rPr>
        <w:lastRenderedPageBreak/>
        <w:t>insurance may provide an additional or alternative source of compensation for persons involved in emergency response activities, although not all persons may have access to these mechanisms.</w:t>
      </w:r>
    </w:p>
    <w:p w14:paraId="7448D7B4" w14:textId="77777777" w:rsidR="004D5D79" w:rsidRDefault="004D5D79" w:rsidP="00B80809">
      <w:pPr>
        <w:spacing w:line="360" w:lineRule="auto"/>
        <w:rPr>
          <w:rFonts w:eastAsia="Times New Roman" w:cs="Arial"/>
          <w:b/>
          <w:bCs/>
          <w:color w:val="3C3030"/>
          <w:sz w:val="24"/>
          <w:szCs w:val="24"/>
        </w:rPr>
      </w:pPr>
    </w:p>
    <w:p w14:paraId="12A960D5"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w:t>
      </w:r>
    </w:p>
    <w:p w14:paraId="5BE3D20C" w14:textId="163692D3" w:rsidR="00DC33D6" w:rsidRDefault="0099702B" w:rsidP="00B80809">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Workers’ compensation programs provide benefits to </w:t>
      </w:r>
      <w:r w:rsidR="00381B3C">
        <w:rPr>
          <w:rFonts w:eastAsia="Times New Roman" w:cs="Arial"/>
          <w:color w:val="000000" w:themeColor="text1"/>
          <w:szCs w:val="20"/>
        </w:rPr>
        <w:t>persons</w:t>
      </w:r>
      <w:r w:rsidRPr="0099702B">
        <w:rPr>
          <w:rFonts w:eastAsia="Times New Roman" w:cs="Arial"/>
          <w:color w:val="000000" w:themeColor="text1"/>
          <w:szCs w:val="20"/>
        </w:rPr>
        <w:t xml:space="preserve"> who are injured </w:t>
      </w:r>
      <w:r w:rsidR="009870DC">
        <w:rPr>
          <w:rFonts w:eastAsia="Times New Roman" w:cs="Arial"/>
          <w:color w:val="000000" w:themeColor="text1"/>
          <w:szCs w:val="20"/>
        </w:rPr>
        <w:t>in the</w:t>
      </w:r>
      <w:r w:rsidRPr="0099702B">
        <w:rPr>
          <w:rFonts w:eastAsia="Times New Roman" w:cs="Arial"/>
          <w:color w:val="000000" w:themeColor="text1"/>
          <w:szCs w:val="20"/>
        </w:rPr>
        <w:t xml:space="preserve"> course of their employment. Workers’ compensation laws are enacted and administered by states. Every state, the District of Columbia, and the territories have workers’ compensation </w:t>
      </w:r>
      <w:r w:rsidR="00230013">
        <w:rPr>
          <w:rFonts w:eastAsia="Times New Roman" w:cs="Arial"/>
          <w:color w:val="000000" w:themeColor="text1"/>
          <w:szCs w:val="20"/>
        </w:rPr>
        <w:t>requirements</w:t>
      </w:r>
      <w:r w:rsidRPr="0099702B">
        <w:rPr>
          <w:rFonts w:eastAsia="Times New Roman" w:cs="Arial"/>
          <w:color w:val="000000" w:themeColor="text1"/>
          <w:szCs w:val="20"/>
        </w:rPr>
        <w:t>.</w:t>
      </w:r>
      <w:r w:rsidR="007D3F25">
        <w:rPr>
          <w:rStyle w:val="FootnoteReference"/>
          <w:rFonts w:eastAsia="Times New Roman" w:cs="Arial"/>
          <w:color w:val="000000" w:themeColor="text1"/>
          <w:szCs w:val="20"/>
        </w:rPr>
        <w:footnoteReference w:id="2"/>
      </w:r>
      <w:r w:rsidRPr="0099702B">
        <w:rPr>
          <w:rFonts w:eastAsia="Times New Roman" w:cs="Arial"/>
          <w:color w:val="000000" w:themeColor="text1"/>
          <w:szCs w:val="20"/>
        </w:rPr>
        <w:t xml:space="preserve"> Each </w:t>
      </w:r>
      <w:r w:rsidR="00230013">
        <w:rPr>
          <w:rFonts w:eastAsia="Times New Roman" w:cs="Arial"/>
          <w:color w:val="000000" w:themeColor="text1"/>
          <w:szCs w:val="20"/>
        </w:rPr>
        <w:t>jurisdiction</w:t>
      </w:r>
      <w:r w:rsidR="00734736">
        <w:rPr>
          <w:rFonts w:eastAsia="Times New Roman" w:cs="Arial"/>
          <w:color w:val="000000" w:themeColor="text1"/>
          <w:szCs w:val="20"/>
        </w:rPr>
        <w:t xml:space="preserve">’s </w:t>
      </w:r>
      <w:r w:rsidRPr="0099702B">
        <w:rPr>
          <w:rFonts w:eastAsia="Times New Roman" w:cs="Arial"/>
          <w:color w:val="000000" w:themeColor="text1"/>
          <w:szCs w:val="20"/>
        </w:rPr>
        <w:t xml:space="preserve">program is unique and the requirements for coverage and the types and amounts of benefits vary from state to state. </w:t>
      </w:r>
      <w:r w:rsidR="00E35ED7">
        <w:rPr>
          <w:rFonts w:eastAsia="Times New Roman" w:cs="Arial"/>
          <w:color w:val="000000" w:themeColor="text1"/>
          <w:szCs w:val="20"/>
        </w:rPr>
        <w:t>When a person responds to an emergency on tribal land, state workers’ compensation law</w:t>
      </w:r>
      <w:r w:rsidR="002A58EC">
        <w:rPr>
          <w:rFonts w:eastAsia="Times New Roman" w:cs="Arial"/>
          <w:color w:val="000000" w:themeColor="text1"/>
          <w:szCs w:val="20"/>
        </w:rPr>
        <w:t>s</w:t>
      </w:r>
      <w:r w:rsidR="00E35ED7">
        <w:rPr>
          <w:rFonts w:eastAsia="Times New Roman" w:cs="Arial"/>
          <w:color w:val="000000" w:themeColor="text1"/>
          <w:szCs w:val="20"/>
        </w:rPr>
        <w:t xml:space="preserve"> generally will not apply if the responder is injured unless the tribal nation has elected to follow state workers</w:t>
      </w:r>
      <w:r w:rsidR="005461E2">
        <w:rPr>
          <w:rFonts w:eastAsia="Times New Roman" w:cs="Arial"/>
          <w:color w:val="000000" w:themeColor="text1"/>
          <w:szCs w:val="20"/>
        </w:rPr>
        <w:t>’</w:t>
      </w:r>
      <w:r w:rsidR="00E35ED7">
        <w:rPr>
          <w:rFonts w:eastAsia="Times New Roman" w:cs="Arial"/>
          <w:color w:val="000000" w:themeColor="text1"/>
          <w:szCs w:val="20"/>
        </w:rPr>
        <w:t xml:space="preserve"> compensation statutes. With few exceptions, tribes are exempt from providing workers’ compensation; however, some tribes do have workers’ compensation laws that may or may not provide protection for volunteers.</w:t>
      </w:r>
    </w:p>
    <w:p w14:paraId="2375D4DF" w14:textId="77777777" w:rsidR="00DC33D6" w:rsidRDefault="00DC33D6" w:rsidP="00B80809">
      <w:pPr>
        <w:spacing w:line="360" w:lineRule="auto"/>
        <w:rPr>
          <w:rFonts w:eastAsia="Times New Roman" w:cs="Arial"/>
          <w:color w:val="000000" w:themeColor="text1"/>
          <w:szCs w:val="20"/>
        </w:rPr>
      </w:pPr>
    </w:p>
    <w:p w14:paraId="03A12F3D" w14:textId="1C09239A"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Although state workers’ compensation programs cover </w:t>
      </w:r>
      <w:r w:rsidR="006852E9" w:rsidRPr="0099702B">
        <w:rPr>
          <w:rFonts w:eastAsia="Times New Roman" w:cs="Arial"/>
          <w:color w:val="000000" w:themeColor="text1"/>
          <w:szCs w:val="20"/>
        </w:rPr>
        <w:t>many</w:t>
      </w:r>
      <w:r w:rsidRPr="0099702B">
        <w:rPr>
          <w:rFonts w:eastAsia="Times New Roman" w:cs="Arial"/>
          <w:color w:val="000000" w:themeColor="text1"/>
          <w:szCs w:val="20"/>
        </w:rPr>
        <w:t xml:space="preserve"> workers, certain 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government employees. Some of these groups are provided coverage though other mechanisms such disability insurance that is provided by an employer as a full or partial benefit or negotiated through union agreements.</w:t>
      </w:r>
    </w:p>
    <w:p w14:paraId="185C569E" w14:textId="77777777" w:rsidR="00B80809" w:rsidRDefault="00B80809" w:rsidP="00B80809">
      <w:pPr>
        <w:spacing w:line="360" w:lineRule="auto"/>
        <w:rPr>
          <w:rFonts w:eastAsia="Times New Roman" w:cs="Arial"/>
          <w:b/>
          <w:bCs/>
          <w:color w:val="3C3030"/>
          <w:sz w:val="24"/>
          <w:szCs w:val="24"/>
        </w:rPr>
      </w:pPr>
    </w:p>
    <w:p w14:paraId="5B090EE6" w14:textId="29B4BAB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Before the advent of workers’ compensation laws, workers had to file tort claims against their employers in court to recover for </w:t>
      </w:r>
      <w:r w:rsidRPr="0099702B">
        <w:rPr>
          <w:rFonts w:eastAsia="Times New Roman" w:cs="Arial"/>
          <w:color w:val="000000" w:themeColor="text1"/>
          <w:szCs w:val="20"/>
        </w:rPr>
        <w:lastRenderedPageBreak/>
        <w:t>injuries received on the job.</w:t>
      </w:r>
      <w:r w:rsidR="00FB549F">
        <w:rPr>
          <w:rStyle w:val="FootnoteReference"/>
          <w:rFonts w:eastAsia="Times New Roman" w:cs="Arial"/>
          <w:color w:val="000000" w:themeColor="text1"/>
          <w:szCs w:val="20"/>
        </w:rPr>
        <w:footnoteReference w:id="3"/>
      </w:r>
      <w:r w:rsidRPr="0099702B">
        <w:rPr>
          <w:rFonts w:eastAsia="Times New Roman" w:cs="Arial"/>
          <w:color w:val="000000" w:themeColor="text1"/>
          <w:szCs w:val="20"/>
        </w:rPr>
        <w:t xml:space="preserve"> The outcome of litigation was uncertain for workers, who could lose, and for employers, who could be subject to large judgments. Workers’ compensation laws </w:t>
      </w:r>
      <w:r w:rsidR="00663F6E" w:rsidRPr="0099702B">
        <w:rPr>
          <w:rFonts w:eastAsia="Times New Roman" w:cs="Arial"/>
          <w:color w:val="000000" w:themeColor="text1"/>
          <w:szCs w:val="20"/>
        </w:rPr>
        <w:t>were</w:t>
      </w:r>
      <w:r w:rsidRPr="0099702B">
        <w:rPr>
          <w:rFonts w:eastAsia="Times New Roman" w:cs="Arial"/>
          <w:color w:val="000000" w:themeColor="text1"/>
          <w:szCs w:val="20"/>
        </w:rPr>
        <w:t xml:space="preserve"> </w:t>
      </w:r>
      <w:r w:rsidR="00663F6E">
        <w:rPr>
          <w:rFonts w:eastAsia="Times New Roman" w:cs="Arial"/>
          <w:color w:val="000000" w:themeColor="text1"/>
          <w:szCs w:val="20"/>
        </w:rPr>
        <w:t xml:space="preserve">viewed </w:t>
      </w:r>
      <w:proofErr w:type="gramStart"/>
      <w:r w:rsidR="00663F6E">
        <w:rPr>
          <w:rFonts w:eastAsia="Times New Roman" w:cs="Arial"/>
          <w:color w:val="000000" w:themeColor="text1"/>
          <w:szCs w:val="20"/>
        </w:rPr>
        <w:t xml:space="preserve">as </w:t>
      </w:r>
      <w:r w:rsidRPr="0099702B">
        <w:rPr>
          <w:rFonts w:eastAsia="Times New Roman" w:cs="Arial"/>
          <w:color w:val="000000" w:themeColor="text1"/>
          <w:szCs w:val="20"/>
        </w:rPr>
        <w:t>a way to</w:t>
      </w:r>
      <w:proofErr w:type="gramEnd"/>
      <w:r w:rsidRPr="0099702B">
        <w:rPr>
          <w:rFonts w:eastAsia="Times New Roman" w:cs="Arial"/>
          <w:color w:val="000000" w:themeColor="text1"/>
          <w:szCs w:val="20"/>
        </w:rPr>
        <w:t xml:space="preserve"> make the outcome of incidents more predictable for all parties: workers’ benefits would be paid without having to prove fault by the employer and the scope of potential liability for employers would be more clearly defined. State workers’ compensation systems became the exclusive remedy for injured workers. State programs are administered by various regulatory bodies in different ways, including departments or divisions of labor, insurance departments or commissions, or free-standing commissions or special boards. Workers’ compensation is an important and significant source of insurance in the United States; only Social Security Disability Insurance and Medicare surpass state workers’ compensation programs as a source of support for disabled workers.</w:t>
      </w:r>
      <w:r w:rsidR="00272593">
        <w:rPr>
          <w:rStyle w:val="FootnoteReference"/>
          <w:rFonts w:eastAsia="Times New Roman" w:cs="Arial"/>
          <w:color w:val="000000" w:themeColor="text1"/>
          <w:szCs w:val="20"/>
        </w:rPr>
        <w:footnoteReference w:id="4"/>
      </w:r>
    </w:p>
    <w:p w14:paraId="474A88E3" w14:textId="49066BF0" w:rsidR="00C91B48" w:rsidRDefault="00C91B48" w:rsidP="00EB12E6">
      <w:pPr>
        <w:spacing w:line="360" w:lineRule="auto"/>
        <w:rPr>
          <w:rFonts w:eastAsia="Times New Roman" w:cs="Arial"/>
          <w:b/>
          <w:bCs/>
          <w:color w:val="3C3030"/>
          <w:sz w:val="24"/>
          <w:szCs w:val="24"/>
        </w:rPr>
      </w:pPr>
    </w:p>
    <w:p w14:paraId="225D33C7" w14:textId="77777777" w:rsidR="002605BF" w:rsidRPr="00954ECC" w:rsidRDefault="002605BF" w:rsidP="002605BF">
      <w:pPr>
        <w:spacing w:line="360" w:lineRule="auto"/>
        <w:rPr>
          <w:rFonts w:eastAsia="Times New Roman" w:cs="Arial"/>
          <w:b/>
          <w:color w:val="3C3030"/>
          <w:szCs w:val="24"/>
        </w:rPr>
      </w:pPr>
      <w:r w:rsidRPr="00954ECC">
        <w:rPr>
          <w:rFonts w:eastAsia="Times New Roman" w:cs="Arial"/>
          <w:b/>
          <w:color w:val="3C3030"/>
          <w:szCs w:val="24"/>
        </w:rPr>
        <w:t>Mutual Aid Agreements</w:t>
      </w:r>
    </w:p>
    <w:p w14:paraId="6C982412" w14:textId="77777777" w:rsidR="002605BF" w:rsidRDefault="002605BF" w:rsidP="002605BF">
      <w:pPr>
        <w:pStyle w:val="para15"/>
        <w:rPr>
          <w:rFonts w:eastAsia="Times New Roman" w:cstheme="minorHAnsi"/>
        </w:rPr>
      </w:pPr>
      <w:r>
        <w:rPr>
          <w:rFonts w:eastAsia="Times New Roman" w:cs="Arial"/>
          <w:bCs/>
          <w:color w:val="3C3030"/>
          <w:szCs w:val="24"/>
        </w:rPr>
        <w:t xml:space="preserve">Mutual aid agreements can also address the terms of workers’ compensation and benefits for employees and volunteers during emergency preparedness and response activities. For example, the Emergency Management Assistance Compact (EMAC) </w:t>
      </w:r>
      <w:r>
        <w:t xml:space="preserve">defines what costs a jurisdiction that </w:t>
      </w:r>
      <w:proofErr w:type="gramStart"/>
      <w:r>
        <w:t>provides assistance</w:t>
      </w:r>
      <w:proofErr w:type="gramEnd"/>
      <w:r>
        <w:t xml:space="preserve"> may seek reimbursement for from the jurisdiction that requested the aid. Generally, any expense—except worker’s compensation costs and death benefits—incurred while performing an EMAC mission is reimbursable if the expenditure is reasonable and documented, related to the EMAC mission, and was incurred during the conduct of that mission.</w:t>
      </w:r>
      <w:r>
        <w:rPr>
          <w:rStyle w:val="FootnoteReference"/>
        </w:rPr>
        <w:footnoteReference w:id="5"/>
      </w:r>
      <w:r>
        <w:t xml:space="preserve"> </w:t>
      </w:r>
      <w:r>
        <w:rPr>
          <w:rFonts w:eastAsia="Times New Roman" w:cstheme="minorHAnsi"/>
        </w:rPr>
        <w:t>EMAC stipulates that each jurisdiction is responsible for the payment of compensation and death benefits for members of their own emergency forces in the same manner and terms as if the injury or death were sustained in the providing/home jurisdiction.</w:t>
      </w:r>
      <w:r>
        <w:rPr>
          <w:rStyle w:val="FootnoteReference"/>
          <w:rFonts w:eastAsia="Times New Roman" w:cstheme="minorHAnsi"/>
        </w:rPr>
        <w:footnoteReference w:id="6"/>
      </w:r>
      <w:r>
        <w:rPr>
          <w:rFonts w:eastAsia="Times New Roman" w:cstheme="minorHAnsi"/>
        </w:rPr>
        <w:t xml:space="preserve"> Thus, if an emergency responder sent from a providing jurisdiction is injured or killed while in the requesting jurisdiction, the emergency responder/estate must seek compensation from the jurisdiction that provided the assistance. </w:t>
      </w:r>
    </w:p>
    <w:p w14:paraId="1667ACCF" w14:textId="77777777" w:rsidR="002605BF" w:rsidRDefault="002605BF" w:rsidP="00EB12E6">
      <w:pPr>
        <w:spacing w:line="360" w:lineRule="auto"/>
        <w:rPr>
          <w:rFonts w:eastAsia="Times New Roman" w:cs="Arial"/>
          <w:b/>
          <w:bCs/>
          <w:color w:val="3C3030"/>
          <w:sz w:val="24"/>
          <w:szCs w:val="24"/>
        </w:rPr>
      </w:pPr>
    </w:p>
    <w:p w14:paraId="4DD63A2A"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Sick Leave and Disability Insurance</w:t>
      </w:r>
    </w:p>
    <w:p w14:paraId="6B463FCD" w14:textId="477B059C" w:rsidR="0099702B" w:rsidRDefault="0099702B" w:rsidP="00B80809">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them or fully qualify them for a state’s workers’ compensation program. The outcome </w:t>
      </w:r>
      <w:r w:rsidR="00AF38E4" w:rsidRPr="0099702B">
        <w:rPr>
          <w:rFonts w:eastAsia="Times New Roman" w:cs="Arial"/>
          <w:color w:val="000000" w:themeColor="text1"/>
          <w:szCs w:val="20"/>
        </w:rPr>
        <w:t>in each</w:t>
      </w:r>
      <w:r w:rsidRPr="0099702B">
        <w:rPr>
          <w:rFonts w:eastAsia="Times New Roman" w:cs="Arial"/>
          <w:color w:val="000000" w:themeColor="text1"/>
          <w:szCs w:val="20"/>
        </w:rPr>
        <w:t xml:space="preserve"> situation depends on the particulars of a state’s laws, the parameters of a disability policy, and the activities and role of the person while participating in the emergency response.</w:t>
      </w:r>
    </w:p>
    <w:p w14:paraId="010A84FA" w14:textId="11972DCE"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Sick Leave—</w:t>
      </w:r>
      <w:r w:rsidRPr="00F557C7">
        <w:rPr>
          <w:rFonts w:eastAsia="Times New Roman" w:cs="Arial"/>
          <w:color w:val="000000" w:themeColor="text1"/>
          <w:szCs w:val="20"/>
        </w:rPr>
        <w:t>If a person has employer-provided sick leave, it typically covers the total amount of their wages for a few weeks. About a third of private sector employees are not provided paid sick leave.</w:t>
      </w:r>
    </w:p>
    <w:p w14:paraId="6FC504C9" w14:textId="77777777" w:rsidR="00F557C7" w:rsidRPr="00F557C7" w:rsidRDefault="00F557C7" w:rsidP="00EB12E6">
      <w:pPr>
        <w:pStyle w:val="ListParagraph"/>
        <w:spacing w:line="360" w:lineRule="auto"/>
        <w:ind w:left="360"/>
        <w:textAlignment w:val="baseline"/>
        <w:rPr>
          <w:rFonts w:eastAsia="Times New Roman" w:cs="Arial"/>
          <w:color w:val="000000" w:themeColor="text1"/>
          <w:szCs w:val="20"/>
        </w:rPr>
      </w:pPr>
    </w:p>
    <w:p w14:paraId="0B9C14B5" w14:textId="745581C3"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Short-Term Disability—</w:t>
      </w:r>
      <w:r w:rsidRPr="00F557C7">
        <w:rPr>
          <w:rFonts w:eastAsia="Times New Roman" w:cs="Arial"/>
          <w:color w:val="000000" w:themeColor="text1"/>
          <w:szCs w:val="20"/>
        </w:rPr>
        <w:t>Short-term disability benefits or disability insurance provides coverage for the period after sick leave benefits are exhausted and until long-term disability becomes available, if needed. Short-term disability benefits/insurance generally covers up to at least half of a worker’s wages for up to six months. Private short-term disability insurance covers more than a third of private sector employees.</w:t>
      </w:r>
    </w:p>
    <w:p w14:paraId="0F6001AA" w14:textId="77777777" w:rsidR="00F557C7" w:rsidRPr="00F557C7" w:rsidRDefault="00F557C7" w:rsidP="00EB12E6">
      <w:pPr>
        <w:spacing w:line="360" w:lineRule="auto"/>
        <w:textAlignment w:val="baseline"/>
        <w:rPr>
          <w:rFonts w:eastAsia="Times New Roman" w:cs="Arial"/>
          <w:color w:val="000000" w:themeColor="text1"/>
          <w:szCs w:val="20"/>
        </w:rPr>
      </w:pPr>
    </w:p>
    <w:p w14:paraId="31EC2A1E" w14:textId="409CA6B7" w:rsidR="00B80809" w:rsidRDefault="0099702B" w:rsidP="00B80809">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Long-Term Disability—</w:t>
      </w:r>
      <w:r w:rsidRPr="00F557C7">
        <w:rPr>
          <w:rFonts w:eastAsia="Times New Roman" w:cs="Arial"/>
          <w:color w:val="000000" w:themeColor="text1"/>
          <w:szCs w:val="20"/>
        </w:rPr>
        <w:t xml:space="preserve">Long-term disability for persons deemed permanently unable to work usually begins after a waiting period of up to six months or short-term disability benefits end. Long-term disability insurance generally replaces at least half or more of a disabled worker’s wages until the person reaches retirement age. Private long-term disability insurance covers about a third of private sector employees; it is </w:t>
      </w:r>
      <w:r w:rsidR="00502CB1" w:rsidRPr="00F557C7">
        <w:rPr>
          <w:rFonts w:eastAsia="Times New Roman" w:cs="Arial"/>
          <w:color w:val="000000" w:themeColor="text1"/>
          <w:szCs w:val="20"/>
        </w:rPr>
        <w:t>most</w:t>
      </w:r>
      <w:r w:rsidR="00502CB1">
        <w:rPr>
          <w:rFonts w:eastAsia="Times New Roman" w:cs="Arial"/>
          <w:color w:val="000000" w:themeColor="text1"/>
          <w:szCs w:val="20"/>
        </w:rPr>
        <w:t>ly</w:t>
      </w:r>
      <w:r w:rsidR="00502CB1" w:rsidRPr="00F557C7">
        <w:rPr>
          <w:rFonts w:eastAsia="Times New Roman" w:cs="Arial"/>
          <w:color w:val="000000" w:themeColor="text1"/>
          <w:szCs w:val="20"/>
        </w:rPr>
        <w:t xml:space="preserve"> held</w:t>
      </w:r>
      <w:r w:rsidRPr="00F557C7">
        <w:rPr>
          <w:rFonts w:eastAsia="Times New Roman" w:cs="Arial"/>
          <w:color w:val="000000" w:themeColor="text1"/>
          <w:szCs w:val="20"/>
        </w:rPr>
        <w:t xml:space="preserve"> by professional and management-level workers. The benefit an injured worker receives is generally reduced if the person receives workers’ compensation or Social Security disability benefits.</w:t>
      </w:r>
    </w:p>
    <w:p w14:paraId="4C189BC9" w14:textId="77777777" w:rsidR="00B80809" w:rsidRPr="00B80809" w:rsidRDefault="00B80809" w:rsidP="00B80809">
      <w:pPr>
        <w:pStyle w:val="ListParagraph"/>
        <w:rPr>
          <w:rFonts w:eastAsia="Times New Roman" w:cs="Arial"/>
          <w:color w:val="000000" w:themeColor="text1"/>
          <w:szCs w:val="20"/>
        </w:rPr>
      </w:pPr>
    </w:p>
    <w:p w14:paraId="29458C0B" w14:textId="6BB1FA56" w:rsidR="0099702B" w:rsidRPr="0009694C" w:rsidRDefault="0099702B" w:rsidP="0009694C">
      <w:pPr>
        <w:spacing w:line="360" w:lineRule="auto"/>
        <w:textAlignment w:val="baseline"/>
        <w:rPr>
          <w:rFonts w:eastAsia="Times New Roman" w:cs="Arial"/>
          <w:color w:val="000000" w:themeColor="text1"/>
          <w:szCs w:val="20"/>
        </w:rPr>
      </w:pPr>
      <w:r w:rsidRPr="0009694C">
        <w:rPr>
          <w:rFonts w:eastAsia="Times New Roman" w:cs="Arial"/>
          <w:color w:val="000000" w:themeColor="text1"/>
          <w:szCs w:val="20"/>
        </w:rPr>
        <w:t>While sick leave and disability insurance provide another avenue for benefits if a volunteer or responder is unable to qualify for coverage under a state’s workers’ compensation program, not all persons have access to these additional resources unless an employer offers them or a person obtains an individual disability policy. The specifics of a disability policy dictate whether coverage is available for only work-</w:t>
      </w:r>
      <w:r w:rsidRPr="0009694C">
        <w:rPr>
          <w:rFonts w:eastAsia="Times New Roman" w:cs="Arial"/>
          <w:color w:val="000000" w:themeColor="text1"/>
          <w:szCs w:val="20"/>
        </w:rPr>
        <w:lastRenderedPageBreak/>
        <w:t>related injuries or will also cover non-work-related injuries (e.g., while volunteering during an emergency event).</w:t>
      </w:r>
    </w:p>
    <w:p w14:paraId="3051A239" w14:textId="64D65A91" w:rsidR="00F557C7" w:rsidRDefault="00F557C7" w:rsidP="00EB12E6">
      <w:pPr>
        <w:spacing w:line="360" w:lineRule="auto"/>
        <w:rPr>
          <w:rFonts w:eastAsia="Times New Roman" w:cs="Arial"/>
          <w:b/>
          <w:bCs/>
          <w:color w:val="3C3030"/>
          <w:sz w:val="24"/>
          <w:szCs w:val="24"/>
        </w:rPr>
      </w:pPr>
    </w:p>
    <w:p w14:paraId="144667FB" w14:textId="77777777" w:rsidR="002605BF" w:rsidRDefault="002605BF" w:rsidP="002605BF">
      <w:pPr>
        <w:spacing w:line="360" w:lineRule="auto"/>
        <w:rPr>
          <w:rFonts w:eastAsia="Times New Roman" w:cs="Arial"/>
          <w:b/>
          <w:bCs/>
          <w:color w:val="3C3030"/>
          <w:sz w:val="24"/>
          <w:szCs w:val="24"/>
        </w:rPr>
      </w:pPr>
      <w:r w:rsidRPr="0099702B">
        <w:rPr>
          <w:rFonts w:eastAsia="Times New Roman" w:cs="Arial"/>
          <w:b/>
          <w:bCs/>
          <w:color w:val="3C3030"/>
          <w:sz w:val="24"/>
          <w:szCs w:val="24"/>
        </w:rPr>
        <w:t>Compensation Acts and Funds</w:t>
      </w:r>
    </w:p>
    <w:p w14:paraId="6C0FB42A" w14:textId="77777777" w:rsidR="002605BF" w:rsidRPr="00B80809" w:rsidRDefault="002605BF" w:rsidP="002605BF">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There are federal and state laws that </w:t>
      </w:r>
      <w:r>
        <w:rPr>
          <w:rFonts w:eastAsia="Times New Roman" w:cs="Arial"/>
          <w:color w:val="000000" w:themeColor="text1"/>
          <w:szCs w:val="20"/>
        </w:rPr>
        <w:t>create</w:t>
      </w:r>
      <w:r w:rsidRPr="0099702B">
        <w:rPr>
          <w:rFonts w:eastAsia="Times New Roman" w:cs="Arial"/>
          <w:color w:val="000000" w:themeColor="text1"/>
          <w:szCs w:val="20"/>
        </w:rPr>
        <w:t xml:space="preserve"> funds </w:t>
      </w:r>
      <w:r>
        <w:rPr>
          <w:rFonts w:eastAsia="Times New Roman" w:cs="Arial"/>
          <w:color w:val="000000" w:themeColor="text1"/>
          <w:szCs w:val="20"/>
        </w:rPr>
        <w:t xml:space="preserve">or other mechanisms </w:t>
      </w:r>
      <w:r w:rsidRPr="0099702B">
        <w:rPr>
          <w:rFonts w:eastAsia="Times New Roman" w:cs="Arial"/>
          <w:color w:val="000000" w:themeColor="text1"/>
          <w:szCs w:val="20"/>
        </w:rPr>
        <w:t>to compensate a specific group of persons based on occupation or involvement in a specific injurious event. Examples of such programs include:</w:t>
      </w:r>
    </w:p>
    <w:p w14:paraId="317FA100" w14:textId="77777777" w:rsidR="002605BF" w:rsidRPr="003422D5" w:rsidRDefault="002605BF" w:rsidP="002605BF">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Employees’ Compensation Act (FECA)—</w:t>
      </w:r>
      <w:r w:rsidRPr="003422D5">
        <w:rPr>
          <w:rFonts w:eastAsia="Times New Roman" w:cs="Arial"/>
          <w:color w:val="000000" w:themeColor="text1"/>
          <w:szCs w:val="20"/>
        </w:rPr>
        <w:t>FECA provides workers’ compensation to civilian federal employees who are injured or killed during their duties.</w:t>
      </w:r>
      <w:r>
        <w:rPr>
          <w:rStyle w:val="FootnoteReference"/>
          <w:rFonts w:eastAsia="Times New Roman" w:cs="Arial"/>
          <w:color w:val="000000" w:themeColor="text1"/>
          <w:szCs w:val="20"/>
        </w:rPr>
        <w:footnoteReference w:id="7"/>
      </w:r>
      <w:r w:rsidRPr="003422D5">
        <w:rPr>
          <w:rFonts w:eastAsia="Times New Roman" w:cs="Arial"/>
          <w:color w:val="000000" w:themeColor="text1"/>
          <w:szCs w:val="20"/>
        </w:rPr>
        <w:t xml:space="preserve"> An injured employee, or the family of an injured employee, is entitled to coverage for medical services unless the injury was self-inflicted or occurred as a result of the employee’s own willful misconduct, including the employee’s intoxication. Volunteers who deploy under federal programs like the National Disaster Medical System are covered under FECA.</w:t>
      </w:r>
    </w:p>
    <w:p w14:paraId="08504CA7" w14:textId="77777777" w:rsidR="002605BF" w:rsidRPr="0099702B" w:rsidRDefault="002605BF" w:rsidP="002605BF">
      <w:pPr>
        <w:spacing w:line="360" w:lineRule="auto"/>
        <w:textAlignment w:val="baseline"/>
        <w:rPr>
          <w:rFonts w:eastAsia="Times New Roman" w:cs="Arial"/>
          <w:color w:val="000000" w:themeColor="text1"/>
          <w:szCs w:val="20"/>
        </w:rPr>
      </w:pPr>
    </w:p>
    <w:p w14:paraId="228A0440" w14:textId="77777777" w:rsidR="000D5A39" w:rsidRPr="000D5A39" w:rsidRDefault="002605BF" w:rsidP="000D5A39">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September 11th Victim Compensation Fund</w:t>
      </w:r>
      <w:r>
        <w:rPr>
          <w:rFonts w:eastAsia="Times New Roman" w:cs="Arial"/>
          <w:b/>
          <w:bCs/>
          <w:color w:val="000000" w:themeColor="text1"/>
          <w:szCs w:val="20"/>
          <w:bdr w:val="none" w:sz="0" w:space="0" w:color="auto" w:frame="1"/>
        </w:rPr>
        <w:t xml:space="preserve"> </w:t>
      </w:r>
      <w:r w:rsidRPr="003422D5">
        <w:rPr>
          <w:rFonts w:eastAsia="Times New Roman" w:cs="Arial"/>
          <w:b/>
          <w:bCs/>
          <w:color w:val="000000" w:themeColor="text1"/>
          <w:szCs w:val="20"/>
          <w:bdr w:val="none" w:sz="0" w:space="0" w:color="auto" w:frame="1"/>
        </w:rPr>
        <w:t>—</w:t>
      </w:r>
      <w:r w:rsidRPr="00AD5117">
        <w:rPr>
          <w:rFonts w:eastAsia="Times New Roman" w:cs="Arial"/>
          <w:color w:val="000000" w:themeColor="text1"/>
          <w:szCs w:val="20"/>
          <w:bdr w:val="none" w:sz="0" w:space="0" w:color="auto" w:frame="1"/>
        </w:rPr>
        <w:t xml:space="preserve"> </w:t>
      </w:r>
      <w:r w:rsidRPr="00B7230F">
        <w:rPr>
          <w:rFonts w:eastAsia="Times New Roman" w:cs="Arial"/>
          <w:color w:val="000000" w:themeColor="text1"/>
          <w:szCs w:val="20"/>
          <w:bdr w:val="none" w:sz="0" w:space="0" w:color="auto" w:frame="1"/>
        </w:rPr>
        <w:t>The fund provid</w:t>
      </w:r>
      <w:r>
        <w:rPr>
          <w:rFonts w:eastAsia="Times New Roman" w:cs="Arial"/>
          <w:color w:val="000000" w:themeColor="text1"/>
          <w:szCs w:val="20"/>
          <w:bdr w:val="none" w:sz="0" w:space="0" w:color="auto" w:frame="1"/>
        </w:rPr>
        <w:t>es</w:t>
      </w:r>
      <w:r w:rsidRPr="00B7230F">
        <w:rPr>
          <w:rFonts w:eastAsia="Times New Roman" w:cs="Arial"/>
          <w:color w:val="000000" w:themeColor="text1"/>
          <w:szCs w:val="20"/>
          <w:bdr w:val="none" w:sz="0" w:space="0" w:color="auto" w:frame="1"/>
        </w:rPr>
        <w:t xml:space="preserve"> a no-fault alternative to tort litigation for individuals who were physically injured or killed as a result of the aircraft hijackings and crashes on September 11, 2001. The fund was designed to provide compensation for economic and noneconomic losses to individuals or relatives of deceased individuals arising from only physical injury or death; it did not cover other losses such as property loss.</w:t>
      </w:r>
      <w:r>
        <w:rPr>
          <w:rFonts w:eastAsia="Times New Roman" w:cs="Arial"/>
          <w:color w:val="000000" w:themeColor="text1"/>
          <w:szCs w:val="20"/>
          <w:bdr w:val="none" w:sz="0" w:space="0" w:color="auto" w:frame="1"/>
        </w:rPr>
        <w:t xml:space="preserve"> This fund, which was initially created in 2001, has been reauthorized several times.</w:t>
      </w:r>
      <w:r>
        <w:rPr>
          <w:rStyle w:val="FootnoteReference"/>
          <w:rFonts w:eastAsia="Times New Roman" w:cs="Arial"/>
          <w:color w:val="000000" w:themeColor="text1"/>
          <w:szCs w:val="20"/>
          <w:bdr w:val="none" w:sz="0" w:space="0" w:color="auto" w:frame="1"/>
        </w:rPr>
        <w:footnoteReference w:id="8"/>
      </w:r>
      <w:r>
        <w:rPr>
          <w:rFonts w:eastAsia="Times New Roman" w:cs="Arial"/>
          <w:color w:val="000000" w:themeColor="text1"/>
          <w:szCs w:val="20"/>
          <w:bdr w:val="none" w:sz="0" w:space="0" w:color="auto" w:frame="1"/>
        </w:rPr>
        <w:t xml:space="preserve"> In July 2019, the president permanently authorized the VCF, extended the claim filing deadline </w:t>
      </w:r>
      <w:r w:rsidRPr="00556EEF">
        <w:rPr>
          <w:rFonts w:eastAsia="Times New Roman" w:cs="Arial"/>
          <w:color w:val="000000" w:themeColor="text1"/>
          <w:szCs w:val="20"/>
          <w:bdr w:val="none" w:sz="0" w:space="0" w:color="auto" w:frame="1"/>
        </w:rPr>
        <w:t>to October 1, 2090</w:t>
      </w:r>
      <w:r>
        <w:rPr>
          <w:rFonts w:eastAsia="Times New Roman" w:cs="Arial"/>
          <w:color w:val="000000" w:themeColor="text1"/>
          <w:szCs w:val="20"/>
          <w:bdr w:val="none" w:sz="0" w:space="0" w:color="auto" w:frame="1"/>
        </w:rPr>
        <w:t>, and appropriated such funds necessary to pay all approved claims.</w:t>
      </w:r>
      <w:r>
        <w:rPr>
          <w:rStyle w:val="FootnoteReference"/>
          <w:rFonts w:eastAsia="Times New Roman" w:cs="Arial"/>
          <w:color w:val="000000" w:themeColor="text1"/>
          <w:szCs w:val="20"/>
          <w:bdr w:val="none" w:sz="0" w:space="0" w:color="auto" w:frame="1"/>
        </w:rPr>
        <w:footnoteReference w:id="9"/>
      </w:r>
      <w:r>
        <w:rPr>
          <w:rFonts w:eastAsia="Times New Roman" w:cs="Arial"/>
          <w:color w:val="000000" w:themeColor="text1"/>
          <w:szCs w:val="20"/>
          <w:bdr w:val="none" w:sz="0" w:space="0" w:color="auto" w:frame="1"/>
        </w:rPr>
        <w:t xml:space="preserve"> </w:t>
      </w:r>
      <w:r w:rsidRPr="00556EEF">
        <w:rPr>
          <w:rFonts w:eastAsia="Times New Roman" w:cs="Arial"/>
          <w:color w:val="000000" w:themeColor="text1"/>
          <w:szCs w:val="20"/>
          <w:bdr w:val="none" w:sz="0" w:space="0" w:color="auto" w:frame="1"/>
        </w:rPr>
        <w:t xml:space="preserve"> </w:t>
      </w:r>
    </w:p>
    <w:p w14:paraId="23D1D91A" w14:textId="77777777" w:rsidR="000D5A39" w:rsidRPr="000D5A39" w:rsidRDefault="000D5A39" w:rsidP="000D5A39">
      <w:pPr>
        <w:pStyle w:val="ListParagraph"/>
        <w:rPr>
          <w:rFonts w:eastAsia="Times New Roman" w:cs="Arial"/>
          <w:b/>
          <w:bCs/>
          <w:color w:val="000000" w:themeColor="text1"/>
          <w:szCs w:val="20"/>
          <w:bdr w:val="none" w:sz="0" w:space="0" w:color="auto" w:frame="1"/>
        </w:rPr>
      </w:pPr>
    </w:p>
    <w:p w14:paraId="2A414A3A" w14:textId="08543BE2" w:rsidR="002605BF" w:rsidRPr="000D5A39" w:rsidRDefault="002605BF" w:rsidP="000D5A39">
      <w:pPr>
        <w:pStyle w:val="ListParagraph"/>
        <w:numPr>
          <w:ilvl w:val="0"/>
          <w:numId w:val="23"/>
        </w:numPr>
        <w:spacing w:line="360" w:lineRule="auto"/>
        <w:ind w:left="360"/>
        <w:textAlignment w:val="baseline"/>
        <w:rPr>
          <w:rFonts w:eastAsia="Times New Roman" w:cs="Arial"/>
          <w:color w:val="000000" w:themeColor="text1"/>
          <w:szCs w:val="20"/>
        </w:rPr>
      </w:pPr>
      <w:r w:rsidRPr="000D5A39">
        <w:rPr>
          <w:rFonts w:eastAsia="Times New Roman" w:cs="Arial"/>
          <w:b/>
          <w:bCs/>
          <w:color w:val="000000" w:themeColor="text1"/>
          <w:szCs w:val="20"/>
          <w:bdr w:val="none" w:sz="0" w:space="0" w:color="auto" w:frame="1"/>
        </w:rPr>
        <w:lastRenderedPageBreak/>
        <w:t>New York State Workers’ Compensation Board Claims for Participation in World Trade Center Rescue, Recovery, or Clean-Up Operations—</w:t>
      </w:r>
      <w:r w:rsidRPr="000D5A39">
        <w:rPr>
          <w:rFonts w:eastAsia="Times New Roman" w:cs="Arial"/>
          <w:color w:val="000000" w:themeColor="text1"/>
          <w:szCs w:val="20"/>
        </w:rPr>
        <w:t>The New York state legislature enacted modifications to its workers’ compensation laws to expand the time for a participant (worker or volunteer) in World Trade Center (or other impacted sites) rescue, recovery, or clean-up operations who suffered, or may suffer in the future, from a qualifying condition to file a claim for workers' compensation for lost wages and medical benefits.</w:t>
      </w:r>
      <w:r>
        <w:rPr>
          <w:rStyle w:val="FootnoteReference"/>
          <w:rFonts w:eastAsia="Times New Roman" w:cs="Arial"/>
          <w:color w:val="000000" w:themeColor="text1"/>
          <w:szCs w:val="20"/>
        </w:rPr>
        <w:footnoteReference w:id="10"/>
      </w:r>
      <w:r w:rsidRPr="007859A1">
        <w:t xml:space="preserve"> </w:t>
      </w:r>
      <w:r>
        <w:t xml:space="preserve">The filing deadline is now September 11, 2022. </w:t>
      </w:r>
      <w:r w:rsidRPr="000D5A39">
        <w:rPr>
          <w:rFonts w:eastAsia="Times New Roman" w:cs="Arial"/>
          <w:color w:val="000000" w:themeColor="text1"/>
          <w:szCs w:val="20"/>
        </w:rPr>
        <w:t>This registration preserves the right to file for future workers' compensation benefits through the State of New York.</w:t>
      </w:r>
    </w:p>
    <w:p w14:paraId="25C94B0B" w14:textId="77777777" w:rsidR="002605BF" w:rsidRPr="003422D5" w:rsidRDefault="002605BF" w:rsidP="002605BF">
      <w:pPr>
        <w:pStyle w:val="ListParagraph"/>
        <w:spacing w:line="360" w:lineRule="auto"/>
        <w:rPr>
          <w:rFonts w:eastAsia="Times New Roman" w:cs="Arial"/>
          <w:color w:val="000000" w:themeColor="text1"/>
          <w:szCs w:val="20"/>
        </w:rPr>
      </w:pPr>
    </w:p>
    <w:p w14:paraId="3650B2C6" w14:textId="77777777" w:rsidR="002605BF" w:rsidRPr="0099702B" w:rsidRDefault="002605BF" w:rsidP="002605BF">
      <w:pPr>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other federal workers’ compensation programs, including U.S. Department of Veterans Affairs’ programs for military veterans; the Longshore and Harbor Workers' Compensation Act; Energy Employees Occupational Illness Compensation Program Act; and the Black Lung Benefits Act for coal miners suffering from black lung disease.</w:t>
      </w:r>
    </w:p>
    <w:p w14:paraId="0E5D56B4" w14:textId="2DD3EBB1" w:rsidR="002605BF" w:rsidRDefault="002605BF" w:rsidP="00EB12E6">
      <w:pPr>
        <w:spacing w:line="360" w:lineRule="auto"/>
        <w:rPr>
          <w:rFonts w:eastAsia="Times New Roman" w:cs="Arial"/>
          <w:b/>
          <w:bCs/>
          <w:color w:val="3C3030"/>
          <w:sz w:val="24"/>
          <w:szCs w:val="24"/>
        </w:rPr>
      </w:pPr>
    </w:p>
    <w:p w14:paraId="3BEF0F10"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Key Issues Regarding Workers’ Compensation in Emergency Response</w:t>
      </w:r>
    </w:p>
    <w:p w14:paraId="5FDEB61C" w14:textId="35AB501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Because of the variability in state laws and other factors related to the activities and status of an individual participating in an emergency response, a single determination of eligibility for compensation is not possible. Instead, such an analysis must consider </w:t>
      </w:r>
      <w:r w:rsidR="00EC07CD" w:rsidRPr="0099702B">
        <w:rPr>
          <w:rFonts w:eastAsia="Times New Roman" w:cs="Arial"/>
          <w:color w:val="000000" w:themeColor="text1"/>
          <w:szCs w:val="20"/>
        </w:rPr>
        <w:t>several</w:t>
      </w:r>
      <w:r w:rsidRPr="0099702B">
        <w:rPr>
          <w:rFonts w:eastAsia="Times New Roman" w:cs="Arial"/>
          <w:color w:val="000000" w:themeColor="text1"/>
          <w:szCs w:val="20"/>
        </w:rPr>
        <w:t xml:space="preserve"> factors when addressing workers’ compensation issues within the context of an emergency response scenario.</w:t>
      </w:r>
    </w:p>
    <w:p w14:paraId="767D8D06" w14:textId="77777777" w:rsidR="00B80809" w:rsidRDefault="00B80809" w:rsidP="00B80809">
      <w:pPr>
        <w:spacing w:line="360" w:lineRule="auto"/>
        <w:rPr>
          <w:rFonts w:eastAsia="Times New Roman" w:cs="Arial"/>
          <w:b/>
          <w:bCs/>
          <w:color w:val="3C3030"/>
          <w:sz w:val="24"/>
          <w:szCs w:val="24"/>
        </w:rPr>
      </w:pPr>
    </w:p>
    <w:p w14:paraId="556C0952" w14:textId="749ED90F"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000000" w:themeColor="text1"/>
          <w:szCs w:val="20"/>
          <w:bdr w:val="none" w:sz="0" w:space="0" w:color="auto" w:frame="1"/>
        </w:rPr>
        <w:t>Which state’s law applies?</w:t>
      </w:r>
      <w:r w:rsidR="0076653C">
        <w:rPr>
          <w:rFonts w:eastAsia="Times New Roman" w:cs="Arial"/>
          <w:b/>
          <w:bCs/>
          <w:color w:val="000000" w:themeColor="text1"/>
          <w:szCs w:val="20"/>
          <w:bdr w:val="none" w:sz="0" w:space="0" w:color="auto" w:frame="1"/>
        </w:rPr>
        <w:t xml:space="preserve"> </w:t>
      </w:r>
      <w:r w:rsidRPr="0099702B">
        <w:rPr>
          <w:rFonts w:eastAsia="Times New Roman" w:cs="Arial"/>
          <w:color w:val="000000" w:themeColor="text1"/>
          <w:szCs w:val="20"/>
        </w:rPr>
        <w:t>When a person responds to an emergency in another state, an issue can arise as to which state’s workers’ compensation law should apply if the responder is injured—the state receiving the aid (</w:t>
      </w:r>
      <w:r w:rsidR="00961B88">
        <w:rPr>
          <w:rFonts w:eastAsia="Times New Roman" w:cs="Arial"/>
          <w:color w:val="000000" w:themeColor="text1"/>
          <w:szCs w:val="20"/>
        </w:rPr>
        <w:t>requesting</w:t>
      </w:r>
      <w:r w:rsidRPr="0099702B">
        <w:rPr>
          <w:rFonts w:eastAsia="Times New Roman" w:cs="Arial"/>
          <w:color w:val="000000" w:themeColor="text1"/>
          <w:szCs w:val="20"/>
        </w:rPr>
        <w:t xml:space="preserve"> state) or the injured responder’s home state</w:t>
      </w:r>
      <w:r w:rsidR="00961B88">
        <w:rPr>
          <w:rFonts w:eastAsia="Times New Roman" w:cs="Arial"/>
          <w:color w:val="000000" w:themeColor="text1"/>
          <w:szCs w:val="20"/>
        </w:rPr>
        <w:t xml:space="preserve"> (providing state)</w:t>
      </w:r>
      <w:r w:rsidRPr="0099702B">
        <w:rPr>
          <w:rFonts w:eastAsia="Times New Roman" w:cs="Arial"/>
          <w:color w:val="000000" w:themeColor="text1"/>
          <w:szCs w:val="20"/>
        </w:rPr>
        <w:t xml:space="preserve">. </w:t>
      </w:r>
      <w:r w:rsidR="00961B88">
        <w:rPr>
          <w:rFonts w:eastAsia="Times New Roman" w:cs="Arial"/>
          <w:color w:val="000000" w:themeColor="text1"/>
          <w:szCs w:val="20"/>
        </w:rPr>
        <w:t>As noted above, s</w:t>
      </w:r>
      <w:r w:rsidRPr="0099702B">
        <w:rPr>
          <w:rFonts w:eastAsia="Times New Roman" w:cs="Arial"/>
          <w:color w:val="000000" w:themeColor="text1"/>
          <w:szCs w:val="20"/>
        </w:rPr>
        <w:t xml:space="preserve">ome deployment mechanisms and mutual aid agreements determine this issue in advance. EMAC stipulates that the state </w:t>
      </w:r>
      <w:proofErr w:type="gramStart"/>
      <w:r w:rsidRPr="0099702B">
        <w:rPr>
          <w:rFonts w:eastAsia="Times New Roman" w:cs="Arial"/>
          <w:color w:val="000000" w:themeColor="text1"/>
          <w:szCs w:val="20"/>
        </w:rPr>
        <w:t>providing assistance</w:t>
      </w:r>
      <w:proofErr w:type="gramEnd"/>
      <w:r w:rsidRPr="0099702B">
        <w:rPr>
          <w:rFonts w:eastAsia="Times New Roman" w:cs="Arial"/>
          <w:color w:val="000000" w:themeColor="text1"/>
          <w:szCs w:val="20"/>
        </w:rPr>
        <w:t xml:space="preserve"> is responsible for paying compensation and death benefits in the same manner and terms as if the injury or death were sustained in </w:t>
      </w:r>
      <w:r w:rsidR="0075431D">
        <w:rPr>
          <w:rFonts w:eastAsia="Times New Roman" w:cs="Arial"/>
          <w:color w:val="000000" w:themeColor="text1"/>
          <w:szCs w:val="20"/>
        </w:rPr>
        <w:t>the providing</w:t>
      </w:r>
      <w:r w:rsidRPr="0099702B">
        <w:rPr>
          <w:rFonts w:eastAsia="Times New Roman" w:cs="Arial"/>
          <w:color w:val="000000" w:themeColor="text1"/>
          <w:szCs w:val="20"/>
        </w:rPr>
        <w:t xml:space="preserve"> state. </w:t>
      </w:r>
      <w:r w:rsidR="0075431D">
        <w:rPr>
          <w:rFonts w:eastAsia="Times New Roman" w:cs="Arial"/>
          <w:color w:val="000000" w:themeColor="text1"/>
          <w:szCs w:val="20"/>
        </w:rPr>
        <w:t xml:space="preserve">The Uniform </w:t>
      </w:r>
      <w:r w:rsidR="00727213">
        <w:rPr>
          <w:rFonts w:eastAsia="Times New Roman" w:cs="Arial"/>
          <w:color w:val="000000" w:themeColor="text1"/>
          <w:szCs w:val="20"/>
        </w:rPr>
        <w:t>Emergency Volunteer Health Professionals Act (</w:t>
      </w:r>
      <w:r w:rsidRPr="0099702B">
        <w:rPr>
          <w:rFonts w:eastAsia="Times New Roman" w:cs="Arial"/>
          <w:color w:val="000000" w:themeColor="text1"/>
          <w:szCs w:val="20"/>
        </w:rPr>
        <w:t>UEVHPA</w:t>
      </w:r>
      <w:r w:rsidR="00727213">
        <w:rPr>
          <w:rFonts w:eastAsia="Times New Roman" w:cs="Arial"/>
          <w:color w:val="000000" w:themeColor="text1"/>
          <w:szCs w:val="20"/>
        </w:rPr>
        <w:t>)</w:t>
      </w:r>
      <w:r w:rsidRPr="0099702B">
        <w:rPr>
          <w:rFonts w:eastAsia="Times New Roman" w:cs="Arial"/>
          <w:color w:val="000000" w:themeColor="text1"/>
          <w:szCs w:val="20"/>
        </w:rPr>
        <w:t>, addresses workers’ compensation issues.</w:t>
      </w:r>
      <w:r w:rsidR="00D06A16">
        <w:rPr>
          <w:rStyle w:val="FootnoteReference"/>
          <w:rFonts w:eastAsia="Times New Roman" w:cs="Arial"/>
          <w:color w:val="000000" w:themeColor="text1"/>
          <w:szCs w:val="20"/>
        </w:rPr>
        <w:footnoteReference w:id="11"/>
      </w:r>
      <w:r w:rsidRPr="0099702B">
        <w:rPr>
          <w:rFonts w:eastAsia="Times New Roman" w:cs="Arial"/>
          <w:color w:val="000000" w:themeColor="text1"/>
          <w:szCs w:val="20"/>
        </w:rPr>
        <w:t xml:space="preserve"> It provides that any volunteer health professional harmed or killed during an emergency may elect workers’ compensation protections of the host state as a payer of last resort. </w:t>
      </w:r>
      <w:r w:rsidRPr="0099702B">
        <w:rPr>
          <w:rFonts w:eastAsia="Times New Roman" w:cs="Arial"/>
          <w:color w:val="000000" w:themeColor="text1"/>
          <w:szCs w:val="20"/>
        </w:rPr>
        <w:lastRenderedPageBreak/>
        <w:t>State emergency response and other volunteer protection statutes may require the issuance of a state or federally declared emergency before compensation coverage is available.</w:t>
      </w:r>
    </w:p>
    <w:p w14:paraId="3E3AC8C2" w14:textId="77777777" w:rsidR="00B80809" w:rsidRDefault="00B80809" w:rsidP="00B80809">
      <w:pPr>
        <w:spacing w:line="360" w:lineRule="auto"/>
        <w:rPr>
          <w:rFonts w:eastAsia="Times New Roman" w:cs="Arial"/>
          <w:b/>
          <w:bCs/>
          <w:color w:val="3C3030"/>
          <w:sz w:val="24"/>
          <w:szCs w:val="24"/>
        </w:rPr>
      </w:pPr>
    </w:p>
    <w:p w14:paraId="76DBFF2F" w14:textId="7C7A3C78" w:rsidR="00B80809" w:rsidRDefault="008A103E" w:rsidP="00B80809">
      <w:pPr>
        <w:spacing w:line="360" w:lineRule="auto"/>
        <w:rPr>
          <w:rFonts w:eastAsia="Times New Roman" w:cs="Arial"/>
          <w:b/>
          <w:bCs/>
          <w:color w:val="3C3030"/>
          <w:sz w:val="24"/>
          <w:szCs w:val="24"/>
        </w:rPr>
      </w:pPr>
      <w:r>
        <w:rPr>
          <w:rFonts w:eastAsia="Times New Roman" w:cs="Arial"/>
          <w:color w:val="000000" w:themeColor="text1"/>
          <w:szCs w:val="20"/>
        </w:rPr>
        <w:t xml:space="preserve">When a person responds to an emergency on tribal land, state workers’ compensation law generally will not apply if the responder is injured unless the tribal nation has elected to follow state worker’s compensation statutes. With few exceptions, tribes are exempt from providing workers’ compensation. However, some tribes do have workers’ compensation laws that may or may not provide protection for volunteers. </w:t>
      </w:r>
    </w:p>
    <w:p w14:paraId="68E03878" w14:textId="77777777" w:rsidR="00B80809" w:rsidRDefault="00B80809" w:rsidP="00B80809">
      <w:pPr>
        <w:spacing w:line="360" w:lineRule="auto"/>
        <w:rPr>
          <w:rFonts w:eastAsia="Times New Roman" w:cs="Arial"/>
          <w:b/>
          <w:bCs/>
          <w:color w:val="3C3030"/>
          <w:sz w:val="24"/>
          <w:szCs w:val="24"/>
        </w:rPr>
      </w:pPr>
    </w:p>
    <w:p w14:paraId="10CB7EFC" w14:textId="566AC329"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000000" w:themeColor="text1"/>
          <w:szCs w:val="20"/>
          <w:bdr w:val="none" w:sz="0" w:space="0" w:color="auto" w:frame="1"/>
        </w:rPr>
        <w:t>Who is covered under a state’s workers’ compensation law?</w:t>
      </w:r>
      <w:r w:rsidR="005E67DF">
        <w:rPr>
          <w:rFonts w:eastAsia="Times New Roman" w:cs="Arial"/>
          <w:color w:val="000000" w:themeColor="text1"/>
          <w:szCs w:val="20"/>
        </w:rPr>
        <w:t xml:space="preserve"> </w:t>
      </w:r>
      <w:r w:rsidRPr="0099702B">
        <w:rPr>
          <w:rFonts w:eastAsia="Times New Roman" w:cs="Arial"/>
          <w:color w:val="000000" w:themeColor="text1"/>
          <w:szCs w:val="20"/>
        </w:rPr>
        <w:t>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in emergencies may include compensation, but this benefit may be mitigated if coverage is optional and an employer exercises a right to opt out or if the VHP in not appropriately registered with a volunteer registration system recognized by the state.</w:t>
      </w:r>
    </w:p>
    <w:p w14:paraId="6720E920" w14:textId="77777777" w:rsidR="00B80809" w:rsidRDefault="00B80809" w:rsidP="00B80809">
      <w:pPr>
        <w:spacing w:line="360" w:lineRule="auto"/>
        <w:rPr>
          <w:rFonts w:eastAsia="Times New Roman" w:cs="Arial"/>
          <w:b/>
          <w:bCs/>
          <w:color w:val="3C3030"/>
          <w:sz w:val="24"/>
          <w:szCs w:val="24"/>
        </w:rPr>
      </w:pPr>
    </w:p>
    <w:p w14:paraId="113DC224" w14:textId="56B1AC3B"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000000" w:themeColor="text1"/>
          <w:szCs w:val="20"/>
          <w:bdr w:val="none" w:sz="0" w:space="0" w:color="auto" w:frame="1"/>
        </w:rPr>
        <w:t>Who is the employer?</w:t>
      </w:r>
      <w:r w:rsidR="00E27B50">
        <w:rPr>
          <w:rFonts w:eastAsia="Times New Roman" w:cs="Arial"/>
          <w:b/>
          <w:bCs/>
          <w:color w:val="000000" w:themeColor="text1"/>
          <w:szCs w:val="20"/>
          <w:bdr w:val="none" w:sz="0" w:space="0" w:color="auto" w:frame="1"/>
        </w:rPr>
        <w:t xml:space="preserve"> </w:t>
      </w:r>
      <w:r w:rsidRPr="0099702B">
        <w:rPr>
          <w:rFonts w:eastAsia="Times New Roman" w:cs="Arial"/>
          <w:color w:val="000000" w:themeColor="text1"/>
          <w:szCs w:val="20"/>
        </w:rPr>
        <w:t xml:space="preserve">Determining who </w:t>
      </w:r>
      <w:r w:rsidR="009B5A43">
        <w:rPr>
          <w:rFonts w:eastAsia="Times New Roman" w:cs="Arial"/>
          <w:color w:val="000000" w:themeColor="text1"/>
          <w:szCs w:val="20"/>
        </w:rPr>
        <w:t xml:space="preserve">is </w:t>
      </w:r>
      <w:r w:rsidRPr="0099702B">
        <w:rPr>
          <w:rFonts w:eastAsia="Times New Roman" w:cs="Arial"/>
          <w:color w:val="000000" w:themeColor="text1"/>
          <w:szCs w:val="20"/>
        </w:rPr>
        <w:t>the “employer” of a volunteer or other person deployed in an emergency response situation can dictate both which state law applies (if it is an interstate 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w:t>
      </w:r>
    </w:p>
    <w:p w14:paraId="7FF0A3C6" w14:textId="77777777" w:rsidR="00B80809" w:rsidRDefault="00B80809" w:rsidP="00B80809">
      <w:pPr>
        <w:spacing w:line="360" w:lineRule="auto"/>
        <w:rPr>
          <w:rFonts w:eastAsia="Times New Roman" w:cs="Arial"/>
          <w:b/>
          <w:bCs/>
          <w:color w:val="3C3030"/>
          <w:sz w:val="24"/>
          <w:szCs w:val="24"/>
        </w:rPr>
      </w:pPr>
    </w:p>
    <w:p w14:paraId="44C3455D" w14:textId="55631A51" w:rsidR="00EB12E6" w:rsidRPr="00B901B6" w:rsidRDefault="0099702B" w:rsidP="00B901B6">
      <w:pPr>
        <w:spacing w:line="360" w:lineRule="auto"/>
        <w:rPr>
          <w:rFonts w:eastAsia="Times New Roman" w:cs="Arial"/>
          <w:b/>
          <w:bCs/>
          <w:color w:val="3C3030"/>
          <w:sz w:val="24"/>
          <w:szCs w:val="24"/>
        </w:rPr>
      </w:pPr>
      <w:r w:rsidRPr="0099702B">
        <w:rPr>
          <w:rFonts w:eastAsia="Times New Roman" w:cs="Arial"/>
          <w:b/>
          <w:bCs/>
          <w:color w:val="000000" w:themeColor="text1"/>
          <w:szCs w:val="20"/>
          <w:bdr w:val="none" w:sz="0" w:space="0" w:color="auto" w:frame="1"/>
        </w:rPr>
        <w:t>What scope of activities are covered?</w:t>
      </w:r>
      <w:r w:rsidR="00F445F2">
        <w:rPr>
          <w:rFonts w:eastAsia="Times New Roman" w:cs="Arial"/>
          <w:color w:val="000000" w:themeColor="text1"/>
          <w:szCs w:val="20"/>
        </w:rPr>
        <w:t xml:space="preserve"> </w:t>
      </w:r>
      <w:r w:rsidRPr="0099702B">
        <w:rPr>
          <w:rFonts w:eastAsia="Times New Roman" w:cs="Arial"/>
          <w:color w:val="000000" w:themeColor="text1"/>
          <w:szCs w:val="20"/>
        </w:rPr>
        <w:t>Eligibility for workers’ compensation benefits may be limited to injuries that occur within the scope of the responder’s employment. Determining what activities are within that scope, especially since the activities may occur under extreme conditions, is important in assessing eligibility for coverage. Further, it may be necessary to determine if the injury occurred when the responder was actively engaged in the task for which they were deployed (e.g., providing healthcare, assessing sanitary conditions) as opposed to some other activity incident to the deployment (e.g., meeting, loading, training, cooking).</w:t>
      </w:r>
    </w:p>
    <w:sectPr w:rsidR="00EB12E6" w:rsidRPr="00B901B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46518" w14:textId="77777777" w:rsidR="005627EB" w:rsidRDefault="005627EB" w:rsidP="00477E52">
      <w:r>
        <w:separator/>
      </w:r>
    </w:p>
  </w:endnote>
  <w:endnote w:type="continuationSeparator" w:id="0">
    <w:p w14:paraId="72C0818A" w14:textId="77777777" w:rsidR="005627EB" w:rsidRDefault="005627EB"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84DD3" w14:textId="77777777" w:rsidR="00C46026" w:rsidRDefault="00C460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D05AF" w14:textId="77777777" w:rsidR="00C46026" w:rsidRDefault="00C46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D3DC0" w14:textId="77777777" w:rsidR="005627EB" w:rsidRDefault="005627EB" w:rsidP="00477E52">
      <w:r>
        <w:separator/>
      </w:r>
    </w:p>
  </w:footnote>
  <w:footnote w:type="continuationSeparator" w:id="0">
    <w:p w14:paraId="6BD6A978" w14:textId="77777777" w:rsidR="005627EB" w:rsidRDefault="005627EB" w:rsidP="00477E52">
      <w:r>
        <w:continuationSeparator/>
      </w:r>
    </w:p>
  </w:footnote>
  <w:footnote w:id="1">
    <w:p w14:paraId="791629EA" w14:textId="2E8AF8C0" w:rsidR="00AD438D" w:rsidRPr="00AD438D" w:rsidRDefault="00AD438D" w:rsidP="00AD438D">
      <w:pPr>
        <w:pStyle w:val="FootnoteText"/>
        <w:tabs>
          <w:tab w:val="left" w:pos="686"/>
        </w:tabs>
        <w:rPr>
          <w:b/>
          <w:bCs/>
        </w:rPr>
      </w:pPr>
      <w:r>
        <w:rPr>
          <w:b/>
          <w:bCs/>
          <w:highlight w:val="yellow"/>
        </w:rPr>
        <w:t>Footnotes will be streamlined and edited to style guide once text is finalized</w:t>
      </w:r>
    </w:p>
    <w:p w14:paraId="3DC5ED87" w14:textId="6DC35163" w:rsidR="00BD23A6" w:rsidRDefault="00BD23A6" w:rsidP="00AD438D">
      <w:pPr>
        <w:pStyle w:val="FootnoteText"/>
      </w:pPr>
      <w:r>
        <w:rPr>
          <w:rStyle w:val="FootnoteReference"/>
        </w:rPr>
        <w:footnoteRef/>
      </w:r>
      <w:r>
        <w:t xml:space="preserve"> See</w:t>
      </w:r>
      <w:r w:rsidR="002B374D">
        <w:t xml:space="preserve"> </w:t>
      </w:r>
      <w:r w:rsidR="00AD438D">
        <w:t xml:space="preserve">Elizabeth Van Nostrand, Nandini Pillai, Alix Ware, “Interjurisdictional Variance in US Workers’ Benefits for Emergency Response Volunteers”, American Journal of Public Health 108, no. S5 (November 1, 2018): pp. S387-S393. Retrieved from </w:t>
      </w:r>
      <w:hyperlink r:id="rId1" w:history="1">
        <w:r w:rsidR="00AD438D" w:rsidRPr="00F227B7">
          <w:rPr>
            <w:rStyle w:val="Hyperlink"/>
          </w:rPr>
          <w:t>https://doi.org/10.2105/AJPH.2018.304534</w:t>
        </w:r>
      </w:hyperlink>
      <w:r w:rsidR="00AD438D">
        <w:t xml:space="preserve">. </w:t>
      </w:r>
    </w:p>
  </w:footnote>
  <w:footnote w:id="2">
    <w:p w14:paraId="05B44672" w14:textId="6C66C457" w:rsidR="007D3F25" w:rsidRDefault="007D3F25">
      <w:pPr>
        <w:pStyle w:val="FootnoteText"/>
      </w:pPr>
      <w:r>
        <w:rPr>
          <w:rStyle w:val="FootnoteReference"/>
        </w:rPr>
        <w:footnoteRef/>
      </w:r>
      <w:r>
        <w:t xml:space="preserve"> </w:t>
      </w:r>
      <w:r w:rsidR="00B31418" w:rsidRPr="00B31418">
        <w:t xml:space="preserve">Scott D. </w:t>
      </w:r>
      <w:proofErr w:type="spellStart"/>
      <w:r w:rsidR="00B31418" w:rsidRPr="00B31418">
        <w:t>Szymendera</w:t>
      </w:r>
      <w:proofErr w:type="spellEnd"/>
      <w:r w:rsidR="008A47DF">
        <w:t xml:space="preserve">. </w:t>
      </w:r>
      <w:r w:rsidR="00E7203C" w:rsidRPr="00E7203C">
        <w:t>Workers’ Compensation: Overview and Issues</w:t>
      </w:r>
      <w:r w:rsidR="00E7203C">
        <w:t xml:space="preserve">. </w:t>
      </w:r>
      <w:r w:rsidR="00016CE1">
        <w:t xml:space="preserve">CRS Report R44580. </w:t>
      </w:r>
      <w:r w:rsidR="005257A4">
        <w:t xml:space="preserve">February 18, 2020. Retrieved from </w:t>
      </w:r>
      <w:hyperlink r:id="rId2" w:history="1">
        <w:r w:rsidR="00F46653">
          <w:rPr>
            <w:rStyle w:val="Hyperlink"/>
          </w:rPr>
          <w:t>https://fas.org/sgp/crs/misc/R44580.pdf</w:t>
        </w:r>
      </w:hyperlink>
      <w:r w:rsidR="00F46653">
        <w:t>.</w:t>
      </w:r>
    </w:p>
  </w:footnote>
  <w:footnote w:id="3">
    <w:p w14:paraId="684693CD" w14:textId="78FE8B13" w:rsidR="00FB549F" w:rsidRDefault="00FB549F">
      <w:pPr>
        <w:pStyle w:val="FootnoteText"/>
      </w:pPr>
      <w:r>
        <w:rPr>
          <w:rStyle w:val="FootnoteReference"/>
        </w:rPr>
        <w:footnoteRef/>
      </w:r>
      <w:r>
        <w:t xml:space="preserve"> </w:t>
      </w:r>
      <w:r w:rsidR="00080916" w:rsidRPr="00080916">
        <w:t>Elaine Weiss, Griffin Murphy, Leslie I. Boden</w:t>
      </w:r>
      <w:r w:rsidRPr="00FB549F">
        <w:t>. National Academy of Social Insurance. Workers’ Compensation: Benefits, Coverage, and Costs, 20</w:t>
      </w:r>
      <w:r w:rsidR="00F665EC">
        <w:t>17</w:t>
      </w:r>
      <w:r w:rsidRPr="00FB549F">
        <w:t xml:space="preserve">. </w:t>
      </w:r>
      <w:r w:rsidR="00F665EC">
        <w:t>October 2019</w:t>
      </w:r>
      <w:r w:rsidRPr="00FB549F">
        <w:t xml:space="preserve">. </w:t>
      </w:r>
      <w:r w:rsidR="000875AA">
        <w:t xml:space="preserve">Retrieved from </w:t>
      </w:r>
      <w:hyperlink r:id="rId3" w:history="1">
        <w:r w:rsidR="000875AA">
          <w:rPr>
            <w:rStyle w:val="Hyperlink"/>
          </w:rPr>
          <w:t>https://www.nasi.org/research/2019/report-workers%E2%80%99-compensation-benefits-costs-coverage-%E2%80%93-2017</w:t>
        </w:r>
      </w:hyperlink>
      <w:r w:rsidR="000875AA">
        <w:t>.</w:t>
      </w:r>
    </w:p>
  </w:footnote>
  <w:footnote w:id="4">
    <w:p w14:paraId="156B580C" w14:textId="4A4E5457" w:rsidR="00272593" w:rsidRDefault="00272593">
      <w:pPr>
        <w:pStyle w:val="FootnoteText"/>
      </w:pPr>
      <w:r>
        <w:rPr>
          <w:rStyle w:val="FootnoteReference"/>
        </w:rPr>
        <w:footnoteRef/>
      </w:r>
      <w:r>
        <w:t xml:space="preserve"> </w:t>
      </w:r>
      <w:r w:rsidR="007B4F39">
        <w:t xml:space="preserve">For more information about the interaction of </w:t>
      </w:r>
      <w:r w:rsidR="007B4F39" w:rsidRPr="0099702B">
        <w:rPr>
          <w:rFonts w:eastAsia="Times New Roman" w:cs="Arial"/>
          <w:color w:val="000000" w:themeColor="text1"/>
        </w:rPr>
        <w:t>Social Security Disability Insurance</w:t>
      </w:r>
      <w:r w:rsidR="008E6EFA">
        <w:rPr>
          <w:rFonts w:eastAsia="Times New Roman" w:cs="Arial"/>
          <w:color w:val="000000" w:themeColor="text1"/>
        </w:rPr>
        <w:t xml:space="preserve">, </w:t>
      </w:r>
      <w:r w:rsidR="007B4F39" w:rsidRPr="0099702B">
        <w:rPr>
          <w:rFonts w:eastAsia="Times New Roman" w:cs="Arial"/>
          <w:color w:val="000000" w:themeColor="text1"/>
        </w:rPr>
        <w:t>Medicare</w:t>
      </w:r>
      <w:r w:rsidR="008E6EFA">
        <w:rPr>
          <w:rFonts w:eastAsia="Times New Roman" w:cs="Arial"/>
          <w:color w:val="000000" w:themeColor="text1"/>
        </w:rPr>
        <w:t xml:space="preserve"> and Medicaid with workers’ compensation </w:t>
      </w:r>
      <w:r w:rsidR="008E6EFA" w:rsidRPr="00105F44">
        <w:rPr>
          <w:rFonts w:eastAsia="Times New Roman" w:cs="Arial"/>
          <w:i/>
          <w:iCs/>
          <w:color w:val="000000" w:themeColor="text1"/>
        </w:rPr>
        <w:t>see</w:t>
      </w:r>
      <w:r w:rsidR="00105F44">
        <w:rPr>
          <w:rFonts w:eastAsia="Times New Roman" w:cs="Arial"/>
          <w:color w:val="000000" w:themeColor="text1"/>
        </w:rPr>
        <w:t xml:space="preserve"> </w:t>
      </w:r>
      <w:r w:rsidR="00C06A80" w:rsidRPr="00B31418">
        <w:t xml:space="preserve">Scott D. </w:t>
      </w:r>
      <w:proofErr w:type="spellStart"/>
      <w:r w:rsidR="00C06A80" w:rsidRPr="00B31418">
        <w:t>Szymendera</w:t>
      </w:r>
      <w:proofErr w:type="spellEnd"/>
      <w:r w:rsidR="00C06A80">
        <w:t xml:space="preserve">. </w:t>
      </w:r>
      <w:r w:rsidR="00C06A80" w:rsidRPr="00E7203C">
        <w:t>Workers’ Compensation: Overview and Issues</w:t>
      </w:r>
      <w:r w:rsidR="00C06A80">
        <w:t xml:space="preserve">. CRS Report R44580. February 18, 2020. Retrieved from </w:t>
      </w:r>
      <w:hyperlink r:id="rId4" w:history="1">
        <w:r w:rsidR="00C06A80">
          <w:rPr>
            <w:rStyle w:val="Hyperlink"/>
          </w:rPr>
          <w:t>https://fas.org/sgp/crs/misc/R44580.pdf</w:t>
        </w:r>
      </w:hyperlink>
      <w:r w:rsidR="00C06A80">
        <w:t>.</w:t>
      </w:r>
    </w:p>
  </w:footnote>
  <w:footnote w:id="5">
    <w:p w14:paraId="23ACAB05" w14:textId="77777777" w:rsidR="002605BF" w:rsidRDefault="002605BF" w:rsidP="002605BF">
      <w:pPr>
        <w:pStyle w:val="FootnoteText"/>
      </w:pPr>
      <w:r>
        <w:rPr>
          <w:rStyle w:val="FootnoteReference"/>
        </w:rPr>
        <w:footnoteRef/>
      </w:r>
      <w:r>
        <w:t xml:space="preserve"> EMAC. EMAC Reimbursement Process. Retrieved from </w:t>
      </w:r>
      <w:hyperlink r:id="rId5" w:history="1">
        <w:r>
          <w:rPr>
            <w:rStyle w:val="Hyperlink"/>
          </w:rPr>
          <w:t>https://www.emacweb.org/index.php/learn-about-emac/emac-reimbursement-process</w:t>
        </w:r>
      </w:hyperlink>
      <w:r>
        <w:t>.</w:t>
      </w:r>
    </w:p>
  </w:footnote>
  <w:footnote w:id="6">
    <w:p w14:paraId="3229A89F" w14:textId="77777777" w:rsidR="002605BF" w:rsidRDefault="002605BF" w:rsidP="002605BF">
      <w:pPr>
        <w:pStyle w:val="FootnoteText"/>
      </w:pPr>
      <w:r>
        <w:rPr>
          <w:rStyle w:val="FootnoteReference"/>
        </w:rPr>
        <w:footnoteRef/>
      </w:r>
      <w:r>
        <w:t xml:space="preserve"> </w:t>
      </w:r>
      <w:r w:rsidRPr="002C4884">
        <w:t>Emergency Management Assistance Compact, Pub. L. No. 104-321</w:t>
      </w:r>
      <w:r>
        <w:t>, Art. VIII.</w:t>
      </w:r>
    </w:p>
  </w:footnote>
  <w:footnote w:id="7">
    <w:p w14:paraId="50E71E3C" w14:textId="77777777" w:rsidR="002605BF" w:rsidRDefault="002605BF" w:rsidP="002605BF">
      <w:pPr>
        <w:pStyle w:val="FootnoteText"/>
      </w:pPr>
      <w:r>
        <w:rPr>
          <w:rStyle w:val="FootnoteReference"/>
        </w:rPr>
        <w:footnoteRef/>
      </w:r>
      <w:r>
        <w:t xml:space="preserve"> </w:t>
      </w:r>
      <w:r w:rsidRPr="00B17BAE">
        <w:t>Federal Employees’ Compensation Act</w:t>
      </w:r>
      <w:r>
        <w:t xml:space="preserve">. Codified at </w:t>
      </w:r>
      <w:r w:rsidRPr="00B17BAE">
        <w:t xml:space="preserve">5 U.S.C. </w:t>
      </w:r>
      <w:r>
        <w:t>§§</w:t>
      </w:r>
      <w:r w:rsidRPr="00B17BAE">
        <w:t>8101 et seq</w:t>
      </w:r>
      <w:r>
        <w:t xml:space="preserve">. </w:t>
      </w:r>
      <w:r w:rsidRPr="005E12C3">
        <w:rPr>
          <w:i/>
          <w:iCs/>
        </w:rPr>
        <w:t>See also</w:t>
      </w:r>
      <w:r>
        <w:t xml:space="preserve"> Scott D. </w:t>
      </w:r>
      <w:proofErr w:type="spellStart"/>
      <w:r>
        <w:t>Szymendera</w:t>
      </w:r>
      <w:proofErr w:type="spellEnd"/>
      <w:r>
        <w:t xml:space="preserve">. The Federal Employees’ Compensation Act (FECA): Workers’ Compensation for Federal Employees. CRS Report R42107. April 26, 2017. Retrieved from </w:t>
      </w:r>
      <w:hyperlink r:id="rId6" w:history="1">
        <w:r>
          <w:rPr>
            <w:rStyle w:val="Hyperlink"/>
          </w:rPr>
          <w:t>https://fas.org/sgp/crs/misc/R42107.pdf</w:t>
        </w:r>
      </w:hyperlink>
      <w:r>
        <w:t>.</w:t>
      </w:r>
    </w:p>
  </w:footnote>
  <w:footnote w:id="8">
    <w:p w14:paraId="4D7FC880" w14:textId="77777777" w:rsidR="002605BF" w:rsidRDefault="002605BF" w:rsidP="002605BF">
      <w:pPr>
        <w:pStyle w:val="FootnoteText"/>
      </w:pPr>
      <w:r>
        <w:rPr>
          <w:rStyle w:val="FootnoteReference"/>
        </w:rPr>
        <w:footnoteRef/>
      </w:r>
      <w:r>
        <w:t xml:space="preserve"> The initial Federal September 11th Victim Compensation Fund operated from 2001-2004. In January 2011, the President signed into law the James </w:t>
      </w:r>
      <w:proofErr w:type="spellStart"/>
      <w:r>
        <w:t>Zadroga</w:t>
      </w:r>
      <w:proofErr w:type="spellEnd"/>
      <w:r>
        <w:t xml:space="preserve"> 9/11 Health and Compensation Act of 2010, which reactivated the VCF. The reactivated VCF opened in October 2011 and was authorized to operate for a period of five years, ending in October 2016. In December 2015, the fund was reauthorized in the James </w:t>
      </w:r>
      <w:proofErr w:type="spellStart"/>
      <w:r>
        <w:t>Zadroga</w:t>
      </w:r>
      <w:proofErr w:type="spellEnd"/>
      <w:r>
        <w:t xml:space="preserve"> 9/11 Health and Compensation Act of 2010, which extended the VCF for five years, allowing individuals to submit their claims until December 18, 2020.  </w:t>
      </w:r>
    </w:p>
  </w:footnote>
  <w:footnote w:id="9">
    <w:p w14:paraId="3A3BB523" w14:textId="77777777" w:rsidR="002605BF" w:rsidRDefault="002605BF" w:rsidP="002605BF">
      <w:pPr>
        <w:pStyle w:val="FootnoteText"/>
      </w:pPr>
      <w:r>
        <w:rPr>
          <w:rStyle w:val="FootnoteReference"/>
        </w:rPr>
        <w:footnoteRef/>
      </w:r>
      <w:r>
        <w:t xml:space="preserve"> </w:t>
      </w:r>
      <w:r w:rsidRPr="002A1215">
        <w:t xml:space="preserve">Never Forget the Heroes: James </w:t>
      </w:r>
      <w:proofErr w:type="spellStart"/>
      <w:r w:rsidRPr="002A1215">
        <w:t>Zadroga</w:t>
      </w:r>
      <w:proofErr w:type="spellEnd"/>
      <w:r w:rsidRPr="002A1215">
        <w:t>, Ray Pfeifer, and Luis Alvarez Permanent Authorization of the September 11th Victim Compensation Fund Act</w:t>
      </w:r>
      <w:r>
        <w:t xml:space="preserve"> (</w:t>
      </w:r>
      <w:r w:rsidRPr="009F76A0">
        <w:t>VCF Permanent Authorization Act)</w:t>
      </w:r>
      <w:r>
        <w:t xml:space="preserve">. </w:t>
      </w:r>
      <w:r w:rsidRPr="00432A46">
        <w:t>Pu</w:t>
      </w:r>
      <w:r>
        <w:t>b.</w:t>
      </w:r>
      <w:r w:rsidRPr="00432A46">
        <w:t xml:space="preserve"> Law No: 116-34</w:t>
      </w:r>
      <w:r>
        <w:t>, codified at 40 U.S.C. §§40101 and 401010; 49 U.S.C. §40101.</w:t>
      </w:r>
    </w:p>
  </w:footnote>
  <w:footnote w:id="10">
    <w:p w14:paraId="1FA0C301" w14:textId="77777777" w:rsidR="002605BF" w:rsidRDefault="002605BF" w:rsidP="002605BF">
      <w:pPr>
        <w:pStyle w:val="FootnoteText"/>
      </w:pPr>
      <w:r>
        <w:rPr>
          <w:rStyle w:val="FootnoteReference"/>
        </w:rPr>
        <w:footnoteRef/>
      </w:r>
      <w:r>
        <w:t xml:space="preserve"> </w:t>
      </w:r>
      <w:r w:rsidRPr="00804706">
        <w:t xml:space="preserve">New York State </w:t>
      </w:r>
      <w:r>
        <w:t xml:space="preserve">Assembly. </w:t>
      </w:r>
      <w:r w:rsidRPr="00804706">
        <w:t>Amendment S7797-A</w:t>
      </w:r>
      <w:r>
        <w:t xml:space="preserve">. (Senate Bill </w:t>
      </w:r>
      <w:r w:rsidRPr="00F43F68">
        <w:t>S7797</w:t>
      </w:r>
      <w:r w:rsidRPr="00804706">
        <w:t>)</w:t>
      </w:r>
      <w:r>
        <w:t>. Signed by Governor</w:t>
      </w:r>
      <w:r w:rsidRPr="00804706">
        <w:t xml:space="preserve"> on September 7, 2018</w:t>
      </w:r>
      <w:r>
        <w:t xml:space="preserve">. Retrieved from </w:t>
      </w:r>
      <w:hyperlink r:id="rId7" w:history="1">
        <w:r>
          <w:rPr>
            <w:rStyle w:val="Hyperlink"/>
          </w:rPr>
          <w:t>https://www.nysenate.gov/legislation/bills/2017/s7797/amendment/original</w:t>
        </w:r>
      </w:hyperlink>
      <w:r>
        <w:t>.</w:t>
      </w:r>
    </w:p>
  </w:footnote>
  <w:footnote w:id="11">
    <w:p w14:paraId="6E421C40" w14:textId="51B02392" w:rsidR="00D06A16" w:rsidRDefault="00D06A16">
      <w:pPr>
        <w:pStyle w:val="FootnoteText"/>
      </w:pPr>
      <w:r>
        <w:rPr>
          <w:rStyle w:val="FootnoteReference"/>
        </w:rPr>
        <w:footnoteRef/>
      </w:r>
      <w:r>
        <w:t xml:space="preserve"> </w:t>
      </w:r>
      <w:r w:rsidR="003B2EC9" w:rsidRPr="003B2EC9">
        <w:t xml:space="preserve">Uniform Law Commission. “Emergency Volunteer Health Practitioners” website. Retrieved from </w:t>
      </w:r>
      <w:hyperlink r:id="rId8" w:history="1">
        <w:r w:rsidR="003B2EC9" w:rsidRPr="003B2EC9">
          <w:rPr>
            <w:rStyle w:val="Hyperlink"/>
          </w:rPr>
          <w:t>https://www.uniformlaws.org/committees/community-home?CommunityKey=565933ce-965f-4d3c-9c90-b00246f30f2d</w:t>
        </w:r>
      </w:hyperlink>
      <w:r w:rsidR="003B2EC9" w:rsidRPr="003B2EC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5EC23" w14:textId="77777777" w:rsidR="00C46026" w:rsidRDefault="00C460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AB9F1" w14:textId="1EC82BE7" w:rsidR="00EB49FE" w:rsidRDefault="00EB49FE" w:rsidP="00EB49FE">
    <w:pPr>
      <w:pStyle w:val="Header"/>
      <w:jc w:val="center"/>
      <w:rPr>
        <w:b/>
        <w:bCs/>
      </w:rPr>
    </w:pPr>
    <w:r>
      <w:rPr>
        <w:b/>
        <w:bCs/>
        <w:highlight w:val="yellow"/>
      </w:rPr>
      <w:t>DRAFT 1</w:t>
    </w:r>
  </w:p>
  <w:p w14:paraId="004900E2" w14:textId="471E8D27" w:rsidR="00C46026" w:rsidRPr="00C46026" w:rsidRDefault="00C46026" w:rsidP="00C46026">
    <w:pPr>
      <w:pStyle w:val="Header"/>
      <w:jc w:val="center"/>
      <w:rPr>
        <w:b/>
        <w:bCs/>
        <w:sz w:val="20"/>
        <w:szCs w:val="20"/>
      </w:rPr>
    </w:pPr>
    <w:r w:rsidRPr="004A5DD5">
      <w:rPr>
        <w:sz w:val="20"/>
        <w:szCs w:val="20"/>
      </w:rPr>
      <w:t xml:space="preserve">(For use in EAS and </w:t>
    </w:r>
    <w:proofErr w:type="spellStart"/>
    <w:r w:rsidRPr="004A5DD5">
      <w:rPr>
        <w:sz w:val="20"/>
        <w:szCs w:val="20"/>
      </w:rPr>
      <w:t>EmVol</w:t>
    </w:r>
    <w:proofErr w:type="spellEnd"/>
    <w:r w:rsidRPr="004A5DD5">
      <w:rPr>
        <w:sz w:val="20"/>
        <w:szCs w:val="20"/>
      </w:rPr>
      <w:t xml:space="preserve"> toolkits)</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32432" w14:textId="77777777" w:rsidR="00C46026" w:rsidRDefault="00C460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5"/>
  </w:num>
  <w:num w:numId="4">
    <w:abstractNumId w:val="13"/>
  </w:num>
  <w:num w:numId="5">
    <w:abstractNumId w:val="12"/>
  </w:num>
  <w:num w:numId="6">
    <w:abstractNumId w:val="21"/>
  </w:num>
  <w:num w:numId="7">
    <w:abstractNumId w:val="8"/>
  </w:num>
  <w:num w:numId="8">
    <w:abstractNumId w:val="11"/>
  </w:num>
  <w:num w:numId="9">
    <w:abstractNumId w:val="19"/>
  </w:num>
  <w:num w:numId="10">
    <w:abstractNumId w:val="22"/>
  </w:num>
  <w:num w:numId="11">
    <w:abstractNumId w:val="18"/>
  </w:num>
  <w:num w:numId="12">
    <w:abstractNumId w:val="4"/>
  </w:num>
  <w:num w:numId="13">
    <w:abstractNumId w:val="15"/>
  </w:num>
  <w:num w:numId="14">
    <w:abstractNumId w:val="14"/>
  </w:num>
  <w:num w:numId="15">
    <w:abstractNumId w:val="1"/>
  </w:num>
  <w:num w:numId="16">
    <w:abstractNumId w:val="0"/>
  </w:num>
  <w:num w:numId="17">
    <w:abstractNumId w:val="3"/>
  </w:num>
  <w:num w:numId="18">
    <w:abstractNumId w:val="6"/>
  </w:num>
  <w:num w:numId="19">
    <w:abstractNumId w:val="17"/>
  </w:num>
  <w:num w:numId="20">
    <w:abstractNumId w:val="23"/>
  </w:num>
  <w:num w:numId="21">
    <w:abstractNumId w:val="9"/>
  </w:num>
  <w:num w:numId="22">
    <w:abstractNumId w:val="20"/>
  </w:num>
  <w:num w:numId="23">
    <w:abstractNumId w:val="16"/>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2C44"/>
    <w:rsid w:val="000100B5"/>
    <w:rsid w:val="00016B19"/>
    <w:rsid w:val="00016CE1"/>
    <w:rsid w:val="000630BF"/>
    <w:rsid w:val="00065EC6"/>
    <w:rsid w:val="00074F51"/>
    <w:rsid w:val="00080916"/>
    <w:rsid w:val="000844A3"/>
    <w:rsid w:val="000875AA"/>
    <w:rsid w:val="0009694C"/>
    <w:rsid w:val="000A18D1"/>
    <w:rsid w:val="000A37F4"/>
    <w:rsid w:val="000B3C09"/>
    <w:rsid w:val="000C1F1D"/>
    <w:rsid w:val="000D5A39"/>
    <w:rsid w:val="000E3C25"/>
    <w:rsid w:val="001052CC"/>
    <w:rsid w:val="00105F44"/>
    <w:rsid w:val="0011514C"/>
    <w:rsid w:val="001153F3"/>
    <w:rsid w:val="001311A2"/>
    <w:rsid w:val="00132B25"/>
    <w:rsid w:val="00133C41"/>
    <w:rsid w:val="00151278"/>
    <w:rsid w:val="00155E22"/>
    <w:rsid w:val="001738D1"/>
    <w:rsid w:val="001861C3"/>
    <w:rsid w:val="00190779"/>
    <w:rsid w:val="001A227E"/>
    <w:rsid w:val="001C40BE"/>
    <w:rsid w:val="001D74A7"/>
    <w:rsid w:val="00214A17"/>
    <w:rsid w:val="00220278"/>
    <w:rsid w:val="00221AFE"/>
    <w:rsid w:val="00230013"/>
    <w:rsid w:val="002353AB"/>
    <w:rsid w:val="002605BF"/>
    <w:rsid w:val="00272593"/>
    <w:rsid w:val="002920F5"/>
    <w:rsid w:val="00296920"/>
    <w:rsid w:val="002A1215"/>
    <w:rsid w:val="002A2B2D"/>
    <w:rsid w:val="002A58EC"/>
    <w:rsid w:val="002B3269"/>
    <w:rsid w:val="002B374D"/>
    <w:rsid w:val="002D1F6A"/>
    <w:rsid w:val="002D4430"/>
    <w:rsid w:val="002F15D3"/>
    <w:rsid w:val="003241AC"/>
    <w:rsid w:val="003279EC"/>
    <w:rsid w:val="00336ABA"/>
    <w:rsid w:val="003422D5"/>
    <w:rsid w:val="00352D87"/>
    <w:rsid w:val="00370430"/>
    <w:rsid w:val="00381B3C"/>
    <w:rsid w:val="00384F62"/>
    <w:rsid w:val="00387EAA"/>
    <w:rsid w:val="00391659"/>
    <w:rsid w:val="00394EF2"/>
    <w:rsid w:val="003A1AD9"/>
    <w:rsid w:val="003A7292"/>
    <w:rsid w:val="003A7E56"/>
    <w:rsid w:val="003B2EC9"/>
    <w:rsid w:val="003E00F8"/>
    <w:rsid w:val="003E4A0E"/>
    <w:rsid w:val="003E5D2F"/>
    <w:rsid w:val="00432A46"/>
    <w:rsid w:val="004357A8"/>
    <w:rsid w:val="00443FB3"/>
    <w:rsid w:val="00451EB7"/>
    <w:rsid w:val="00457088"/>
    <w:rsid w:val="00466FA1"/>
    <w:rsid w:val="004741AB"/>
    <w:rsid w:val="00476446"/>
    <w:rsid w:val="00477E52"/>
    <w:rsid w:val="00480D8E"/>
    <w:rsid w:val="004D5D79"/>
    <w:rsid w:val="004E2A32"/>
    <w:rsid w:val="00502CB1"/>
    <w:rsid w:val="00515D53"/>
    <w:rsid w:val="00520ADD"/>
    <w:rsid w:val="005257A4"/>
    <w:rsid w:val="00537274"/>
    <w:rsid w:val="00543665"/>
    <w:rsid w:val="005461E2"/>
    <w:rsid w:val="00556EEF"/>
    <w:rsid w:val="005627EB"/>
    <w:rsid w:val="00575895"/>
    <w:rsid w:val="005A2C2E"/>
    <w:rsid w:val="005A6A2B"/>
    <w:rsid w:val="005B66DE"/>
    <w:rsid w:val="005C1F6B"/>
    <w:rsid w:val="005C7204"/>
    <w:rsid w:val="005D7A23"/>
    <w:rsid w:val="005E12C3"/>
    <w:rsid w:val="005E67DF"/>
    <w:rsid w:val="00612EF7"/>
    <w:rsid w:val="00634B1D"/>
    <w:rsid w:val="00635CD7"/>
    <w:rsid w:val="0064747C"/>
    <w:rsid w:val="00663F6E"/>
    <w:rsid w:val="0066558E"/>
    <w:rsid w:val="0066607F"/>
    <w:rsid w:val="006819A7"/>
    <w:rsid w:val="006852E9"/>
    <w:rsid w:val="00686BA6"/>
    <w:rsid w:val="006D2E3A"/>
    <w:rsid w:val="006E0043"/>
    <w:rsid w:val="006F03FD"/>
    <w:rsid w:val="006F71FF"/>
    <w:rsid w:val="00706301"/>
    <w:rsid w:val="00710968"/>
    <w:rsid w:val="00713D90"/>
    <w:rsid w:val="00727213"/>
    <w:rsid w:val="007315DD"/>
    <w:rsid w:val="00734736"/>
    <w:rsid w:val="00740663"/>
    <w:rsid w:val="00750253"/>
    <w:rsid w:val="0075431D"/>
    <w:rsid w:val="00763876"/>
    <w:rsid w:val="0076653C"/>
    <w:rsid w:val="00770415"/>
    <w:rsid w:val="007859A1"/>
    <w:rsid w:val="007918D4"/>
    <w:rsid w:val="00794473"/>
    <w:rsid w:val="0079749B"/>
    <w:rsid w:val="007B4F39"/>
    <w:rsid w:val="007C4806"/>
    <w:rsid w:val="007D3F25"/>
    <w:rsid w:val="007F075B"/>
    <w:rsid w:val="00804706"/>
    <w:rsid w:val="00806F84"/>
    <w:rsid w:val="00821399"/>
    <w:rsid w:val="00834121"/>
    <w:rsid w:val="008422CE"/>
    <w:rsid w:val="00866055"/>
    <w:rsid w:val="00877E42"/>
    <w:rsid w:val="008A103E"/>
    <w:rsid w:val="008A12A2"/>
    <w:rsid w:val="008A47DF"/>
    <w:rsid w:val="008A765B"/>
    <w:rsid w:val="008B0F9A"/>
    <w:rsid w:val="008E219B"/>
    <w:rsid w:val="008E6EFA"/>
    <w:rsid w:val="00904DF6"/>
    <w:rsid w:val="00912A40"/>
    <w:rsid w:val="00913288"/>
    <w:rsid w:val="009206D5"/>
    <w:rsid w:val="00943D20"/>
    <w:rsid w:val="00954ECC"/>
    <w:rsid w:val="00961B88"/>
    <w:rsid w:val="00975842"/>
    <w:rsid w:val="009870DC"/>
    <w:rsid w:val="00992D41"/>
    <w:rsid w:val="0099702B"/>
    <w:rsid w:val="00997740"/>
    <w:rsid w:val="00997962"/>
    <w:rsid w:val="009A010F"/>
    <w:rsid w:val="009B2C3B"/>
    <w:rsid w:val="009B5A43"/>
    <w:rsid w:val="009C4CE3"/>
    <w:rsid w:val="009D0020"/>
    <w:rsid w:val="009E4B02"/>
    <w:rsid w:val="009F02DA"/>
    <w:rsid w:val="009F0B88"/>
    <w:rsid w:val="009F76A0"/>
    <w:rsid w:val="00A01700"/>
    <w:rsid w:val="00A0558F"/>
    <w:rsid w:val="00A41BA5"/>
    <w:rsid w:val="00A47CF6"/>
    <w:rsid w:val="00A712C2"/>
    <w:rsid w:val="00A76ED3"/>
    <w:rsid w:val="00A84BDD"/>
    <w:rsid w:val="00A9237A"/>
    <w:rsid w:val="00AB4309"/>
    <w:rsid w:val="00AD438D"/>
    <w:rsid w:val="00AD5117"/>
    <w:rsid w:val="00AD76AC"/>
    <w:rsid w:val="00AF38E4"/>
    <w:rsid w:val="00B17BAE"/>
    <w:rsid w:val="00B27B09"/>
    <w:rsid w:val="00B31418"/>
    <w:rsid w:val="00B51678"/>
    <w:rsid w:val="00B7230F"/>
    <w:rsid w:val="00B75B7F"/>
    <w:rsid w:val="00B80809"/>
    <w:rsid w:val="00B901B6"/>
    <w:rsid w:val="00B9051A"/>
    <w:rsid w:val="00B93444"/>
    <w:rsid w:val="00BA44B8"/>
    <w:rsid w:val="00BB1AC2"/>
    <w:rsid w:val="00BD1796"/>
    <w:rsid w:val="00BD23A6"/>
    <w:rsid w:val="00C06A80"/>
    <w:rsid w:val="00C10CA9"/>
    <w:rsid w:val="00C16E67"/>
    <w:rsid w:val="00C3343D"/>
    <w:rsid w:val="00C43506"/>
    <w:rsid w:val="00C46026"/>
    <w:rsid w:val="00C539C5"/>
    <w:rsid w:val="00C57710"/>
    <w:rsid w:val="00C57780"/>
    <w:rsid w:val="00C705D1"/>
    <w:rsid w:val="00C71C88"/>
    <w:rsid w:val="00C816C9"/>
    <w:rsid w:val="00C8273D"/>
    <w:rsid w:val="00C91B48"/>
    <w:rsid w:val="00C942F4"/>
    <w:rsid w:val="00CA7A57"/>
    <w:rsid w:val="00CB0845"/>
    <w:rsid w:val="00CB5536"/>
    <w:rsid w:val="00CE14F3"/>
    <w:rsid w:val="00CF79A7"/>
    <w:rsid w:val="00D06A16"/>
    <w:rsid w:val="00D2330B"/>
    <w:rsid w:val="00D2699F"/>
    <w:rsid w:val="00D27FDA"/>
    <w:rsid w:val="00D51DCB"/>
    <w:rsid w:val="00D52A67"/>
    <w:rsid w:val="00D61506"/>
    <w:rsid w:val="00D86671"/>
    <w:rsid w:val="00DA7A81"/>
    <w:rsid w:val="00DB30C1"/>
    <w:rsid w:val="00DC27E8"/>
    <w:rsid w:val="00DC33D6"/>
    <w:rsid w:val="00DD26B2"/>
    <w:rsid w:val="00DD3A63"/>
    <w:rsid w:val="00E27B50"/>
    <w:rsid w:val="00E31205"/>
    <w:rsid w:val="00E32BBE"/>
    <w:rsid w:val="00E35ED7"/>
    <w:rsid w:val="00E447AE"/>
    <w:rsid w:val="00E7203C"/>
    <w:rsid w:val="00E76049"/>
    <w:rsid w:val="00E824E5"/>
    <w:rsid w:val="00EB12E6"/>
    <w:rsid w:val="00EB49FE"/>
    <w:rsid w:val="00EC07CD"/>
    <w:rsid w:val="00EC436C"/>
    <w:rsid w:val="00ED4B79"/>
    <w:rsid w:val="00EE7FFB"/>
    <w:rsid w:val="00EF4243"/>
    <w:rsid w:val="00F106BE"/>
    <w:rsid w:val="00F24AF1"/>
    <w:rsid w:val="00F260D9"/>
    <w:rsid w:val="00F26909"/>
    <w:rsid w:val="00F27775"/>
    <w:rsid w:val="00F43F68"/>
    <w:rsid w:val="00F445F2"/>
    <w:rsid w:val="00F46653"/>
    <w:rsid w:val="00F557C7"/>
    <w:rsid w:val="00F654CC"/>
    <w:rsid w:val="00F665EC"/>
    <w:rsid w:val="00F67303"/>
    <w:rsid w:val="00F726CD"/>
    <w:rsid w:val="00F72C4D"/>
    <w:rsid w:val="00F86AF4"/>
    <w:rsid w:val="00FB549F"/>
    <w:rsid w:val="00FC3301"/>
    <w:rsid w:val="00FC44EE"/>
    <w:rsid w:val="00FC61F1"/>
    <w:rsid w:val="00FE6633"/>
    <w:rsid w:val="00FE6B5F"/>
    <w:rsid w:val="00FF0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CommentText">
    <w:name w:val="annotation text"/>
    <w:basedOn w:val="Normal"/>
    <w:link w:val="CommentTextChar"/>
    <w:uiPriority w:val="99"/>
    <w:semiHidden/>
    <w:unhideWhenUsed/>
    <w:rsid w:val="008A12A2"/>
    <w:rPr>
      <w:sz w:val="20"/>
      <w:szCs w:val="20"/>
    </w:rPr>
  </w:style>
  <w:style w:type="character" w:customStyle="1" w:styleId="CommentTextChar">
    <w:name w:val="Comment Text Char"/>
    <w:basedOn w:val="DefaultParagraphFont"/>
    <w:link w:val="CommentText"/>
    <w:uiPriority w:val="99"/>
    <w:semiHidden/>
    <w:rsid w:val="008A12A2"/>
    <w:rPr>
      <w:sz w:val="20"/>
      <w:szCs w:val="20"/>
    </w:rPr>
  </w:style>
  <w:style w:type="character" w:styleId="CommentReference">
    <w:name w:val="annotation reference"/>
    <w:basedOn w:val="DefaultParagraphFont"/>
    <w:uiPriority w:val="99"/>
    <w:semiHidden/>
    <w:unhideWhenUsed/>
    <w:rsid w:val="008A12A2"/>
    <w:rPr>
      <w:sz w:val="16"/>
      <w:szCs w:val="16"/>
    </w:rPr>
  </w:style>
  <w:style w:type="paragraph" w:styleId="BalloonText">
    <w:name w:val="Balloon Text"/>
    <w:basedOn w:val="Normal"/>
    <w:link w:val="BalloonTextChar"/>
    <w:uiPriority w:val="99"/>
    <w:semiHidden/>
    <w:unhideWhenUsed/>
    <w:rsid w:val="008A12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2A2"/>
    <w:rPr>
      <w:rFonts w:ascii="Segoe UI" w:hAnsi="Segoe UI" w:cs="Segoe UI"/>
      <w:sz w:val="18"/>
      <w:szCs w:val="18"/>
    </w:rPr>
  </w:style>
  <w:style w:type="paragraph" w:styleId="FootnoteText">
    <w:name w:val="footnote text"/>
    <w:basedOn w:val="Normal"/>
    <w:link w:val="FootnoteTextChar"/>
    <w:uiPriority w:val="99"/>
    <w:semiHidden/>
    <w:unhideWhenUsed/>
    <w:rsid w:val="00E76049"/>
    <w:rPr>
      <w:sz w:val="20"/>
      <w:szCs w:val="20"/>
    </w:rPr>
  </w:style>
  <w:style w:type="character" w:customStyle="1" w:styleId="FootnoteTextChar">
    <w:name w:val="Footnote Text Char"/>
    <w:basedOn w:val="DefaultParagraphFont"/>
    <w:link w:val="FootnoteText"/>
    <w:uiPriority w:val="99"/>
    <w:semiHidden/>
    <w:rsid w:val="00E76049"/>
    <w:rPr>
      <w:sz w:val="20"/>
      <w:szCs w:val="20"/>
    </w:rPr>
  </w:style>
  <w:style w:type="character" w:styleId="FootnoteReference">
    <w:name w:val="footnote reference"/>
    <w:basedOn w:val="DefaultParagraphFont"/>
    <w:uiPriority w:val="99"/>
    <w:semiHidden/>
    <w:unhideWhenUsed/>
    <w:rsid w:val="007D3F25"/>
    <w:rPr>
      <w:vertAlign w:val="superscript"/>
    </w:rPr>
  </w:style>
  <w:style w:type="paragraph" w:customStyle="1" w:styleId="para15">
    <w:name w:val="para 1.5"/>
    <w:basedOn w:val="Normal"/>
    <w:qFormat/>
    <w:rsid w:val="006E0043"/>
    <w:pPr>
      <w:spacing w:line="360" w:lineRule="auto"/>
    </w:pPr>
  </w:style>
  <w:style w:type="character" w:styleId="UnresolvedMention">
    <w:name w:val="Unresolved Mention"/>
    <w:basedOn w:val="DefaultParagraphFont"/>
    <w:uiPriority w:val="99"/>
    <w:semiHidden/>
    <w:unhideWhenUsed/>
    <w:rsid w:val="003B2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143218">
      <w:bodyDiv w:val="1"/>
      <w:marLeft w:val="0"/>
      <w:marRight w:val="0"/>
      <w:marTop w:val="0"/>
      <w:marBottom w:val="0"/>
      <w:divBdr>
        <w:top w:val="none" w:sz="0" w:space="0" w:color="auto"/>
        <w:left w:val="none" w:sz="0" w:space="0" w:color="auto"/>
        <w:bottom w:val="none" w:sz="0" w:space="0" w:color="auto"/>
        <w:right w:val="none" w:sz="0" w:space="0" w:color="auto"/>
      </w:divBdr>
    </w:div>
    <w:div w:id="499590346">
      <w:bodyDiv w:val="1"/>
      <w:marLeft w:val="0"/>
      <w:marRight w:val="0"/>
      <w:marTop w:val="0"/>
      <w:marBottom w:val="0"/>
      <w:divBdr>
        <w:top w:val="none" w:sz="0" w:space="0" w:color="auto"/>
        <w:left w:val="none" w:sz="0" w:space="0" w:color="auto"/>
        <w:bottom w:val="none" w:sz="0" w:space="0" w:color="auto"/>
        <w:right w:val="none" w:sz="0" w:space="0" w:color="auto"/>
      </w:divBdr>
    </w:div>
    <w:div w:id="741568036">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779885010">
      <w:bodyDiv w:val="1"/>
      <w:marLeft w:val="0"/>
      <w:marRight w:val="0"/>
      <w:marTop w:val="0"/>
      <w:marBottom w:val="0"/>
      <w:divBdr>
        <w:top w:val="none" w:sz="0" w:space="0" w:color="auto"/>
        <w:left w:val="none" w:sz="0" w:space="0" w:color="auto"/>
        <w:bottom w:val="none" w:sz="0" w:space="0" w:color="auto"/>
        <w:right w:val="none" w:sz="0" w:space="0" w:color="auto"/>
      </w:divBdr>
    </w:div>
    <w:div w:id="914901380">
      <w:bodyDiv w:val="1"/>
      <w:marLeft w:val="0"/>
      <w:marRight w:val="0"/>
      <w:marTop w:val="0"/>
      <w:marBottom w:val="0"/>
      <w:divBdr>
        <w:top w:val="none" w:sz="0" w:space="0" w:color="auto"/>
        <w:left w:val="none" w:sz="0" w:space="0" w:color="auto"/>
        <w:bottom w:val="none" w:sz="0" w:space="0" w:color="auto"/>
        <w:right w:val="none" w:sz="0" w:space="0" w:color="auto"/>
      </w:divBdr>
    </w:div>
    <w:div w:id="1369531535">
      <w:bodyDiv w:val="1"/>
      <w:marLeft w:val="0"/>
      <w:marRight w:val="0"/>
      <w:marTop w:val="0"/>
      <w:marBottom w:val="0"/>
      <w:divBdr>
        <w:top w:val="none" w:sz="0" w:space="0" w:color="auto"/>
        <w:left w:val="none" w:sz="0" w:space="0" w:color="auto"/>
        <w:bottom w:val="none" w:sz="0" w:space="0" w:color="auto"/>
        <w:right w:val="none" w:sz="0" w:space="0" w:color="auto"/>
      </w:divBdr>
    </w:div>
    <w:div w:id="181980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iformlaws.org/committees/community-home?CommunityKey=565933ce-965f-4d3c-9c90-b00246f30f2d" TargetMode="External"/><Relationship Id="rId3" Type="http://schemas.openxmlformats.org/officeDocument/2006/relationships/hyperlink" Target="https://www.nasi.org/research/2019/report-workers%E2%80%99-compensation-benefits-costs-coverage-%E2%80%93-2017" TargetMode="External"/><Relationship Id="rId7" Type="http://schemas.openxmlformats.org/officeDocument/2006/relationships/hyperlink" Target="https://www.nysenate.gov/legislation/bills/2017/s7797/amendment/original" TargetMode="External"/><Relationship Id="rId2" Type="http://schemas.openxmlformats.org/officeDocument/2006/relationships/hyperlink" Target="https://fas.org/sgp/crs/misc/R44580.pdf" TargetMode="External"/><Relationship Id="rId1" Type="http://schemas.openxmlformats.org/officeDocument/2006/relationships/hyperlink" Target="https://doi.org/10.2105/AJPH.2018.304534" TargetMode="External"/><Relationship Id="rId6" Type="http://schemas.openxmlformats.org/officeDocument/2006/relationships/hyperlink" Target="https://fas.org/sgp/crs/misc/R42107.pdf" TargetMode="External"/><Relationship Id="rId5" Type="http://schemas.openxmlformats.org/officeDocument/2006/relationships/hyperlink" Target="https://www.emacweb.org/index.php/learn-about-emac/emac-reimbursement-process" TargetMode="External"/><Relationship Id="rId4" Type="http://schemas.openxmlformats.org/officeDocument/2006/relationships/hyperlink" Target="https://fas.org/sgp/crs/misc/R445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A2B60-CF41-4477-8EB9-0D099700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TotalTime>
  <Pages>7</Pages>
  <Words>2358</Words>
  <Characters>13444</Characters>
  <Application>Microsoft Office Word</Application>
  <DocSecurity>0</DocSecurity>
  <Lines>112</Lines>
  <Paragraphs>31</Paragraphs>
  <ScaleCrop>false</ScaleCrop>
  <Company/>
  <LinksUpToDate>false</LinksUpToDate>
  <CharactersWithSpaces>15771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241</cp:revision>
  <dcterms:created xsi:type="dcterms:W3CDTF">2019-09-11T15:34:00Z</dcterms:created>
  <dcterms:modified xsi:type="dcterms:W3CDTF">2020-03-06T17:35:00Z</dcterms:modified>
</cp:coreProperties>
</file>