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3614AC" w14:textId="6FEEDB54" w:rsidR="00085A18" w:rsidRDefault="00C26257" w:rsidP="00C15E43">
      <w:pPr>
        <w:spacing w:after="120"/>
        <w:jc w:val="center"/>
        <w:rPr>
          <w:rFonts w:eastAsia="Times New Roman" w:cs="Helvetica"/>
          <w:b/>
          <w:bCs/>
          <w:color w:val="333333"/>
          <w:spacing w:val="15"/>
          <w:kern w:val="36"/>
          <w:sz w:val="28"/>
          <w:szCs w:val="28"/>
        </w:rPr>
      </w:pPr>
      <w:r w:rsidRPr="00C15E43">
        <w:rPr>
          <w:rFonts w:eastAsia="Times New Roman" w:cs="Helvetica"/>
          <w:b/>
          <w:bCs/>
          <w:color w:val="333333"/>
          <w:spacing w:val="15"/>
          <w:kern w:val="36"/>
          <w:sz w:val="24"/>
          <w:szCs w:val="26"/>
        </w:rPr>
        <w:t xml:space="preserve">IMMUNITY ISSUES IN </w:t>
      </w:r>
      <w:r w:rsidR="00E40B12">
        <w:rPr>
          <w:rFonts w:eastAsia="Times New Roman" w:cs="Helvetica"/>
          <w:b/>
          <w:bCs/>
          <w:color w:val="333333"/>
          <w:spacing w:val="15"/>
          <w:kern w:val="36"/>
          <w:sz w:val="24"/>
          <w:szCs w:val="24"/>
        </w:rPr>
        <w:t>IN EMERGENCY PREPAREDNESS AND RESPONSE</w:t>
      </w:r>
    </w:p>
    <w:p w14:paraId="29B78C59" w14:textId="77777777" w:rsidR="00C26257" w:rsidRDefault="00C26257" w:rsidP="00EB12E6">
      <w:pPr>
        <w:spacing w:line="360" w:lineRule="auto"/>
        <w:rPr>
          <w:rFonts w:eastAsia="Times New Roman" w:cs="Arial"/>
          <w:b/>
          <w:bCs/>
          <w:color w:val="3C3030"/>
          <w:sz w:val="24"/>
          <w:szCs w:val="24"/>
        </w:rPr>
      </w:pPr>
    </w:p>
    <w:p w14:paraId="05908D30" w14:textId="77777777" w:rsidR="000464BC" w:rsidRDefault="0099702B" w:rsidP="000464BC">
      <w:pPr>
        <w:spacing w:line="360" w:lineRule="auto"/>
        <w:rPr>
          <w:rFonts w:eastAsia="Times New Roman" w:cs="Arial"/>
          <w:b/>
          <w:bCs/>
          <w:color w:val="3C3030"/>
          <w:sz w:val="24"/>
          <w:szCs w:val="24"/>
        </w:rPr>
      </w:pPr>
      <w:r w:rsidRPr="0099702B">
        <w:rPr>
          <w:rFonts w:eastAsia="Times New Roman" w:cs="Arial"/>
          <w:b/>
          <w:bCs/>
          <w:color w:val="3C3030"/>
          <w:sz w:val="24"/>
          <w:szCs w:val="24"/>
        </w:rPr>
        <w:t>Overview</w:t>
      </w:r>
    </w:p>
    <w:p w14:paraId="3A9D7EDC" w14:textId="65ECE441" w:rsidR="00DC6FBD" w:rsidRDefault="009E6A6C" w:rsidP="003B1E74">
      <w:pPr>
        <w:spacing w:line="360" w:lineRule="auto"/>
        <w:rPr>
          <w:rFonts w:eastAsia="Times New Roman" w:cs="Arial"/>
          <w:color w:val="000000" w:themeColor="text1"/>
          <w:szCs w:val="20"/>
        </w:rPr>
      </w:pPr>
      <w:r w:rsidRPr="00E31B33">
        <w:rPr>
          <w:rFonts w:eastAsia="Times New Roman" w:cs="Arial"/>
          <w:color w:val="000000" w:themeColor="text1"/>
          <w:szCs w:val="20"/>
        </w:rPr>
        <w:t xml:space="preserve">Individuals and organizations who participate in emergency </w:t>
      </w:r>
      <w:r>
        <w:rPr>
          <w:rFonts w:eastAsia="Times New Roman" w:cs="Arial"/>
          <w:color w:val="000000" w:themeColor="text1"/>
          <w:szCs w:val="20"/>
        </w:rPr>
        <w:t xml:space="preserve">preparedness and </w:t>
      </w:r>
      <w:r w:rsidRPr="00E31B33">
        <w:rPr>
          <w:rFonts w:eastAsia="Times New Roman" w:cs="Arial"/>
          <w:color w:val="000000" w:themeColor="text1"/>
          <w:szCs w:val="20"/>
        </w:rPr>
        <w:t xml:space="preserve">response activities can potentially be liable under multiple theories of civil and </w:t>
      </w:r>
      <w:r w:rsidR="00E500E8">
        <w:rPr>
          <w:rFonts w:eastAsia="Times New Roman" w:cs="Arial"/>
          <w:color w:val="000000" w:themeColor="text1"/>
          <w:szCs w:val="20"/>
        </w:rPr>
        <w:t xml:space="preserve">even </w:t>
      </w:r>
      <w:r w:rsidRPr="00E31B33">
        <w:rPr>
          <w:rFonts w:eastAsia="Times New Roman" w:cs="Arial"/>
          <w:color w:val="000000" w:themeColor="text1"/>
          <w:szCs w:val="20"/>
        </w:rPr>
        <w:t>criminal liability.</w:t>
      </w:r>
      <w:r w:rsidR="00010341">
        <w:rPr>
          <w:rFonts w:eastAsia="Times New Roman" w:cs="Arial"/>
          <w:color w:val="000000" w:themeColor="text1"/>
          <w:szCs w:val="20"/>
        </w:rPr>
        <w:t xml:space="preserve"> Within the context of civil liability, </w:t>
      </w:r>
      <w:r w:rsidR="00010341" w:rsidRPr="00E31B33">
        <w:rPr>
          <w:rFonts w:eastAsia="Times New Roman" w:cs="Arial"/>
          <w:color w:val="000000" w:themeColor="text1"/>
          <w:szCs w:val="20"/>
        </w:rPr>
        <w:t>negligence</w:t>
      </w:r>
      <w:r w:rsidR="00C2339E">
        <w:rPr>
          <w:rFonts w:eastAsia="Times New Roman" w:cs="Arial"/>
          <w:color w:val="000000" w:themeColor="text1"/>
          <w:szCs w:val="20"/>
        </w:rPr>
        <w:t xml:space="preserve"> </w:t>
      </w:r>
      <w:r w:rsidR="006913CF">
        <w:rPr>
          <w:rFonts w:eastAsia="Times New Roman" w:cs="Arial"/>
          <w:color w:val="000000" w:themeColor="text1"/>
          <w:szCs w:val="20"/>
        </w:rPr>
        <w:t xml:space="preserve">claims </w:t>
      </w:r>
      <w:r w:rsidR="00010341" w:rsidRPr="00E31B33">
        <w:rPr>
          <w:rFonts w:eastAsia="Times New Roman" w:cs="Arial"/>
          <w:color w:val="000000" w:themeColor="text1"/>
          <w:szCs w:val="20"/>
        </w:rPr>
        <w:t>are the most likely to arise</w:t>
      </w:r>
      <w:r w:rsidR="006913CF">
        <w:rPr>
          <w:rFonts w:eastAsia="Times New Roman" w:cs="Arial"/>
          <w:color w:val="000000" w:themeColor="text1"/>
          <w:szCs w:val="20"/>
        </w:rPr>
        <w:t xml:space="preserve"> but </w:t>
      </w:r>
      <w:r w:rsidR="00AC4050">
        <w:rPr>
          <w:rFonts w:eastAsia="Times New Roman" w:cs="Arial"/>
          <w:color w:val="000000" w:themeColor="text1"/>
          <w:szCs w:val="20"/>
        </w:rPr>
        <w:t xml:space="preserve">other civil claims such as </w:t>
      </w:r>
      <w:r w:rsidR="00010341" w:rsidRPr="00E31B33">
        <w:rPr>
          <w:rFonts w:eastAsia="Times New Roman" w:cs="Arial"/>
          <w:color w:val="000000" w:themeColor="text1"/>
          <w:szCs w:val="20"/>
        </w:rPr>
        <w:t>intentional torts, violations of statutory or regulatory requirements, strict liability, and constitutional violations</w:t>
      </w:r>
      <w:r w:rsidR="00190ECE">
        <w:rPr>
          <w:rFonts w:eastAsia="Times New Roman" w:cs="Arial"/>
          <w:color w:val="000000" w:themeColor="text1"/>
          <w:szCs w:val="20"/>
        </w:rPr>
        <w:t xml:space="preserve"> may occur</w:t>
      </w:r>
      <w:r w:rsidR="00010341" w:rsidRPr="00E31B33">
        <w:rPr>
          <w:rFonts w:eastAsia="Times New Roman" w:cs="Arial"/>
          <w:color w:val="000000" w:themeColor="text1"/>
          <w:szCs w:val="20"/>
        </w:rPr>
        <w:t>.</w:t>
      </w:r>
      <w:r w:rsidR="00BB3998">
        <w:rPr>
          <w:rStyle w:val="FootnoteReference"/>
          <w:rFonts w:eastAsia="Times New Roman" w:cs="Arial"/>
          <w:color w:val="000000" w:themeColor="text1"/>
          <w:szCs w:val="20"/>
        </w:rPr>
        <w:footnoteReference w:id="1"/>
      </w:r>
      <w:r w:rsidR="00C602EB">
        <w:rPr>
          <w:rFonts w:eastAsia="Times New Roman" w:cs="Arial"/>
          <w:color w:val="000000" w:themeColor="text1"/>
          <w:szCs w:val="20"/>
        </w:rPr>
        <w:t xml:space="preserve"> </w:t>
      </w:r>
      <w:r w:rsidR="0077673E">
        <w:rPr>
          <w:rFonts w:eastAsia="Times New Roman" w:cs="Arial"/>
          <w:color w:val="000000" w:themeColor="text1"/>
          <w:szCs w:val="20"/>
        </w:rPr>
        <w:t>Legal</w:t>
      </w:r>
      <w:r w:rsidR="003B1E74" w:rsidRPr="0099702B">
        <w:rPr>
          <w:rFonts w:eastAsia="Times New Roman" w:cs="Arial"/>
          <w:color w:val="000000" w:themeColor="text1"/>
          <w:szCs w:val="20"/>
        </w:rPr>
        <w:t xml:space="preserve"> protections against liability have been created to address the concerns of volunteers and others involved in emergency response, as well as to ensure that there are adequate numbers of medical, public health, and other individuals and institutions to participate in response efforts. These various laws work together to form a patchwork of </w:t>
      </w:r>
      <w:r w:rsidR="006F6716">
        <w:rPr>
          <w:rFonts w:eastAsia="Times New Roman" w:cs="Arial"/>
          <w:color w:val="000000" w:themeColor="text1"/>
          <w:szCs w:val="20"/>
        </w:rPr>
        <w:t>immunit</w:t>
      </w:r>
      <w:r w:rsidR="003E029C">
        <w:rPr>
          <w:rFonts w:eastAsia="Times New Roman" w:cs="Arial"/>
          <w:color w:val="000000" w:themeColor="text1"/>
          <w:szCs w:val="20"/>
        </w:rPr>
        <w:t xml:space="preserve">ies </w:t>
      </w:r>
      <w:r w:rsidR="005C4835">
        <w:rPr>
          <w:rFonts w:eastAsia="Times New Roman" w:cs="Arial"/>
          <w:color w:val="000000" w:themeColor="text1"/>
          <w:szCs w:val="20"/>
        </w:rPr>
        <w:t>and other defense</w:t>
      </w:r>
      <w:r w:rsidR="003B1E74" w:rsidRPr="0099702B">
        <w:rPr>
          <w:rFonts w:eastAsia="Times New Roman" w:cs="Arial"/>
          <w:color w:val="000000" w:themeColor="text1"/>
          <w:szCs w:val="20"/>
        </w:rPr>
        <w:t>s</w:t>
      </w:r>
      <w:r w:rsidR="000006A1">
        <w:rPr>
          <w:rFonts w:eastAsia="Times New Roman" w:cs="Arial"/>
          <w:color w:val="000000" w:themeColor="text1"/>
          <w:szCs w:val="20"/>
        </w:rPr>
        <w:t xml:space="preserve"> against liability</w:t>
      </w:r>
      <w:r w:rsidR="003B1E74" w:rsidRPr="0099702B">
        <w:rPr>
          <w:rFonts w:eastAsia="Times New Roman" w:cs="Arial"/>
          <w:color w:val="000000" w:themeColor="text1"/>
          <w:szCs w:val="20"/>
        </w:rPr>
        <w:t>. These protections, however, can be highly dependent on the nature of the services provided by the person (</w:t>
      </w:r>
      <w:r w:rsidR="0044729D">
        <w:rPr>
          <w:rFonts w:eastAsia="Times New Roman" w:cs="Arial"/>
          <w:color w:val="000000" w:themeColor="text1"/>
          <w:szCs w:val="20"/>
        </w:rPr>
        <w:t xml:space="preserve">e.g., </w:t>
      </w:r>
      <w:r w:rsidR="003B1E74" w:rsidRPr="0099702B">
        <w:rPr>
          <w:rFonts w:eastAsia="Times New Roman" w:cs="Arial"/>
          <w:color w:val="000000" w:themeColor="text1"/>
          <w:szCs w:val="20"/>
        </w:rPr>
        <w:t xml:space="preserve">volunteer vs. paid employee) and the extent of protections provided under the program the person is participating in. </w:t>
      </w:r>
    </w:p>
    <w:p w14:paraId="26098B74" w14:textId="77777777" w:rsidR="00E31B33" w:rsidRDefault="00E31B33" w:rsidP="003B1E74">
      <w:pPr>
        <w:spacing w:line="360" w:lineRule="auto"/>
        <w:rPr>
          <w:rFonts w:eastAsia="Times New Roman" w:cs="Arial"/>
          <w:color w:val="000000" w:themeColor="text1"/>
          <w:szCs w:val="20"/>
        </w:rPr>
      </w:pPr>
    </w:p>
    <w:p w14:paraId="4AF7C008" w14:textId="4C6252FE" w:rsidR="00DB1BB0" w:rsidRPr="00DB1BB0" w:rsidRDefault="003B1E74" w:rsidP="000464BC">
      <w:pPr>
        <w:spacing w:line="360" w:lineRule="auto"/>
        <w:rPr>
          <w:rFonts w:eastAsia="Times New Roman" w:cs="Arial"/>
          <w:color w:val="3C3030"/>
        </w:rPr>
      </w:pPr>
      <w:r w:rsidRPr="0099702B">
        <w:rPr>
          <w:rFonts w:eastAsia="Times New Roman" w:cs="Arial"/>
          <w:color w:val="000000" w:themeColor="text1"/>
          <w:szCs w:val="20"/>
        </w:rPr>
        <w:t xml:space="preserve">This </w:t>
      </w:r>
      <w:r w:rsidR="00DC6FBD">
        <w:rPr>
          <w:rFonts w:eastAsia="Times New Roman" w:cs="Arial"/>
          <w:color w:val="000000" w:themeColor="text1"/>
          <w:szCs w:val="20"/>
        </w:rPr>
        <w:t>document</w:t>
      </w:r>
      <w:r w:rsidRPr="0099702B">
        <w:rPr>
          <w:rFonts w:eastAsia="Times New Roman" w:cs="Arial"/>
          <w:color w:val="000000" w:themeColor="text1"/>
          <w:szCs w:val="20"/>
        </w:rPr>
        <w:t xml:space="preserve"> reviews </w:t>
      </w:r>
      <w:r w:rsidR="007E7648">
        <w:rPr>
          <w:rFonts w:eastAsia="Times New Roman" w:cs="Arial"/>
          <w:color w:val="000000" w:themeColor="text1"/>
          <w:szCs w:val="20"/>
        </w:rPr>
        <w:t xml:space="preserve">various immunity and other </w:t>
      </w:r>
      <w:r w:rsidRPr="0099702B">
        <w:rPr>
          <w:rFonts w:eastAsia="Times New Roman" w:cs="Arial"/>
          <w:color w:val="000000" w:themeColor="text1"/>
          <w:szCs w:val="20"/>
        </w:rPr>
        <w:t xml:space="preserve">liability protections for individuals and entities. </w:t>
      </w:r>
      <w:r w:rsidR="00DB1BB0" w:rsidRPr="00DB1BB0">
        <w:rPr>
          <w:rFonts w:eastAsia="Times New Roman" w:cs="Arial"/>
          <w:color w:val="3C3030"/>
        </w:rPr>
        <w:t xml:space="preserve">It should be reviewed in conjunction with two other documents in this series: </w:t>
      </w:r>
      <w:r w:rsidR="007E7648">
        <w:rPr>
          <w:rFonts w:eastAsia="Times New Roman" w:cs="Arial"/>
          <w:color w:val="3C3030"/>
        </w:rPr>
        <w:t xml:space="preserve">Liability </w:t>
      </w:r>
      <w:r w:rsidR="00DB1BB0" w:rsidRPr="00DB1BB0">
        <w:rPr>
          <w:rFonts w:eastAsia="Times New Roman" w:cs="Arial"/>
          <w:color w:val="3C3030"/>
        </w:rPr>
        <w:t xml:space="preserve">in </w:t>
      </w:r>
      <w:r w:rsidR="007E7648">
        <w:rPr>
          <w:rFonts w:eastAsia="Times New Roman" w:cs="Arial"/>
          <w:color w:val="3C3030"/>
        </w:rPr>
        <w:t>Emergency Preparedness and Response, a</w:t>
      </w:r>
      <w:r w:rsidR="00DB1BB0" w:rsidRPr="00DB1BB0">
        <w:rPr>
          <w:rFonts w:eastAsia="Times New Roman" w:cs="Arial"/>
          <w:color w:val="3C3030"/>
        </w:rPr>
        <w:t xml:space="preserve">nd Workers’ Compensation in </w:t>
      </w:r>
      <w:r w:rsidR="007E7648">
        <w:rPr>
          <w:rFonts w:eastAsia="Times New Roman" w:cs="Arial"/>
          <w:color w:val="3C3030"/>
        </w:rPr>
        <w:t>Emergency Preparedness and Response</w:t>
      </w:r>
      <w:r w:rsidR="00DB1BB0" w:rsidRPr="00DB1BB0">
        <w:rPr>
          <w:rFonts w:eastAsia="Times New Roman" w:cs="Arial"/>
          <w:color w:val="3C3030"/>
        </w:rPr>
        <w:t xml:space="preserve">. These documents address the potential theories of liability and avenues for compensation. Finally, this document is intended to provide general information on the topics presented; it is not intended to be a comprehensive treatment of the law or to provide legal advice. The laws surrounding </w:t>
      </w:r>
      <w:r w:rsidR="00964144">
        <w:rPr>
          <w:rFonts w:eastAsia="Times New Roman" w:cs="Arial"/>
          <w:color w:val="3C3030"/>
        </w:rPr>
        <w:t>immunity</w:t>
      </w:r>
      <w:r w:rsidR="00DB1BB0" w:rsidRPr="00DB1BB0">
        <w:rPr>
          <w:rFonts w:eastAsia="Times New Roman" w:cs="Arial"/>
          <w:color w:val="3C3030"/>
        </w:rPr>
        <w:t xml:space="preserve"> are a mix of common law decisions (represented in the case law of individual jurisdictions), statutory law, and constitutional law in individual states, tribes, and territories (STT), as well as federal laws that may preempt STT laws. As such, readers should examine the laws in their own jurisdictions to determine how the liability </w:t>
      </w:r>
      <w:r w:rsidR="005C297C">
        <w:rPr>
          <w:rFonts w:eastAsia="Times New Roman" w:cs="Arial"/>
          <w:color w:val="3C3030"/>
        </w:rPr>
        <w:t>prote</w:t>
      </w:r>
      <w:r w:rsidR="00AF72A9">
        <w:rPr>
          <w:rFonts w:eastAsia="Times New Roman" w:cs="Arial"/>
          <w:color w:val="3C3030"/>
        </w:rPr>
        <w:t xml:space="preserve">ctions </w:t>
      </w:r>
      <w:r w:rsidR="00DB1BB0" w:rsidRPr="00DB1BB0">
        <w:rPr>
          <w:rFonts w:eastAsia="Times New Roman" w:cs="Arial"/>
          <w:color w:val="3C3030"/>
        </w:rPr>
        <w:t>discussed here would be addressed in their specific jurisdictions.</w:t>
      </w:r>
    </w:p>
    <w:p w14:paraId="11C68C1B" w14:textId="77777777" w:rsidR="000464BC" w:rsidRPr="000464BC" w:rsidRDefault="000464BC" w:rsidP="000464BC">
      <w:pPr>
        <w:spacing w:line="360" w:lineRule="auto"/>
        <w:rPr>
          <w:rFonts w:eastAsia="Times New Roman" w:cs="Arial"/>
          <w:b/>
          <w:bCs/>
          <w:color w:val="3C3030"/>
          <w:sz w:val="24"/>
          <w:szCs w:val="24"/>
        </w:rPr>
      </w:pPr>
    </w:p>
    <w:p w14:paraId="2026E0F0" w14:textId="02B0CA66" w:rsidR="00C60596" w:rsidRPr="00C857C0" w:rsidRDefault="0099702B" w:rsidP="00C857C0">
      <w:pPr>
        <w:keepNext/>
        <w:spacing w:line="360" w:lineRule="auto"/>
        <w:rPr>
          <w:rFonts w:eastAsia="Times New Roman" w:cs="Arial"/>
          <w:b/>
          <w:bCs/>
          <w:color w:val="3C3030"/>
          <w:sz w:val="24"/>
          <w:szCs w:val="24"/>
        </w:rPr>
      </w:pPr>
      <w:r w:rsidRPr="0099702B">
        <w:rPr>
          <w:rFonts w:eastAsia="Times New Roman" w:cs="Arial"/>
          <w:b/>
          <w:bCs/>
          <w:color w:val="3C3030"/>
          <w:sz w:val="24"/>
          <w:szCs w:val="24"/>
        </w:rPr>
        <w:t>Liability Protections and Immunities</w:t>
      </w:r>
    </w:p>
    <w:p w14:paraId="5812B6DB" w14:textId="338FCD05" w:rsidR="0099702B" w:rsidRPr="000464BC" w:rsidRDefault="0099702B" w:rsidP="000464BC">
      <w:pPr>
        <w:spacing w:line="360" w:lineRule="auto"/>
        <w:rPr>
          <w:rFonts w:eastAsia="Times New Roman" w:cs="Arial"/>
          <w:b/>
          <w:bCs/>
          <w:color w:val="3C3030"/>
          <w:sz w:val="24"/>
          <w:szCs w:val="24"/>
        </w:rPr>
      </w:pPr>
      <w:r w:rsidRPr="0099702B">
        <w:rPr>
          <w:rFonts w:eastAsia="Times New Roman" w:cs="Arial"/>
          <w:color w:val="000000" w:themeColor="text1"/>
          <w:szCs w:val="20"/>
        </w:rPr>
        <w:t xml:space="preserve">While </w:t>
      </w:r>
      <w:r w:rsidR="004C2340">
        <w:rPr>
          <w:rFonts w:eastAsia="Times New Roman" w:cs="Arial"/>
          <w:color w:val="000000" w:themeColor="text1"/>
          <w:szCs w:val="20"/>
        </w:rPr>
        <w:t xml:space="preserve">real and perceived </w:t>
      </w:r>
      <w:r w:rsidR="00A338D8">
        <w:rPr>
          <w:rFonts w:eastAsia="Times New Roman" w:cs="Arial"/>
          <w:color w:val="000000" w:themeColor="text1"/>
          <w:szCs w:val="20"/>
        </w:rPr>
        <w:t>liabilities</w:t>
      </w:r>
      <w:r w:rsidRPr="0099702B">
        <w:rPr>
          <w:rFonts w:eastAsia="Times New Roman" w:cs="Arial"/>
          <w:color w:val="000000" w:themeColor="text1"/>
          <w:szCs w:val="20"/>
        </w:rPr>
        <w:t xml:space="preserve"> for various actors involved in emergency preparedness and response activities can seem daunting, there are significant sources of liability protection available at the </w:t>
      </w:r>
      <w:r w:rsidRPr="00171616">
        <w:rPr>
          <w:rFonts w:eastAsia="Times New Roman" w:cs="Arial"/>
          <w:color w:val="000000" w:themeColor="text1"/>
          <w:szCs w:val="20"/>
        </w:rPr>
        <w:t>state</w:t>
      </w:r>
      <w:r w:rsidRPr="0099702B">
        <w:rPr>
          <w:rFonts w:eastAsia="Times New Roman" w:cs="Arial"/>
          <w:color w:val="000000" w:themeColor="text1"/>
          <w:szCs w:val="20"/>
        </w:rPr>
        <w:t xml:space="preserve"> </w:t>
      </w:r>
      <w:r w:rsidRPr="0099702B">
        <w:rPr>
          <w:rFonts w:eastAsia="Times New Roman" w:cs="Arial"/>
          <w:color w:val="000000" w:themeColor="text1"/>
          <w:szCs w:val="20"/>
        </w:rPr>
        <w:lastRenderedPageBreak/>
        <w:t xml:space="preserve">and federal levels. Many of these protections were newly developed or refined </w:t>
      </w:r>
      <w:r w:rsidR="00E5766C">
        <w:rPr>
          <w:rFonts w:eastAsia="Times New Roman" w:cs="Arial"/>
          <w:color w:val="000000" w:themeColor="text1"/>
          <w:szCs w:val="20"/>
        </w:rPr>
        <w:t>in the last twenty years</w:t>
      </w:r>
      <w:r w:rsidRPr="0099702B">
        <w:rPr>
          <w:rFonts w:eastAsia="Times New Roman" w:cs="Arial"/>
          <w:color w:val="000000" w:themeColor="text1"/>
          <w:szCs w:val="20"/>
        </w:rPr>
        <w:t xml:space="preserve">. Others are fundamental principles </w:t>
      </w:r>
      <w:r w:rsidR="008226D9">
        <w:rPr>
          <w:rFonts w:eastAsia="Times New Roman" w:cs="Arial"/>
          <w:color w:val="000000" w:themeColor="text1"/>
          <w:szCs w:val="20"/>
        </w:rPr>
        <w:t>such as sovereign/</w:t>
      </w:r>
      <w:r w:rsidRPr="0099702B">
        <w:rPr>
          <w:rFonts w:eastAsia="Times New Roman" w:cs="Arial"/>
          <w:color w:val="000000" w:themeColor="text1"/>
          <w:szCs w:val="20"/>
        </w:rPr>
        <w:t>governmental immunity that continue to evolve as our understanding of modern emergencies likewise evolves. What has emerged is a mosaic of protections that can provide varying degrees of coverage: the extent to which liability protections are available to an</w:t>
      </w:r>
      <w:r w:rsidR="0039607F">
        <w:rPr>
          <w:rFonts w:eastAsia="Times New Roman" w:cs="Arial"/>
          <w:color w:val="000000" w:themeColor="text1"/>
          <w:szCs w:val="20"/>
        </w:rPr>
        <w:t>y</w:t>
      </w:r>
      <w:r w:rsidRPr="0099702B">
        <w:rPr>
          <w:rFonts w:eastAsia="Times New Roman" w:cs="Arial"/>
          <w:color w:val="000000" w:themeColor="text1"/>
          <w:szCs w:val="20"/>
        </w:rPr>
        <w:t xml:space="preserve"> individual, entity, or </w:t>
      </w:r>
      <w:r w:rsidR="00E2033E">
        <w:rPr>
          <w:rFonts w:eastAsia="Times New Roman" w:cs="Arial"/>
          <w:color w:val="000000" w:themeColor="text1"/>
          <w:szCs w:val="20"/>
        </w:rPr>
        <w:t>group of persons</w:t>
      </w:r>
      <w:r w:rsidRPr="0099702B">
        <w:rPr>
          <w:rFonts w:eastAsia="Times New Roman" w:cs="Arial"/>
          <w:color w:val="000000" w:themeColor="text1"/>
          <w:szCs w:val="20"/>
        </w:rPr>
        <w:t xml:space="preserve"> will depend on the actor, the law providing the protections, and the circumstances surrounding a particular emergency response.</w:t>
      </w:r>
      <w:r w:rsidR="00AF3614">
        <w:rPr>
          <w:rFonts w:eastAsia="Times New Roman" w:cs="Arial"/>
          <w:color w:val="000000" w:themeColor="text1"/>
          <w:szCs w:val="20"/>
        </w:rPr>
        <w:t xml:space="preserve"> </w:t>
      </w:r>
      <w:r w:rsidR="00CA2504" w:rsidRPr="0099702B">
        <w:rPr>
          <w:rFonts w:eastAsia="Times New Roman" w:cs="Arial"/>
          <w:color w:val="000000" w:themeColor="text1"/>
          <w:szCs w:val="20"/>
        </w:rPr>
        <w:t xml:space="preserve">This section reviews </w:t>
      </w:r>
      <w:r w:rsidR="0091483B">
        <w:rPr>
          <w:rFonts w:eastAsia="Times New Roman" w:cs="Arial"/>
          <w:color w:val="000000" w:themeColor="text1"/>
          <w:szCs w:val="20"/>
        </w:rPr>
        <w:t xml:space="preserve">some of the </w:t>
      </w:r>
      <w:r w:rsidR="00CA2504" w:rsidRPr="0099702B">
        <w:rPr>
          <w:rFonts w:eastAsia="Times New Roman" w:cs="Arial"/>
          <w:color w:val="000000" w:themeColor="text1"/>
          <w:szCs w:val="20"/>
        </w:rPr>
        <w:t xml:space="preserve">available </w:t>
      </w:r>
      <w:r w:rsidR="00F50E6B">
        <w:rPr>
          <w:rFonts w:eastAsia="Times New Roman" w:cs="Arial"/>
          <w:color w:val="000000" w:themeColor="text1"/>
          <w:szCs w:val="20"/>
        </w:rPr>
        <w:t>STT</w:t>
      </w:r>
      <w:r w:rsidR="00CA2504" w:rsidRPr="0099702B">
        <w:rPr>
          <w:rFonts w:eastAsia="Times New Roman" w:cs="Arial"/>
          <w:color w:val="000000" w:themeColor="text1"/>
          <w:szCs w:val="20"/>
        </w:rPr>
        <w:t xml:space="preserve"> immunity and liability protections</w:t>
      </w:r>
      <w:r w:rsidR="00E81D6F">
        <w:rPr>
          <w:rFonts w:eastAsia="Times New Roman" w:cs="Arial"/>
          <w:color w:val="000000" w:themeColor="text1"/>
          <w:szCs w:val="20"/>
        </w:rPr>
        <w:t xml:space="preserve">, </w:t>
      </w:r>
      <w:r w:rsidRPr="0099702B">
        <w:rPr>
          <w:rFonts w:eastAsia="Times New Roman" w:cs="Arial"/>
          <w:color w:val="000000" w:themeColor="text1"/>
          <w:szCs w:val="20"/>
        </w:rPr>
        <w:t xml:space="preserve">highlights the actors covered, and discusses the types and extent of liability protections provided. </w:t>
      </w:r>
    </w:p>
    <w:p w14:paraId="743986BA" w14:textId="77777777" w:rsidR="00FC3301" w:rsidRPr="0079749B" w:rsidRDefault="00FC3301" w:rsidP="00EB12E6">
      <w:pPr>
        <w:spacing w:line="360" w:lineRule="auto"/>
        <w:rPr>
          <w:rFonts w:eastAsia="Times New Roman" w:cs="Arial"/>
          <w:b/>
          <w:bCs/>
          <w:color w:val="000000" w:themeColor="text1"/>
          <w:szCs w:val="24"/>
        </w:rPr>
      </w:pPr>
    </w:p>
    <w:p w14:paraId="04A26E88" w14:textId="119180E6" w:rsidR="0099702B" w:rsidRPr="0091483B" w:rsidRDefault="0099702B" w:rsidP="000464BC">
      <w:pPr>
        <w:spacing w:line="360" w:lineRule="auto"/>
        <w:rPr>
          <w:rFonts w:eastAsia="Times New Roman" w:cs="Arial"/>
          <w:b/>
          <w:bCs/>
          <w:color w:val="3C3030"/>
        </w:rPr>
      </w:pPr>
      <w:r w:rsidRPr="0091483B">
        <w:rPr>
          <w:rFonts w:eastAsia="Times New Roman" w:cs="Arial"/>
          <w:b/>
          <w:bCs/>
          <w:color w:val="3C3030"/>
        </w:rPr>
        <w:t>Federal Liability Protections and Immunities</w:t>
      </w:r>
    </w:p>
    <w:p w14:paraId="160AA3D7" w14:textId="77777777" w:rsidR="000464BC" w:rsidRPr="000464BC" w:rsidRDefault="000464BC" w:rsidP="000464BC">
      <w:pPr>
        <w:spacing w:line="360" w:lineRule="auto"/>
        <w:rPr>
          <w:rFonts w:eastAsia="Times New Roman" w:cs="Arial"/>
          <w:b/>
          <w:bCs/>
          <w:color w:val="3C3030"/>
          <w:sz w:val="24"/>
          <w:szCs w:val="24"/>
        </w:rPr>
      </w:pPr>
    </w:p>
    <w:p w14:paraId="3BED1465" w14:textId="4108C030" w:rsidR="000464BC" w:rsidRDefault="0099702B" w:rsidP="000464BC">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Federal Governmental</w:t>
      </w:r>
      <w:r w:rsidR="006605AD">
        <w:rPr>
          <w:rFonts w:eastAsia="Times New Roman" w:cs="Arial"/>
          <w:b/>
          <w:bCs/>
          <w:color w:val="000000" w:themeColor="text1"/>
          <w:szCs w:val="20"/>
        </w:rPr>
        <w:t xml:space="preserve"> and Tribal</w:t>
      </w:r>
      <w:r w:rsidRPr="0099702B">
        <w:rPr>
          <w:rFonts w:eastAsia="Times New Roman" w:cs="Arial"/>
          <w:b/>
          <w:bCs/>
          <w:color w:val="000000" w:themeColor="text1"/>
          <w:szCs w:val="20"/>
        </w:rPr>
        <w:t>/Sovereign Immunity</w:t>
      </w:r>
    </w:p>
    <w:p w14:paraId="0ACB6AFD" w14:textId="1C025591" w:rsidR="00186B04" w:rsidRDefault="0099702B" w:rsidP="00186B04">
      <w:pPr>
        <w:spacing w:line="360" w:lineRule="auto"/>
        <w:rPr>
          <w:rFonts w:eastAsia="Times New Roman" w:cs="Arial"/>
          <w:b/>
          <w:bCs/>
          <w:color w:val="000000" w:themeColor="text1"/>
          <w:szCs w:val="20"/>
        </w:rPr>
      </w:pPr>
      <w:r w:rsidRPr="0099702B">
        <w:rPr>
          <w:rFonts w:eastAsia="Times New Roman" w:cs="Arial"/>
          <w:color w:val="000000" w:themeColor="text1"/>
          <w:szCs w:val="20"/>
        </w:rPr>
        <w:t>The federal government’s sovereign immunity has its roots in the English common law that became the foundation of the U.S. legal system as the nation developed. The common law doctrine of sovereign immunity holds that the “king”—the state—cannot commit an illegal act and therefore cannot be sued. This doctrine has been modified through court decisions and laws like the Federal Tort Claims Act</w:t>
      </w:r>
      <w:r w:rsidR="008337F8">
        <w:rPr>
          <w:rStyle w:val="FootnoteReference"/>
          <w:rFonts w:eastAsia="Times New Roman" w:cs="Arial"/>
          <w:color w:val="000000" w:themeColor="text1"/>
          <w:szCs w:val="20"/>
        </w:rPr>
        <w:footnoteReference w:id="2"/>
      </w:r>
      <w:r w:rsidRPr="0099702B">
        <w:rPr>
          <w:rFonts w:eastAsia="Times New Roman" w:cs="Arial"/>
          <w:color w:val="000000" w:themeColor="text1"/>
          <w:szCs w:val="20"/>
        </w:rPr>
        <w:t xml:space="preserve"> </w:t>
      </w:r>
      <w:r w:rsidR="00743C4D">
        <w:rPr>
          <w:rFonts w:eastAsia="Times New Roman" w:cs="Arial"/>
          <w:color w:val="000000" w:themeColor="text1"/>
          <w:szCs w:val="20"/>
        </w:rPr>
        <w:t xml:space="preserve">(FTCA) </w:t>
      </w:r>
      <w:r w:rsidRPr="0099702B">
        <w:rPr>
          <w:rFonts w:eastAsia="Times New Roman" w:cs="Arial"/>
          <w:color w:val="000000" w:themeColor="text1"/>
          <w:szCs w:val="20"/>
        </w:rPr>
        <w:t>to allow suits against federal government employees and agents in certain circumstances</w:t>
      </w:r>
      <w:r w:rsidR="00A62206" w:rsidRPr="00A62206">
        <w:rPr>
          <w:rFonts w:eastAsia="Times New Roman" w:cs="Arial"/>
          <w:color w:val="000000" w:themeColor="text1"/>
          <w:szCs w:val="20"/>
        </w:rPr>
        <w:t>.</w:t>
      </w:r>
    </w:p>
    <w:p w14:paraId="3BFE9390" w14:textId="77777777" w:rsidR="00186B04" w:rsidRDefault="00186B04" w:rsidP="00186B04">
      <w:pPr>
        <w:spacing w:line="360" w:lineRule="auto"/>
        <w:rPr>
          <w:rFonts w:eastAsia="Times New Roman" w:cs="Arial"/>
          <w:b/>
          <w:bCs/>
          <w:color w:val="000000" w:themeColor="text1"/>
          <w:szCs w:val="20"/>
        </w:rPr>
      </w:pPr>
    </w:p>
    <w:p w14:paraId="40B686E4" w14:textId="4CAEF56D" w:rsidR="00683EE0" w:rsidRPr="00B62A88" w:rsidRDefault="00FC3C83" w:rsidP="00186B04">
      <w:pPr>
        <w:spacing w:line="360" w:lineRule="auto"/>
        <w:rPr>
          <w:rFonts w:eastAsia="Times New Roman" w:cs="Arial"/>
          <w:b/>
          <w:bCs/>
          <w:color w:val="000000" w:themeColor="text1"/>
          <w:szCs w:val="20"/>
        </w:rPr>
      </w:pPr>
      <w:r w:rsidRPr="00FC3C83">
        <w:rPr>
          <w:rFonts w:eastAsia="Times New Roman" w:cstheme="minorHAnsi"/>
          <w:szCs w:val="20"/>
        </w:rPr>
        <w:t>It should be noted that t</w:t>
      </w:r>
      <w:r w:rsidR="00683EE0" w:rsidRPr="00FC3C83">
        <w:rPr>
          <w:rFonts w:eastAsia="Times New Roman" w:cstheme="minorHAnsi"/>
          <w:szCs w:val="20"/>
        </w:rPr>
        <w:t xml:space="preserve">ribal governments are </w:t>
      </w:r>
      <w:r w:rsidR="001623D4">
        <w:rPr>
          <w:rFonts w:eastAsia="Times New Roman" w:cstheme="minorHAnsi"/>
          <w:szCs w:val="20"/>
        </w:rPr>
        <w:t xml:space="preserve">also </w:t>
      </w:r>
      <w:r w:rsidR="00683EE0" w:rsidRPr="00FC3C83">
        <w:rPr>
          <w:rFonts w:eastAsia="Times New Roman" w:cstheme="minorHAnsi"/>
          <w:szCs w:val="20"/>
        </w:rPr>
        <w:t xml:space="preserve">immune for lawsuits under </w:t>
      </w:r>
      <w:r w:rsidR="001623D4">
        <w:rPr>
          <w:rFonts w:eastAsia="Times New Roman" w:cstheme="minorHAnsi"/>
          <w:szCs w:val="20"/>
        </w:rPr>
        <w:t>the principle of sov</w:t>
      </w:r>
      <w:r w:rsidR="00683EE0" w:rsidRPr="00FC3C83">
        <w:rPr>
          <w:rFonts w:eastAsia="Times New Roman" w:cstheme="minorHAnsi"/>
          <w:szCs w:val="20"/>
        </w:rPr>
        <w:t xml:space="preserve">ereign immunity. </w:t>
      </w:r>
      <w:r w:rsidR="002E781B" w:rsidRPr="00FC3C83">
        <w:rPr>
          <w:rFonts w:eastAsia="Times New Roman" w:cstheme="minorHAnsi"/>
          <w:szCs w:val="20"/>
        </w:rPr>
        <w:t>T</w:t>
      </w:r>
      <w:r w:rsidR="00683EE0" w:rsidRPr="00FC3C83">
        <w:rPr>
          <w:rFonts w:eastAsia="Times New Roman" w:cstheme="minorHAnsi"/>
          <w:szCs w:val="20"/>
        </w:rPr>
        <w:t xml:space="preserve">he U.S. Supreme Court equates the scope of tribal sovereign immunity to be equal to that of the federal government and the </w:t>
      </w:r>
      <w:r w:rsidR="00683EE0" w:rsidRPr="00C922CF">
        <w:rPr>
          <w:rFonts w:eastAsia="Times New Roman" w:cstheme="minorHAnsi"/>
          <w:szCs w:val="20"/>
        </w:rPr>
        <w:t>states.</w:t>
      </w:r>
      <w:r w:rsidRPr="00FC3C83">
        <w:rPr>
          <w:rStyle w:val="FootnoteReference"/>
          <w:rFonts w:eastAsia="Times New Roman" w:cstheme="minorHAnsi"/>
          <w:szCs w:val="20"/>
        </w:rPr>
        <w:footnoteReference w:id="3"/>
      </w:r>
      <w:r w:rsidR="00683EE0" w:rsidRPr="00FC3C83">
        <w:rPr>
          <w:rFonts w:eastAsia="Times New Roman" w:cstheme="minorHAnsi"/>
          <w:szCs w:val="20"/>
        </w:rPr>
        <w:t xml:space="preserve"> </w:t>
      </w:r>
      <w:r w:rsidR="00683EE0" w:rsidRPr="00FC3C83">
        <w:rPr>
          <w:rFonts w:eastAsia="Times New Roman" w:cs="Arial"/>
          <w:color w:val="000000" w:themeColor="text1"/>
          <w:szCs w:val="20"/>
        </w:rPr>
        <w:t xml:space="preserve">Tribal sovereign immunity has </w:t>
      </w:r>
      <w:r w:rsidR="00743C4D">
        <w:rPr>
          <w:rFonts w:eastAsia="Times New Roman" w:cs="Arial"/>
          <w:color w:val="000000" w:themeColor="text1"/>
          <w:szCs w:val="20"/>
        </w:rPr>
        <w:t xml:space="preserve">likewise been </w:t>
      </w:r>
      <w:r w:rsidR="00683EE0" w:rsidRPr="00FC3C83">
        <w:rPr>
          <w:rFonts w:eastAsia="Times New Roman" w:cs="Arial"/>
          <w:color w:val="000000" w:themeColor="text1"/>
          <w:szCs w:val="20"/>
        </w:rPr>
        <w:t>modified through court decisions and laws like the F</w:t>
      </w:r>
      <w:r w:rsidR="00743C4D">
        <w:rPr>
          <w:rFonts w:eastAsia="Times New Roman" w:cs="Arial"/>
          <w:color w:val="000000" w:themeColor="text1"/>
          <w:szCs w:val="20"/>
        </w:rPr>
        <w:t>TCA</w:t>
      </w:r>
      <w:r w:rsidR="00683EE0" w:rsidRPr="00FC3C83">
        <w:rPr>
          <w:rFonts w:eastAsia="Times New Roman" w:cs="Arial"/>
          <w:color w:val="000000" w:themeColor="text1"/>
          <w:szCs w:val="20"/>
        </w:rPr>
        <w:t xml:space="preserve"> to allow suits against tribal employees and agents in </w:t>
      </w:r>
      <w:r w:rsidR="002B6582">
        <w:rPr>
          <w:rFonts w:eastAsia="Times New Roman" w:cs="Arial"/>
          <w:color w:val="000000" w:themeColor="text1"/>
          <w:szCs w:val="20"/>
        </w:rPr>
        <w:t xml:space="preserve">specified </w:t>
      </w:r>
      <w:r w:rsidR="00683EE0" w:rsidRPr="00FC3C83">
        <w:rPr>
          <w:rFonts w:eastAsia="Times New Roman" w:cs="Arial"/>
          <w:color w:val="000000" w:themeColor="text1"/>
          <w:szCs w:val="20"/>
        </w:rPr>
        <w:t xml:space="preserve">circumstances. </w:t>
      </w:r>
    </w:p>
    <w:p w14:paraId="0E63B59B" w14:textId="77777777" w:rsidR="000A2EC6" w:rsidRPr="0079749B" w:rsidRDefault="000A2EC6" w:rsidP="00EB12E6">
      <w:pPr>
        <w:spacing w:line="360" w:lineRule="auto"/>
        <w:rPr>
          <w:rFonts w:eastAsia="Times New Roman" w:cs="Arial"/>
          <w:b/>
          <w:bCs/>
          <w:color w:val="000000" w:themeColor="text1"/>
          <w:szCs w:val="20"/>
        </w:rPr>
      </w:pPr>
    </w:p>
    <w:p w14:paraId="71CE21B0" w14:textId="77777777" w:rsidR="006605AD" w:rsidRDefault="0099702B" w:rsidP="006605AD">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Federal Tort Claims Act (FTCA)</w:t>
      </w:r>
    </w:p>
    <w:p w14:paraId="41878584" w14:textId="77777777" w:rsidR="005B2531" w:rsidRDefault="0099702B" w:rsidP="006605AD">
      <w:pPr>
        <w:spacing w:line="360" w:lineRule="auto"/>
        <w:rPr>
          <w:rFonts w:eastAsia="Times New Roman" w:cs="Arial"/>
          <w:color w:val="000000" w:themeColor="text1"/>
          <w:szCs w:val="20"/>
        </w:rPr>
      </w:pPr>
      <w:r w:rsidRPr="0099702B">
        <w:rPr>
          <w:rFonts w:eastAsia="Times New Roman" w:cs="Arial"/>
          <w:color w:val="000000" w:themeColor="text1"/>
          <w:szCs w:val="20"/>
        </w:rPr>
        <w:t>The FTCA is generally the exclusive path by which individuals can seek compensation when injured by employees acting within the scope of their work.</w:t>
      </w:r>
      <w:r w:rsidR="00607F3D">
        <w:rPr>
          <w:rStyle w:val="FootnoteReference"/>
          <w:rFonts w:eastAsia="Times New Roman" w:cs="Arial"/>
          <w:color w:val="000000" w:themeColor="text1"/>
          <w:szCs w:val="20"/>
        </w:rPr>
        <w:footnoteReference w:id="4"/>
      </w:r>
      <w:r w:rsidRPr="0099702B">
        <w:rPr>
          <w:rFonts w:eastAsia="Times New Roman" w:cs="Arial"/>
          <w:color w:val="000000" w:themeColor="text1"/>
          <w:szCs w:val="20"/>
        </w:rPr>
        <w:t xml:space="preserve"> The FTCA immunizes </w:t>
      </w:r>
      <w:r w:rsidR="00E3371B">
        <w:rPr>
          <w:rFonts w:eastAsia="Times New Roman" w:cs="Arial"/>
          <w:color w:val="000000" w:themeColor="text1"/>
          <w:szCs w:val="20"/>
        </w:rPr>
        <w:t>g</w:t>
      </w:r>
      <w:r w:rsidRPr="0099702B">
        <w:rPr>
          <w:rFonts w:eastAsia="Times New Roman" w:cs="Arial"/>
          <w:color w:val="000000" w:themeColor="text1"/>
          <w:szCs w:val="20"/>
        </w:rPr>
        <w:t>overnment employees from tort liability by substituting the federal</w:t>
      </w:r>
      <w:r w:rsidR="00E3371B">
        <w:rPr>
          <w:rFonts w:eastAsia="Times New Roman" w:cs="Arial"/>
          <w:color w:val="000000" w:themeColor="text1"/>
          <w:szCs w:val="20"/>
        </w:rPr>
        <w:t xml:space="preserve"> </w:t>
      </w:r>
      <w:r w:rsidRPr="0099702B">
        <w:rPr>
          <w:rFonts w:eastAsia="Times New Roman" w:cs="Arial"/>
          <w:color w:val="000000" w:themeColor="text1"/>
          <w:szCs w:val="20"/>
        </w:rPr>
        <w:t xml:space="preserve">government as the defendant in certain types of suits brought against the government. Specifically, the act allows suits for “injury or loss of property, or personal </w:t>
      </w:r>
      <w:r w:rsidRPr="0099702B">
        <w:rPr>
          <w:rFonts w:eastAsia="Times New Roman" w:cs="Arial"/>
          <w:color w:val="000000" w:themeColor="text1"/>
          <w:szCs w:val="20"/>
        </w:rPr>
        <w:lastRenderedPageBreak/>
        <w:t>injury or death caused by the negligent or wrongful act or omission of any employee of the government while acting within the scope of his office or employment, under circumstances where the United States, if a private person, would be liable to the claimant in accordance with the law of the place where the act or omission occurred.”</w:t>
      </w:r>
      <w:r w:rsidR="00607F3D">
        <w:rPr>
          <w:rStyle w:val="FootnoteReference"/>
          <w:rFonts w:eastAsia="Times New Roman" w:cs="Arial"/>
          <w:color w:val="000000" w:themeColor="text1"/>
          <w:szCs w:val="20"/>
        </w:rPr>
        <w:footnoteReference w:id="5"/>
      </w:r>
      <w:r w:rsidR="007E422A">
        <w:rPr>
          <w:rFonts w:eastAsia="Times New Roman" w:cs="Arial"/>
          <w:color w:val="000000" w:themeColor="text1"/>
          <w:szCs w:val="20"/>
        </w:rPr>
        <w:t xml:space="preserve"> </w:t>
      </w:r>
    </w:p>
    <w:p w14:paraId="08FA2DA1" w14:textId="77777777" w:rsidR="005B2531" w:rsidRDefault="005B2531" w:rsidP="006605AD">
      <w:pPr>
        <w:spacing w:line="360" w:lineRule="auto"/>
        <w:rPr>
          <w:rFonts w:eastAsia="Times New Roman" w:cs="Arial"/>
          <w:color w:val="000000" w:themeColor="text1"/>
          <w:szCs w:val="20"/>
        </w:rPr>
      </w:pPr>
    </w:p>
    <w:p w14:paraId="69E24C9E" w14:textId="77777777" w:rsidR="00DB2552" w:rsidRDefault="00D81CDF" w:rsidP="00DB2552">
      <w:pPr>
        <w:spacing w:line="360" w:lineRule="auto"/>
        <w:rPr>
          <w:rFonts w:cstheme="minorHAnsi"/>
          <w:color w:val="353535"/>
          <w:shd w:val="clear" w:color="auto" w:fill="FFFFFF"/>
        </w:rPr>
      </w:pPr>
      <w:r>
        <w:rPr>
          <w:rFonts w:eastAsia="Times New Roman" w:cs="Arial"/>
          <w:color w:val="000000" w:themeColor="text1"/>
          <w:szCs w:val="20"/>
        </w:rPr>
        <w:t xml:space="preserve">In the </w:t>
      </w:r>
      <w:r w:rsidRPr="00B93F85">
        <w:t>Indian Self-Determination and Education Assistance Act</w:t>
      </w:r>
      <w:r w:rsidRPr="00E63B7A">
        <w:rPr>
          <w:vertAlign w:val="superscript"/>
        </w:rPr>
        <w:footnoteReference w:id="6"/>
      </w:r>
      <w:r w:rsidRPr="00B93F85">
        <w:t xml:space="preserve">, </w:t>
      </w:r>
      <w:r w:rsidR="007E422A" w:rsidRPr="00B93F85">
        <w:t xml:space="preserve">Congress extended </w:t>
      </w:r>
      <w:r w:rsidR="00404491" w:rsidRPr="00B93F85">
        <w:t>FTCA</w:t>
      </w:r>
      <w:r w:rsidR="007E422A" w:rsidRPr="00B93F85">
        <w:t xml:space="preserve"> </w:t>
      </w:r>
      <w:r w:rsidR="00BC6E04" w:rsidRPr="00B93F85">
        <w:t>coverage to</w:t>
      </w:r>
      <w:r w:rsidR="007E422A" w:rsidRPr="00B93F85">
        <w:t xml:space="preserve"> </w:t>
      </w:r>
      <w:r w:rsidR="00404491" w:rsidRPr="00B93F85">
        <w:t xml:space="preserve">negligent acts of </w:t>
      </w:r>
      <w:r w:rsidR="00AC1028" w:rsidRPr="00B93F85">
        <w:t>t</w:t>
      </w:r>
      <w:r w:rsidR="00404491" w:rsidRPr="00B93F85">
        <w:t xml:space="preserve">ribal contractors </w:t>
      </w:r>
      <w:r w:rsidR="00721DCB" w:rsidRPr="00B93F85">
        <w:t>fulfilling</w:t>
      </w:r>
      <w:r w:rsidR="00404491" w:rsidRPr="00B93F85">
        <w:t xml:space="preserve"> </w:t>
      </w:r>
      <w:r w:rsidR="00614A48" w:rsidRPr="00B93F85">
        <w:t xml:space="preserve">federal </w:t>
      </w:r>
      <w:r w:rsidR="00404491" w:rsidRPr="00B93F85">
        <w:t>contracts, grants, or cooperative agreements</w:t>
      </w:r>
      <w:r w:rsidR="000E704C" w:rsidRPr="00B93F85">
        <w:t>, including those</w:t>
      </w:r>
      <w:r w:rsidR="00BE5690" w:rsidRPr="00B93F85">
        <w:t xml:space="preserve"> </w:t>
      </w:r>
      <w:r w:rsidR="00FB73D9" w:rsidRPr="00B93F85">
        <w:t>with the Indian Health Service.</w:t>
      </w:r>
      <w:r w:rsidR="00C76EBF" w:rsidRPr="00E63B7A">
        <w:rPr>
          <w:vertAlign w:val="superscript"/>
        </w:rPr>
        <w:footnoteReference w:id="7"/>
      </w:r>
      <w:r w:rsidR="00404491" w:rsidRPr="00B93F85">
        <w:t xml:space="preserve"> </w:t>
      </w:r>
      <w:r w:rsidR="007E422A" w:rsidRPr="00B93F85">
        <w:t>As a result of extending this coverage to tribal contractors, individuals injured by tribal employees may, under certain circumstances, seek compensation from the federal government.</w:t>
      </w:r>
      <w:r w:rsidR="00444DD7" w:rsidRPr="00B93F85">
        <w:t xml:space="preserve"> </w:t>
      </w:r>
      <w:r w:rsidR="005B2531">
        <w:t xml:space="preserve">For coverage under </w:t>
      </w:r>
      <w:r w:rsidR="005C303F">
        <w:t>FTCA</w:t>
      </w:r>
      <w:r w:rsidR="007E422A" w:rsidRPr="005B2531">
        <w:t>, a tribal employee must be acting within the scope of his or her employment</w:t>
      </w:r>
      <w:r w:rsidR="005C303F">
        <w:t xml:space="preserve"> </w:t>
      </w:r>
      <w:r w:rsidR="007E422A" w:rsidRPr="005B2531">
        <w:t>and</w:t>
      </w:r>
      <w:r w:rsidR="005C303F">
        <w:t xml:space="preserve"> </w:t>
      </w:r>
      <w:r w:rsidR="007E422A" w:rsidRPr="005B2531">
        <w:t>within the scope of the tribe’s contract or compact</w:t>
      </w:r>
      <w:r w:rsidR="005C303F">
        <w:t>.</w:t>
      </w:r>
      <w:r w:rsidR="002D69DD" w:rsidRPr="005B2531">
        <w:rPr>
          <w:vertAlign w:val="superscript"/>
        </w:rPr>
        <w:footnoteReference w:id="8"/>
      </w:r>
      <w:r w:rsidR="00404491">
        <w:rPr>
          <w:rFonts w:cstheme="minorHAnsi"/>
          <w:color w:val="353535"/>
          <w:shd w:val="clear" w:color="auto" w:fill="FFFFFF"/>
        </w:rPr>
        <w:t xml:space="preserve">   </w:t>
      </w:r>
    </w:p>
    <w:p w14:paraId="4F6D6775" w14:textId="77777777" w:rsidR="00DB2552" w:rsidRDefault="00DB2552" w:rsidP="00DB2552">
      <w:pPr>
        <w:spacing w:line="360" w:lineRule="auto"/>
        <w:rPr>
          <w:rFonts w:cstheme="minorHAnsi"/>
          <w:color w:val="353535"/>
          <w:shd w:val="clear" w:color="auto" w:fill="FFFFFF"/>
        </w:rPr>
      </w:pPr>
    </w:p>
    <w:p w14:paraId="6EAB12FD" w14:textId="45CC431F" w:rsidR="0099702B" w:rsidRDefault="0099702B" w:rsidP="00DB2552">
      <w:pPr>
        <w:spacing w:line="360" w:lineRule="auto"/>
        <w:rPr>
          <w:rFonts w:eastAsia="Times New Roman" w:cs="Arial"/>
          <w:color w:val="000000" w:themeColor="text1"/>
          <w:szCs w:val="20"/>
        </w:rPr>
      </w:pPr>
      <w:r w:rsidRPr="0099702B">
        <w:rPr>
          <w:rFonts w:eastAsia="Times New Roman" w:cs="Arial"/>
          <w:color w:val="000000" w:themeColor="text1"/>
          <w:szCs w:val="20"/>
        </w:rPr>
        <w:t xml:space="preserve">Prior to filing suit under the FTCA, a claimant must present a claim to the federal agency under which the claim arises. If the agency denies the claim or fails to </w:t>
      </w:r>
      <w:r w:rsidR="008C460D">
        <w:rPr>
          <w:rFonts w:eastAsia="Times New Roman" w:cs="Arial"/>
          <w:color w:val="000000" w:themeColor="text1"/>
          <w:szCs w:val="20"/>
        </w:rPr>
        <w:t>act</w:t>
      </w:r>
      <w:r w:rsidRPr="0099702B">
        <w:rPr>
          <w:rFonts w:eastAsia="Times New Roman" w:cs="Arial"/>
          <w:color w:val="000000" w:themeColor="text1"/>
          <w:szCs w:val="20"/>
        </w:rPr>
        <w:t xml:space="preserve"> on it within a specified time period, a claimant can file suit in federal district court. If a suit is brought, the federal government stands in as the defendant in place of </w:t>
      </w:r>
      <w:r w:rsidR="00312901">
        <w:rPr>
          <w:rFonts w:eastAsia="Times New Roman" w:cs="Arial"/>
          <w:color w:val="000000" w:themeColor="text1"/>
          <w:szCs w:val="20"/>
        </w:rPr>
        <w:t>an</w:t>
      </w:r>
      <w:r w:rsidRPr="0099702B">
        <w:rPr>
          <w:rFonts w:eastAsia="Times New Roman" w:cs="Arial"/>
          <w:color w:val="000000" w:themeColor="text1"/>
          <w:szCs w:val="20"/>
        </w:rPr>
        <w:t xml:space="preserve"> employee sued for actions within the scope of </w:t>
      </w:r>
      <w:r w:rsidR="000B579A">
        <w:rPr>
          <w:rFonts w:eastAsia="Times New Roman" w:cs="Arial"/>
          <w:color w:val="000000" w:themeColor="text1"/>
          <w:szCs w:val="20"/>
        </w:rPr>
        <w:t xml:space="preserve">their </w:t>
      </w:r>
      <w:r w:rsidRPr="0099702B">
        <w:rPr>
          <w:rFonts w:eastAsia="Times New Roman" w:cs="Arial"/>
          <w:color w:val="000000" w:themeColor="text1"/>
          <w:szCs w:val="20"/>
        </w:rPr>
        <w:t>employment. Lawsuits under the FTCA are decided by a judge rather than a jury. Coverage under the FTCA does not require that an emergency declaration be in place before immunity attaches.</w:t>
      </w:r>
    </w:p>
    <w:p w14:paraId="340467C0" w14:textId="4A20D4FC" w:rsidR="0099702B" w:rsidRPr="000844A3" w:rsidRDefault="0099702B" w:rsidP="00EB12E6">
      <w:pPr>
        <w:pStyle w:val="ListParagraph"/>
        <w:numPr>
          <w:ilvl w:val="0"/>
          <w:numId w:val="18"/>
        </w:numPr>
        <w:spacing w:after="120" w:line="360" w:lineRule="auto"/>
        <w:contextualSpacing w:val="0"/>
        <w:textAlignment w:val="baseline"/>
        <w:rPr>
          <w:rFonts w:eastAsia="Times New Roman" w:cs="Arial"/>
          <w:color w:val="000000" w:themeColor="text1"/>
          <w:szCs w:val="20"/>
        </w:rPr>
      </w:pPr>
      <w:r w:rsidRPr="000844A3">
        <w:rPr>
          <w:rFonts w:eastAsia="Times New Roman" w:cs="Arial"/>
          <w:b/>
          <w:bCs/>
          <w:color w:val="000000" w:themeColor="text1"/>
          <w:szCs w:val="20"/>
          <w:bdr w:val="none" w:sz="0" w:space="0" w:color="auto" w:frame="1"/>
        </w:rPr>
        <w:t>Actors—</w:t>
      </w:r>
      <w:r w:rsidRPr="000844A3">
        <w:rPr>
          <w:rFonts w:eastAsia="Times New Roman" w:cs="Arial"/>
          <w:color w:val="000000" w:themeColor="text1"/>
          <w:szCs w:val="20"/>
        </w:rPr>
        <w:t>The FTCA covers all government employees, including volunteer</w:t>
      </w:r>
      <w:r w:rsidR="00A84876">
        <w:rPr>
          <w:rFonts w:eastAsia="Times New Roman" w:cs="Arial"/>
          <w:color w:val="000000" w:themeColor="text1"/>
          <w:szCs w:val="20"/>
        </w:rPr>
        <w:t xml:space="preserve"> health professionals</w:t>
      </w:r>
      <w:r w:rsidR="0016497C">
        <w:rPr>
          <w:rFonts w:eastAsia="Times New Roman" w:cs="Arial"/>
          <w:color w:val="000000" w:themeColor="text1"/>
          <w:szCs w:val="20"/>
        </w:rPr>
        <w:t xml:space="preserve"> </w:t>
      </w:r>
      <w:r w:rsidR="00F350EA">
        <w:rPr>
          <w:rFonts w:eastAsia="Times New Roman" w:cs="Arial"/>
          <w:color w:val="000000" w:themeColor="text1"/>
          <w:szCs w:val="20"/>
        </w:rPr>
        <w:t>who have been</w:t>
      </w:r>
      <w:r w:rsidR="0016497C">
        <w:rPr>
          <w:rFonts w:eastAsia="Times New Roman" w:cs="Arial"/>
          <w:color w:val="000000" w:themeColor="text1"/>
          <w:szCs w:val="20"/>
        </w:rPr>
        <w:t xml:space="preserve"> deemed to be </w:t>
      </w:r>
      <w:r w:rsidR="00750D88">
        <w:rPr>
          <w:rFonts w:eastAsia="Times New Roman" w:cs="Arial"/>
          <w:color w:val="000000" w:themeColor="text1"/>
          <w:szCs w:val="20"/>
        </w:rPr>
        <w:t>federal</w:t>
      </w:r>
      <w:r w:rsidR="00995830">
        <w:rPr>
          <w:rFonts w:eastAsia="Times New Roman" w:cs="Arial"/>
          <w:color w:val="000000" w:themeColor="text1"/>
          <w:szCs w:val="20"/>
        </w:rPr>
        <w:t xml:space="preserve"> employees</w:t>
      </w:r>
      <w:r w:rsidRPr="000844A3">
        <w:rPr>
          <w:rFonts w:eastAsia="Times New Roman" w:cs="Arial"/>
          <w:color w:val="000000" w:themeColor="text1"/>
          <w:szCs w:val="20"/>
        </w:rPr>
        <w:t>; it does not cover volunteers in nongovernmental settings.</w:t>
      </w:r>
    </w:p>
    <w:p w14:paraId="280D03B3" w14:textId="3016D976" w:rsidR="0099702B" w:rsidRPr="000844A3" w:rsidRDefault="0099702B" w:rsidP="00EB12E6">
      <w:pPr>
        <w:pStyle w:val="ListParagraph"/>
        <w:numPr>
          <w:ilvl w:val="0"/>
          <w:numId w:val="18"/>
        </w:numPr>
        <w:spacing w:after="120" w:line="360" w:lineRule="auto"/>
        <w:contextualSpacing w:val="0"/>
        <w:textAlignment w:val="baseline"/>
        <w:rPr>
          <w:rFonts w:eastAsia="Times New Roman" w:cs="Arial"/>
          <w:color w:val="000000" w:themeColor="text1"/>
          <w:szCs w:val="20"/>
        </w:rPr>
      </w:pPr>
      <w:r w:rsidRPr="000844A3">
        <w:rPr>
          <w:rFonts w:eastAsia="Times New Roman" w:cs="Arial"/>
          <w:b/>
          <w:bCs/>
          <w:color w:val="000000" w:themeColor="text1"/>
          <w:szCs w:val="20"/>
          <w:bdr w:val="none" w:sz="0" w:space="0" w:color="auto" w:frame="1"/>
        </w:rPr>
        <w:t>Protections—</w:t>
      </w:r>
      <w:r w:rsidRPr="000844A3">
        <w:rPr>
          <w:rFonts w:eastAsia="Times New Roman" w:cs="Arial"/>
          <w:color w:val="000000" w:themeColor="text1"/>
          <w:szCs w:val="20"/>
        </w:rPr>
        <w:t>The FTCA contains a number of exceptions under which the United States may not be held liable even though a private employer could be held liable under state law; among these exceptions are: (1) the performance of discretionary functions; (2) commission of intentional torts; (3) injuries sustained by military personnel incident to their service. Federal employees may still be sued for violating the U.S. Constitution or a federal statute that authorizes suit against an individual</w:t>
      </w:r>
      <w:r w:rsidR="00FF48FA">
        <w:rPr>
          <w:rFonts w:eastAsia="Times New Roman" w:cs="Arial"/>
          <w:color w:val="000000" w:themeColor="text1"/>
          <w:szCs w:val="20"/>
        </w:rPr>
        <w:t>.</w:t>
      </w:r>
    </w:p>
    <w:p w14:paraId="1653A06E" w14:textId="77777777" w:rsidR="0099702B" w:rsidRPr="000844A3" w:rsidRDefault="0099702B" w:rsidP="003041C9">
      <w:pPr>
        <w:pStyle w:val="ListParagraph"/>
        <w:numPr>
          <w:ilvl w:val="0"/>
          <w:numId w:val="18"/>
        </w:numPr>
        <w:spacing w:line="360" w:lineRule="auto"/>
        <w:contextualSpacing w:val="0"/>
        <w:textAlignment w:val="baseline"/>
        <w:rPr>
          <w:rFonts w:eastAsia="Times New Roman" w:cs="Arial"/>
          <w:color w:val="000000" w:themeColor="text1"/>
          <w:szCs w:val="20"/>
        </w:rPr>
      </w:pPr>
      <w:r w:rsidRPr="000844A3">
        <w:rPr>
          <w:rFonts w:eastAsia="Times New Roman" w:cs="Arial"/>
          <w:b/>
          <w:bCs/>
          <w:color w:val="000000" w:themeColor="text1"/>
          <w:szCs w:val="20"/>
          <w:bdr w:val="none" w:sz="0" w:space="0" w:color="auto" w:frame="1"/>
        </w:rPr>
        <w:lastRenderedPageBreak/>
        <w:t>Relation to State Laws—</w:t>
      </w:r>
      <w:r w:rsidRPr="000844A3">
        <w:rPr>
          <w:rFonts w:eastAsia="Times New Roman" w:cs="Arial"/>
          <w:color w:val="000000" w:themeColor="text1"/>
          <w:szCs w:val="20"/>
        </w:rPr>
        <w:t>Federal employees are immune from suit under state tort law.</w:t>
      </w:r>
    </w:p>
    <w:p w14:paraId="4F6D4BDF" w14:textId="77777777" w:rsidR="000844A3" w:rsidRDefault="000844A3" w:rsidP="003041C9">
      <w:pPr>
        <w:spacing w:line="360" w:lineRule="auto"/>
        <w:rPr>
          <w:rFonts w:eastAsia="Times New Roman" w:cs="Arial"/>
          <w:b/>
          <w:bCs/>
          <w:color w:val="000000" w:themeColor="text1"/>
          <w:szCs w:val="20"/>
        </w:rPr>
      </w:pPr>
    </w:p>
    <w:p w14:paraId="18DAA888" w14:textId="77777777" w:rsidR="000464BC" w:rsidRDefault="0099702B" w:rsidP="000464BC">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Volunteer Protection Act</w:t>
      </w:r>
    </w:p>
    <w:p w14:paraId="6DBC95E4" w14:textId="0957D882" w:rsidR="0099702B" w:rsidRPr="000464BC" w:rsidRDefault="0099702B" w:rsidP="000464BC">
      <w:pPr>
        <w:spacing w:line="360" w:lineRule="auto"/>
        <w:rPr>
          <w:rFonts w:eastAsia="Times New Roman" w:cs="Arial"/>
          <w:b/>
          <w:bCs/>
          <w:color w:val="000000" w:themeColor="text1"/>
          <w:szCs w:val="20"/>
        </w:rPr>
      </w:pPr>
      <w:r w:rsidRPr="0099702B">
        <w:rPr>
          <w:rFonts w:eastAsia="Times New Roman" w:cs="Arial"/>
          <w:color w:val="000000" w:themeColor="text1"/>
          <w:szCs w:val="20"/>
        </w:rPr>
        <w:t>The federal Volunteer Protection Act (VPA) provides immunity for volunteers of nonprofit organizations or governmental entities against claims of ordinary negligence.</w:t>
      </w:r>
      <w:r w:rsidR="00AE6413">
        <w:rPr>
          <w:rStyle w:val="FootnoteReference"/>
          <w:rFonts w:eastAsia="Times New Roman" w:cs="Arial"/>
          <w:color w:val="000000" w:themeColor="text1"/>
          <w:szCs w:val="20"/>
        </w:rPr>
        <w:footnoteReference w:id="9"/>
      </w:r>
      <w:r w:rsidRPr="0099702B">
        <w:rPr>
          <w:rFonts w:eastAsia="Times New Roman" w:cs="Arial"/>
          <w:color w:val="000000" w:themeColor="text1"/>
          <w:szCs w:val="20"/>
        </w:rPr>
        <w:t xml:space="preserve"> The act does not require that an emergency declaration be in place for its protections to apply.</w:t>
      </w:r>
    </w:p>
    <w:p w14:paraId="76CF4F06" w14:textId="77777777" w:rsidR="0099702B" w:rsidRPr="000844A3" w:rsidRDefault="0099702B" w:rsidP="00EB12E6">
      <w:pPr>
        <w:pStyle w:val="ListParagraph"/>
        <w:numPr>
          <w:ilvl w:val="0"/>
          <w:numId w:val="19"/>
        </w:numPr>
        <w:spacing w:after="120" w:line="360" w:lineRule="auto"/>
        <w:contextualSpacing w:val="0"/>
        <w:textAlignment w:val="baseline"/>
        <w:rPr>
          <w:rFonts w:eastAsia="Times New Roman" w:cs="Arial"/>
          <w:color w:val="000000" w:themeColor="text1"/>
          <w:szCs w:val="20"/>
        </w:rPr>
      </w:pPr>
      <w:r w:rsidRPr="000844A3">
        <w:rPr>
          <w:rFonts w:eastAsia="Times New Roman" w:cs="Arial"/>
          <w:b/>
          <w:bCs/>
          <w:color w:val="000000" w:themeColor="text1"/>
          <w:szCs w:val="20"/>
          <w:bdr w:val="none" w:sz="0" w:space="0" w:color="auto" w:frame="1"/>
        </w:rPr>
        <w:t>Actors—</w:t>
      </w:r>
      <w:r w:rsidRPr="000844A3">
        <w:rPr>
          <w:rFonts w:eastAsia="Times New Roman" w:cs="Arial"/>
          <w:color w:val="000000" w:themeColor="text1"/>
          <w:szCs w:val="20"/>
        </w:rPr>
        <w:t>The VPA protects individual volunteers who are working without compensation and within their scope of responsibility for a governmental entity or nonprofit organization. VPA does not protect volunteers working in businesses (including for-profit hospitals) and organizational entities of any type (including nonprofit or governmental organizations) that use volunteers.</w:t>
      </w:r>
    </w:p>
    <w:p w14:paraId="0A179B7C" w14:textId="77777777" w:rsidR="0099702B" w:rsidRPr="000844A3" w:rsidRDefault="0099702B" w:rsidP="00EB12E6">
      <w:pPr>
        <w:pStyle w:val="ListParagraph"/>
        <w:numPr>
          <w:ilvl w:val="0"/>
          <w:numId w:val="19"/>
        </w:numPr>
        <w:spacing w:after="120" w:line="360" w:lineRule="auto"/>
        <w:contextualSpacing w:val="0"/>
        <w:textAlignment w:val="baseline"/>
        <w:rPr>
          <w:rFonts w:eastAsia="Times New Roman" w:cs="Arial"/>
          <w:color w:val="000000" w:themeColor="text1"/>
          <w:szCs w:val="20"/>
        </w:rPr>
      </w:pPr>
      <w:r w:rsidRPr="000844A3">
        <w:rPr>
          <w:rFonts w:eastAsia="Times New Roman" w:cs="Arial"/>
          <w:b/>
          <w:bCs/>
          <w:color w:val="000000" w:themeColor="text1"/>
          <w:szCs w:val="20"/>
          <w:bdr w:val="none" w:sz="0" w:space="0" w:color="auto" w:frame="1"/>
        </w:rPr>
        <w:t>Protections—</w:t>
      </w:r>
      <w:r w:rsidRPr="000844A3">
        <w:rPr>
          <w:rFonts w:eastAsia="Times New Roman" w:cs="Arial"/>
          <w:color w:val="000000" w:themeColor="text1"/>
          <w:szCs w:val="20"/>
        </w:rPr>
        <w:t>The VPA shields volunteers from ordinary negligence. It does not protect volunteers from liability for: (1) actions beyond ordinary negligence (e.g., gross negligence); (2) actions for which the volunteer is not properly licensed or insured; (3) operation of a motor or other vehicle that requires a license and insurance; or (4) for any criminal conduct or civil rights violations. A plaintiff’s right to recover is limited to punitive damages from a protected volunteer; the VPA does not provide for payment of defense costs or payment of a judgment or settlement. The act also does not prohibit a nonprofit or governmental entity from suing its own volunteers.</w:t>
      </w:r>
    </w:p>
    <w:p w14:paraId="46B492BA" w14:textId="60FC2EA2" w:rsidR="0099702B" w:rsidRPr="000844A3" w:rsidRDefault="0099702B" w:rsidP="00EB12E6">
      <w:pPr>
        <w:pStyle w:val="ListParagraph"/>
        <w:numPr>
          <w:ilvl w:val="0"/>
          <w:numId w:val="19"/>
        </w:numPr>
        <w:spacing w:after="120" w:line="360" w:lineRule="auto"/>
        <w:contextualSpacing w:val="0"/>
        <w:textAlignment w:val="baseline"/>
        <w:rPr>
          <w:rFonts w:eastAsia="Times New Roman" w:cs="Arial"/>
          <w:color w:val="000000" w:themeColor="text1"/>
          <w:szCs w:val="20"/>
        </w:rPr>
      </w:pPr>
      <w:r w:rsidRPr="000844A3">
        <w:rPr>
          <w:rFonts w:eastAsia="Times New Roman" w:cs="Arial"/>
          <w:b/>
          <w:bCs/>
          <w:color w:val="000000" w:themeColor="text1"/>
          <w:szCs w:val="20"/>
          <w:bdr w:val="none" w:sz="0" w:space="0" w:color="auto" w:frame="1"/>
        </w:rPr>
        <w:t>Relation to State Laws—</w:t>
      </w:r>
      <w:r w:rsidRPr="000844A3">
        <w:rPr>
          <w:rFonts w:eastAsia="Times New Roman" w:cs="Arial"/>
          <w:color w:val="000000" w:themeColor="text1"/>
          <w:szCs w:val="20"/>
        </w:rPr>
        <w:t>The VPA expressly preempts state volunteer protection laws that provide less coverage than the VPA; states can adopt laws that provide greater protections than the VPA</w:t>
      </w:r>
      <w:r w:rsidR="00E23383">
        <w:rPr>
          <w:rFonts w:eastAsia="Times New Roman" w:cs="Arial"/>
          <w:color w:val="000000" w:themeColor="text1"/>
          <w:szCs w:val="20"/>
        </w:rPr>
        <w:t xml:space="preserve"> and thereby opt out of the federal </w:t>
      </w:r>
      <w:r w:rsidR="00D87824">
        <w:rPr>
          <w:rFonts w:eastAsia="Times New Roman" w:cs="Arial"/>
          <w:color w:val="000000" w:themeColor="text1"/>
          <w:szCs w:val="20"/>
        </w:rPr>
        <w:t>VPA</w:t>
      </w:r>
      <w:r w:rsidRPr="000844A3">
        <w:rPr>
          <w:rFonts w:eastAsia="Times New Roman" w:cs="Arial"/>
          <w:color w:val="000000" w:themeColor="text1"/>
          <w:szCs w:val="20"/>
        </w:rPr>
        <w:t>.</w:t>
      </w:r>
      <w:r w:rsidR="007A6E48">
        <w:rPr>
          <w:rFonts w:eastAsia="Times New Roman" w:cs="Arial"/>
          <w:color w:val="000000" w:themeColor="text1"/>
          <w:szCs w:val="20"/>
        </w:rPr>
        <w:t xml:space="preserve"> </w:t>
      </w:r>
      <w:r w:rsidR="0091136D">
        <w:rPr>
          <w:rFonts w:eastAsia="Times New Roman" w:cs="Arial"/>
          <w:color w:val="000000" w:themeColor="text1"/>
          <w:szCs w:val="20"/>
        </w:rPr>
        <w:t>States can also enact legislation that makes VPA inapplicable to state citizens in state courts.</w:t>
      </w:r>
      <w:r w:rsidR="0091136D" w:rsidRPr="000844A3">
        <w:rPr>
          <w:rFonts w:eastAsia="Times New Roman" w:cs="Arial"/>
          <w:color w:val="000000" w:themeColor="text1"/>
          <w:szCs w:val="20"/>
        </w:rPr>
        <w:t xml:space="preserve"> </w:t>
      </w:r>
    </w:p>
    <w:p w14:paraId="0FFE9720" w14:textId="77777777" w:rsidR="000844A3" w:rsidRDefault="000844A3" w:rsidP="00EB12E6">
      <w:pPr>
        <w:spacing w:line="360" w:lineRule="auto"/>
        <w:rPr>
          <w:rFonts w:eastAsia="Times New Roman" w:cs="Arial"/>
          <w:b/>
          <w:bCs/>
          <w:color w:val="000000" w:themeColor="text1"/>
          <w:szCs w:val="20"/>
        </w:rPr>
      </w:pPr>
    </w:p>
    <w:p w14:paraId="6B46846D" w14:textId="77777777" w:rsidR="000464BC" w:rsidRDefault="0099702B" w:rsidP="000464BC">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Public Readiness and Emergency Preparedness Act (PREP Act)</w:t>
      </w:r>
    </w:p>
    <w:p w14:paraId="46DCFA15" w14:textId="4FDEF244" w:rsidR="0099702B" w:rsidRPr="000464BC" w:rsidRDefault="0099702B" w:rsidP="000464BC">
      <w:pPr>
        <w:spacing w:line="360" w:lineRule="auto"/>
        <w:rPr>
          <w:rFonts w:eastAsia="Times New Roman" w:cs="Arial"/>
          <w:b/>
          <w:bCs/>
          <w:color w:val="000000" w:themeColor="text1"/>
          <w:szCs w:val="20"/>
        </w:rPr>
      </w:pPr>
      <w:r w:rsidRPr="0099702B">
        <w:rPr>
          <w:rFonts w:eastAsia="Times New Roman" w:cs="Arial"/>
          <w:color w:val="000000" w:themeColor="text1"/>
          <w:szCs w:val="20"/>
        </w:rPr>
        <w:t xml:space="preserve">The Public Readiness and Emergency Preparedness Act of 2005 (PREP Act) </w:t>
      </w:r>
      <w:r w:rsidR="003E2AC2" w:rsidRPr="00547FAC">
        <w:rPr>
          <w:color w:val="000000" w:themeColor="text1"/>
        </w:rPr>
        <w:t xml:space="preserve">authorizes the Health and Human Services </w:t>
      </w:r>
      <w:r w:rsidR="003E2AC2">
        <w:rPr>
          <w:color w:val="000000" w:themeColor="text1"/>
        </w:rPr>
        <w:t xml:space="preserve">Secretary </w:t>
      </w:r>
      <w:r w:rsidR="003E2AC2" w:rsidRPr="00547FAC">
        <w:rPr>
          <w:color w:val="000000" w:themeColor="text1"/>
        </w:rPr>
        <w:t xml:space="preserve">to issue a declaration that provides immunity from liability </w:t>
      </w:r>
      <w:r w:rsidR="003E2AC2">
        <w:rPr>
          <w:color w:val="000000" w:themeColor="text1"/>
        </w:rPr>
        <w:t xml:space="preserve">to specified actors </w:t>
      </w:r>
      <w:r w:rsidR="003E2AC2" w:rsidRPr="00547FAC">
        <w:rPr>
          <w:color w:val="000000" w:themeColor="text1"/>
        </w:rPr>
        <w:t xml:space="preserve">for claims of loss caused by </w:t>
      </w:r>
      <w:r w:rsidR="003E2AC2">
        <w:rPr>
          <w:color w:val="000000" w:themeColor="text1"/>
        </w:rPr>
        <w:t xml:space="preserve">or related to </w:t>
      </w:r>
      <w:r w:rsidR="003E2AC2" w:rsidRPr="00547FAC">
        <w:rPr>
          <w:color w:val="000000" w:themeColor="text1"/>
        </w:rPr>
        <w:t xml:space="preserve">countermeasures (e.g., vaccines, drugs, </w:t>
      </w:r>
      <w:r w:rsidR="003E2AC2">
        <w:rPr>
          <w:color w:val="000000" w:themeColor="text1"/>
        </w:rPr>
        <w:t>devices</w:t>
      </w:r>
      <w:r w:rsidR="003E2AC2" w:rsidRPr="00547FAC">
        <w:rPr>
          <w:color w:val="000000" w:themeColor="text1"/>
        </w:rPr>
        <w:t xml:space="preserve">) against diseases or other threats </w:t>
      </w:r>
      <w:r w:rsidR="003E2AC2">
        <w:rPr>
          <w:color w:val="000000" w:themeColor="text1"/>
        </w:rPr>
        <w:t xml:space="preserve">which have been determined by the HHS Secretary to be a </w:t>
      </w:r>
      <w:r w:rsidR="003E2AC2" w:rsidRPr="00547FAC">
        <w:rPr>
          <w:color w:val="000000" w:themeColor="text1"/>
        </w:rPr>
        <w:t>public health emergenc</w:t>
      </w:r>
      <w:r w:rsidR="003E2AC2">
        <w:rPr>
          <w:color w:val="000000" w:themeColor="text1"/>
        </w:rPr>
        <w:t>y or pose a credible threat of a public health emergency</w:t>
      </w:r>
      <w:r w:rsidR="003E2AC2" w:rsidRPr="00547FAC">
        <w:rPr>
          <w:color w:val="000000" w:themeColor="text1"/>
        </w:rPr>
        <w:t>.</w:t>
      </w:r>
      <w:r w:rsidR="00A612EC">
        <w:rPr>
          <w:rStyle w:val="FootnoteReference"/>
          <w:rFonts w:eastAsia="Times New Roman" w:cs="Arial"/>
          <w:color w:val="000000" w:themeColor="text1"/>
          <w:szCs w:val="20"/>
        </w:rPr>
        <w:footnoteReference w:id="10"/>
      </w:r>
      <w:r w:rsidRPr="0099702B">
        <w:rPr>
          <w:rFonts w:eastAsia="Times New Roman" w:cs="Arial"/>
          <w:color w:val="000000" w:themeColor="text1"/>
          <w:szCs w:val="20"/>
        </w:rPr>
        <w:t xml:space="preserve"> </w:t>
      </w:r>
      <w:r w:rsidR="00780510" w:rsidRPr="00547FAC">
        <w:rPr>
          <w:color w:val="000000" w:themeColor="text1"/>
        </w:rPr>
        <w:t xml:space="preserve">The PREP Act added new </w:t>
      </w:r>
      <w:r w:rsidR="00780510" w:rsidRPr="00547FAC">
        <w:rPr>
          <w:color w:val="000000" w:themeColor="text1"/>
        </w:rPr>
        <w:lastRenderedPageBreak/>
        <w:t xml:space="preserve">authorities </w:t>
      </w:r>
      <w:r w:rsidR="00780510">
        <w:rPr>
          <w:color w:val="000000" w:themeColor="text1"/>
        </w:rPr>
        <w:t>to</w:t>
      </w:r>
      <w:r w:rsidR="00780510" w:rsidRPr="00547FAC">
        <w:rPr>
          <w:color w:val="000000" w:themeColor="text1"/>
        </w:rPr>
        <w:t xml:space="preserve"> the Public Health Service Act to address concerns about potential liability associated with the development and administration of countermeasures. </w:t>
      </w:r>
      <w:r w:rsidR="00780510" w:rsidRPr="00547FAC">
        <w:t xml:space="preserve">A PREP Act declaration is different from, and independent of, other federal emergency declarations. A separate public health emergency determination under </w:t>
      </w:r>
      <w:r w:rsidR="00780510" w:rsidRPr="00547FAC">
        <w:rPr>
          <w:bdr w:val="none" w:sz="0" w:space="0" w:color="auto" w:frame="1"/>
        </w:rPr>
        <w:t xml:space="preserve">Public Health Service Act </w:t>
      </w:r>
      <w:r w:rsidR="00E806B3">
        <w:rPr>
          <w:bdr w:val="none" w:sz="0" w:space="0" w:color="auto" w:frame="1"/>
        </w:rPr>
        <w:t>s</w:t>
      </w:r>
      <w:r w:rsidR="00780510" w:rsidRPr="00547FAC">
        <w:rPr>
          <w:bdr w:val="none" w:sz="0" w:space="0" w:color="auto" w:frame="1"/>
        </w:rPr>
        <w:t xml:space="preserve">ection 319 </w:t>
      </w:r>
      <w:r w:rsidR="00780510" w:rsidRPr="00547FAC">
        <w:t>or another statute is not required for PREP Act immunities to take effect</w:t>
      </w:r>
      <w:r w:rsidR="00780510">
        <w:t xml:space="preserve"> unless the language of the PREP Act declaration conditions it effect on other determinations or declarations</w:t>
      </w:r>
      <w:r w:rsidR="00780510" w:rsidRPr="00547FAC">
        <w:t>.</w:t>
      </w:r>
      <w:r w:rsidR="00780510" w:rsidRPr="00547FAC">
        <w:rPr>
          <w:rStyle w:val="FootnoteReference"/>
          <w:rFonts w:eastAsia="Times New Roman" w:cs="Arial"/>
          <w:color w:val="000000" w:themeColor="text1"/>
        </w:rPr>
        <w:footnoteReference w:id="11"/>
      </w:r>
    </w:p>
    <w:p w14:paraId="2672D43E" w14:textId="04C92201" w:rsidR="0099702B" w:rsidRPr="001C40BE" w:rsidRDefault="0099702B" w:rsidP="00EB12E6">
      <w:pPr>
        <w:pStyle w:val="ListParagraph"/>
        <w:numPr>
          <w:ilvl w:val="0"/>
          <w:numId w:val="20"/>
        </w:numPr>
        <w:spacing w:after="120" w:line="360" w:lineRule="auto"/>
        <w:contextualSpacing w:val="0"/>
        <w:textAlignment w:val="baseline"/>
        <w:rPr>
          <w:rFonts w:eastAsia="Times New Roman" w:cs="Arial"/>
          <w:color w:val="000000" w:themeColor="text1"/>
          <w:szCs w:val="20"/>
        </w:rPr>
      </w:pPr>
      <w:r w:rsidRPr="001C40BE">
        <w:rPr>
          <w:rFonts w:eastAsia="Times New Roman" w:cs="Arial"/>
          <w:b/>
          <w:bCs/>
          <w:color w:val="000000" w:themeColor="text1"/>
          <w:szCs w:val="20"/>
          <w:bdr w:val="none" w:sz="0" w:space="0" w:color="auto" w:frame="1"/>
        </w:rPr>
        <w:t>Actors—</w:t>
      </w:r>
      <w:r w:rsidRPr="001C40BE">
        <w:rPr>
          <w:rFonts w:eastAsia="Times New Roman" w:cs="Arial"/>
          <w:color w:val="000000" w:themeColor="text1"/>
          <w:szCs w:val="20"/>
        </w:rPr>
        <w:t xml:space="preserve">The PREP Act covers individual persons and entities. Covered persons may, at the secretary’s discretion, include manufacturers, distributors, program planners </w:t>
      </w:r>
      <w:r w:rsidR="00B14D50">
        <w:rPr>
          <w:rFonts w:eastAsia="Times New Roman" w:cs="Arial"/>
          <w:color w:val="000000" w:themeColor="text1"/>
        </w:rPr>
        <w:t>(i.e., state, tribal, local and territorial entities and individuals involved in planning or administering programs for the distribution of countermeasures</w:t>
      </w:r>
      <w:r w:rsidRPr="001C40BE">
        <w:rPr>
          <w:rFonts w:eastAsia="Times New Roman" w:cs="Arial"/>
          <w:color w:val="000000" w:themeColor="text1"/>
          <w:szCs w:val="20"/>
        </w:rPr>
        <w:t>), and qualified persons who prescribe, administer, or dispense countermeasures (i.e., healthcare and other providers), as well as the United States. Officials, agents, and employees of any of these entities or persons are also covered persons.</w:t>
      </w:r>
    </w:p>
    <w:p w14:paraId="1E45157C" w14:textId="77777777" w:rsidR="0099702B" w:rsidRPr="001C40BE" w:rsidRDefault="0099702B" w:rsidP="00EB12E6">
      <w:pPr>
        <w:pStyle w:val="ListParagraph"/>
        <w:numPr>
          <w:ilvl w:val="0"/>
          <w:numId w:val="20"/>
        </w:numPr>
        <w:spacing w:after="120" w:line="360" w:lineRule="auto"/>
        <w:contextualSpacing w:val="0"/>
        <w:textAlignment w:val="baseline"/>
        <w:rPr>
          <w:rFonts w:eastAsia="Times New Roman" w:cs="Arial"/>
          <w:color w:val="000000" w:themeColor="text1"/>
          <w:szCs w:val="20"/>
        </w:rPr>
      </w:pPr>
      <w:r w:rsidRPr="001C40BE">
        <w:rPr>
          <w:rFonts w:eastAsia="Times New Roman" w:cs="Arial"/>
          <w:b/>
          <w:bCs/>
          <w:color w:val="000000" w:themeColor="text1"/>
          <w:szCs w:val="20"/>
          <w:bdr w:val="none" w:sz="0" w:space="0" w:color="auto" w:frame="1"/>
        </w:rPr>
        <w:t>Activities Covered—</w:t>
      </w:r>
      <w:r w:rsidRPr="001C40BE">
        <w:rPr>
          <w:rFonts w:eastAsia="Times New Roman" w:cs="Arial"/>
          <w:color w:val="000000" w:themeColor="text1"/>
          <w:szCs w:val="20"/>
        </w:rPr>
        <w:t>The immunity applies to the development, manufacture, testing, distribution, administration, and use of countermeasures.</w:t>
      </w:r>
    </w:p>
    <w:p w14:paraId="5B55EA0C" w14:textId="77777777" w:rsidR="0099702B" w:rsidRPr="001C40BE" w:rsidRDefault="0099702B" w:rsidP="00EB12E6">
      <w:pPr>
        <w:pStyle w:val="ListParagraph"/>
        <w:numPr>
          <w:ilvl w:val="0"/>
          <w:numId w:val="20"/>
        </w:numPr>
        <w:spacing w:after="120" w:line="360" w:lineRule="auto"/>
        <w:contextualSpacing w:val="0"/>
        <w:textAlignment w:val="baseline"/>
        <w:rPr>
          <w:rFonts w:eastAsia="Times New Roman" w:cs="Arial"/>
          <w:color w:val="000000" w:themeColor="text1"/>
          <w:szCs w:val="20"/>
        </w:rPr>
      </w:pPr>
      <w:r w:rsidRPr="001C40BE">
        <w:rPr>
          <w:rFonts w:eastAsia="Times New Roman" w:cs="Arial"/>
          <w:b/>
          <w:bCs/>
          <w:color w:val="000000" w:themeColor="text1"/>
          <w:szCs w:val="20"/>
          <w:bdr w:val="none" w:sz="0" w:space="0" w:color="auto" w:frame="1"/>
        </w:rPr>
        <w:t>Countermeasures Covered—</w:t>
      </w:r>
      <w:r w:rsidRPr="001C40BE">
        <w:rPr>
          <w:rFonts w:eastAsia="Times New Roman" w:cs="Arial"/>
          <w:color w:val="000000" w:themeColor="text1"/>
          <w:szCs w:val="20"/>
        </w:rPr>
        <w:t>Countermeasures can include vaccines, drugs, or medical devices to be used against chemical, biological, radiological, and nuclear agents of terrorism, epidemics, and pandemics.</w:t>
      </w:r>
    </w:p>
    <w:p w14:paraId="26B220A7" w14:textId="0AF8C6E2" w:rsidR="006D4974" w:rsidRDefault="0099702B" w:rsidP="003041C9">
      <w:pPr>
        <w:pStyle w:val="ListParagraph"/>
        <w:numPr>
          <w:ilvl w:val="0"/>
          <w:numId w:val="20"/>
        </w:numPr>
        <w:spacing w:line="360" w:lineRule="auto"/>
        <w:contextualSpacing w:val="0"/>
        <w:textAlignment w:val="baseline"/>
        <w:rPr>
          <w:rFonts w:eastAsia="Times New Roman" w:cs="Arial"/>
          <w:color w:val="000000" w:themeColor="text1"/>
          <w:szCs w:val="20"/>
        </w:rPr>
      </w:pPr>
      <w:r w:rsidRPr="001C40BE">
        <w:rPr>
          <w:rFonts w:eastAsia="Times New Roman" w:cs="Arial"/>
          <w:b/>
          <w:bCs/>
          <w:color w:val="000000" w:themeColor="text1"/>
          <w:szCs w:val="20"/>
          <w:bdr w:val="none" w:sz="0" w:space="0" w:color="auto" w:frame="1"/>
        </w:rPr>
        <w:t>Protections—</w:t>
      </w:r>
      <w:r w:rsidRPr="001C40BE">
        <w:rPr>
          <w:rFonts w:eastAsia="Times New Roman" w:cs="Arial"/>
          <w:color w:val="000000" w:themeColor="text1"/>
          <w:szCs w:val="20"/>
        </w:rPr>
        <w:t>The PREP Act provides immunity from tort liability (except for willful misconduct) for the condition or fear of death, physical, mental, emotional, injury, illness, or disability. Immunity includes covering claims for medical monitoring and the loss or damage to property, including business interruption. Claims must have a causal relationship to the development, distribution, administration, or use of the covered countermeasure. The PREP Act also authorizes an emergency fund, the Countermeasures Injury Compensation Program (CICP), to provide compensation for injuries directly caused by administration or use of a countermeasure covered by the HHS secretary’s declaration.</w:t>
      </w:r>
    </w:p>
    <w:p w14:paraId="04F27D7C" w14:textId="77777777" w:rsidR="00147C79" w:rsidRDefault="00147C79" w:rsidP="003041C9">
      <w:pPr>
        <w:pStyle w:val="ListParagraph"/>
        <w:spacing w:line="360" w:lineRule="auto"/>
        <w:ind w:left="360"/>
        <w:contextualSpacing w:val="0"/>
        <w:textAlignment w:val="baseline"/>
        <w:rPr>
          <w:rFonts w:eastAsia="Times New Roman" w:cs="Arial"/>
          <w:color w:val="000000" w:themeColor="text1"/>
          <w:szCs w:val="20"/>
        </w:rPr>
      </w:pPr>
    </w:p>
    <w:p w14:paraId="0A00AA73" w14:textId="4A3A6D06" w:rsidR="0099702B" w:rsidRPr="001C40BE" w:rsidRDefault="0099702B" w:rsidP="006D4974">
      <w:pPr>
        <w:pStyle w:val="ListParagraph"/>
        <w:spacing w:after="120" w:line="360" w:lineRule="auto"/>
        <w:ind w:left="360"/>
        <w:contextualSpacing w:val="0"/>
        <w:textAlignment w:val="baseline"/>
        <w:rPr>
          <w:rFonts w:eastAsia="Times New Roman" w:cs="Arial"/>
          <w:color w:val="000000" w:themeColor="text1"/>
          <w:szCs w:val="20"/>
        </w:rPr>
      </w:pPr>
      <w:r w:rsidRPr="001C40BE">
        <w:rPr>
          <w:rFonts w:eastAsia="Times New Roman" w:cs="Arial"/>
          <w:color w:val="000000" w:themeColor="text1"/>
          <w:szCs w:val="20"/>
        </w:rPr>
        <w:t xml:space="preserve">A PREP Act declaration by the HHS secretary only relates to providing immunity from liability for the covered persons and activities related to covered countermeasures. The act’s liability protections do </w:t>
      </w:r>
      <w:r w:rsidRPr="001C40BE">
        <w:rPr>
          <w:rFonts w:eastAsia="Times New Roman" w:cs="Arial"/>
          <w:color w:val="000000" w:themeColor="text1"/>
          <w:szCs w:val="20"/>
        </w:rPr>
        <w:lastRenderedPageBreak/>
        <w:t xml:space="preserve">not apply where the liability arose from willful misconduct. It also does not protect individuals who violate a person’s civil rights or who violate the </w:t>
      </w:r>
      <w:r w:rsidR="00CF6A22">
        <w:rPr>
          <w:rFonts w:eastAsia="Times New Roman" w:cs="Arial"/>
          <w:color w:val="000000" w:themeColor="text1"/>
          <w:szCs w:val="20"/>
        </w:rPr>
        <w:t>Americans with Disabilities Act</w:t>
      </w:r>
      <w:r w:rsidRPr="001C40BE">
        <w:rPr>
          <w:rFonts w:eastAsia="Times New Roman" w:cs="Arial"/>
          <w:color w:val="000000" w:themeColor="text1"/>
          <w:szCs w:val="20"/>
        </w:rPr>
        <w:t>, among other exceptions. Furthermore, the PREP Act does not automatically protect everyone involved in a medical response to an emergency. Liability protection under the PREP Act is limited to a specific emergency and includes only the countermeasures and other conditions listed in the PREP Act declaration.</w:t>
      </w:r>
    </w:p>
    <w:p w14:paraId="6FB803EC" w14:textId="77777777" w:rsidR="006008E8" w:rsidRDefault="006008E8" w:rsidP="00EB12E6">
      <w:pPr>
        <w:spacing w:line="360" w:lineRule="auto"/>
        <w:rPr>
          <w:rFonts w:eastAsia="Times New Roman" w:cs="Arial"/>
          <w:b/>
          <w:bCs/>
          <w:color w:val="3C3030"/>
          <w:sz w:val="24"/>
          <w:szCs w:val="24"/>
        </w:rPr>
      </w:pPr>
    </w:p>
    <w:p w14:paraId="5697BA51" w14:textId="79C2CA5D" w:rsidR="0099702B" w:rsidRPr="0099702B" w:rsidRDefault="0099702B" w:rsidP="00EB12E6">
      <w:pPr>
        <w:spacing w:line="360" w:lineRule="auto"/>
        <w:rPr>
          <w:rFonts w:eastAsia="Times New Roman" w:cs="Arial"/>
          <w:b/>
          <w:bCs/>
          <w:color w:val="3C3030"/>
          <w:sz w:val="24"/>
          <w:szCs w:val="24"/>
        </w:rPr>
      </w:pPr>
      <w:r w:rsidRPr="0099702B">
        <w:rPr>
          <w:rFonts w:eastAsia="Times New Roman" w:cs="Arial"/>
          <w:b/>
          <w:bCs/>
          <w:color w:val="3C3030"/>
          <w:sz w:val="24"/>
          <w:szCs w:val="24"/>
        </w:rPr>
        <w:t>State Liability Protections and Immunities</w:t>
      </w:r>
    </w:p>
    <w:p w14:paraId="4F66EB7C" w14:textId="77777777" w:rsidR="0079749B" w:rsidRPr="002A2B2D" w:rsidRDefault="0079749B" w:rsidP="00EB12E6">
      <w:pPr>
        <w:spacing w:line="360" w:lineRule="auto"/>
        <w:rPr>
          <w:rFonts w:eastAsia="Times New Roman" w:cs="Arial"/>
          <w:b/>
          <w:bCs/>
          <w:color w:val="000000" w:themeColor="text1"/>
          <w:szCs w:val="20"/>
        </w:rPr>
      </w:pPr>
    </w:p>
    <w:p w14:paraId="28D83AEA" w14:textId="77777777" w:rsidR="005720D7" w:rsidRDefault="0099702B" w:rsidP="005720D7">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State Governmental/Sovereign Immunity</w:t>
      </w:r>
    </w:p>
    <w:p w14:paraId="7492C2AD" w14:textId="33D0786F" w:rsidR="0099702B" w:rsidRPr="005720D7" w:rsidRDefault="0099702B" w:rsidP="005720D7">
      <w:pPr>
        <w:spacing w:line="360" w:lineRule="auto"/>
        <w:rPr>
          <w:rFonts w:eastAsia="Times New Roman" w:cs="Arial"/>
          <w:b/>
          <w:bCs/>
          <w:color w:val="000000" w:themeColor="text1"/>
          <w:szCs w:val="20"/>
        </w:rPr>
      </w:pPr>
      <w:r w:rsidRPr="0099702B">
        <w:rPr>
          <w:rFonts w:eastAsia="Times New Roman" w:cs="Arial"/>
          <w:color w:val="000000" w:themeColor="text1"/>
          <w:szCs w:val="20"/>
        </w:rPr>
        <w:t>State governments are immune from lawsuits under sovereign immunity conferred by the 11th Amendment of the U.S. Constitution. Like the federal government, some states have waived this immunity in certain circumstances through state tort claims or state claims acts. These acts generally immunize government employees from tort liability for acts or omissions committed within their scope of employment. Some states cap the amount of money damages available from a judgment against the state and frequently prohibit the recovery of punitive damages against the state. Some states extend these protections to volunteers; others declare them unpaid state employees during an emergency.</w:t>
      </w:r>
    </w:p>
    <w:p w14:paraId="7D5B1074" w14:textId="77777777" w:rsidR="002A2B2D" w:rsidRPr="002A2B2D" w:rsidRDefault="002A2B2D" w:rsidP="00EB12E6">
      <w:pPr>
        <w:spacing w:line="360" w:lineRule="auto"/>
        <w:rPr>
          <w:rFonts w:eastAsia="Times New Roman" w:cs="Arial"/>
          <w:b/>
          <w:bCs/>
          <w:color w:val="000000" w:themeColor="text1"/>
          <w:szCs w:val="20"/>
        </w:rPr>
      </w:pPr>
    </w:p>
    <w:p w14:paraId="2141DA01" w14:textId="77777777" w:rsidR="005720D7" w:rsidRDefault="0099702B" w:rsidP="005720D7">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State Tort Claims Acts</w:t>
      </w:r>
    </w:p>
    <w:p w14:paraId="5D22F77C" w14:textId="21301C02" w:rsidR="0099702B" w:rsidRPr="005720D7" w:rsidRDefault="0099702B" w:rsidP="005720D7">
      <w:pPr>
        <w:spacing w:line="360" w:lineRule="auto"/>
        <w:rPr>
          <w:rFonts w:eastAsia="Times New Roman" w:cs="Arial"/>
          <w:b/>
          <w:bCs/>
          <w:color w:val="000000" w:themeColor="text1"/>
          <w:szCs w:val="20"/>
        </w:rPr>
      </w:pPr>
      <w:r w:rsidRPr="0099702B">
        <w:rPr>
          <w:rFonts w:eastAsia="Times New Roman" w:cs="Arial"/>
          <w:color w:val="000000" w:themeColor="text1"/>
          <w:szCs w:val="20"/>
        </w:rPr>
        <w:t>State tort claims acts are generally modeled after the FTCA and are the most common type of statutory waiver of sovereign immunity.</w:t>
      </w:r>
      <w:r w:rsidR="00AF771F">
        <w:rPr>
          <w:rStyle w:val="FootnoteReference"/>
          <w:rFonts w:eastAsia="Times New Roman" w:cs="Arial"/>
          <w:color w:val="000000" w:themeColor="text1"/>
          <w:szCs w:val="20"/>
        </w:rPr>
        <w:footnoteReference w:id="12"/>
      </w:r>
      <w:r w:rsidRPr="0099702B">
        <w:rPr>
          <w:rFonts w:eastAsia="Times New Roman" w:cs="Arial"/>
          <w:color w:val="000000" w:themeColor="text1"/>
          <w:szCs w:val="20"/>
        </w:rPr>
        <w:t xml:space="preserve"> These types of laws either abolish state sovereign immunity generally and provide immunity </w:t>
      </w:r>
      <w:r w:rsidR="00F104E8">
        <w:rPr>
          <w:rFonts w:eastAsia="Times New Roman" w:cs="Arial"/>
          <w:color w:val="000000" w:themeColor="text1"/>
          <w:szCs w:val="20"/>
        </w:rPr>
        <w:t xml:space="preserve">only in </w:t>
      </w:r>
      <w:r w:rsidRPr="0099702B">
        <w:rPr>
          <w:rFonts w:eastAsia="Times New Roman" w:cs="Arial"/>
          <w:color w:val="000000" w:themeColor="text1"/>
          <w:szCs w:val="20"/>
        </w:rPr>
        <w:t xml:space="preserve">specific </w:t>
      </w:r>
      <w:r w:rsidR="001772E1" w:rsidRPr="0099702B">
        <w:rPr>
          <w:rFonts w:eastAsia="Times New Roman" w:cs="Arial"/>
          <w:color w:val="000000" w:themeColor="text1"/>
          <w:szCs w:val="20"/>
        </w:rPr>
        <w:t>circumstances or</w:t>
      </w:r>
      <w:r w:rsidRPr="0099702B">
        <w:rPr>
          <w:rFonts w:eastAsia="Times New Roman" w:cs="Arial"/>
          <w:color w:val="000000" w:themeColor="text1"/>
          <w:szCs w:val="20"/>
        </w:rPr>
        <w:t xml:space="preserve"> </w:t>
      </w:r>
      <w:r w:rsidR="00707286">
        <w:rPr>
          <w:rFonts w:eastAsia="Times New Roman" w:cs="Arial"/>
          <w:color w:val="000000" w:themeColor="text1"/>
          <w:szCs w:val="20"/>
        </w:rPr>
        <w:t xml:space="preserve">they </w:t>
      </w:r>
      <w:r w:rsidRPr="0099702B">
        <w:rPr>
          <w:rFonts w:eastAsia="Times New Roman" w:cs="Arial"/>
          <w:color w:val="000000" w:themeColor="text1"/>
          <w:szCs w:val="20"/>
        </w:rPr>
        <w:t>preserve sovereign immunity generally but identify certain exceptions in which immunity is waived.</w:t>
      </w:r>
    </w:p>
    <w:p w14:paraId="7BFFB57C" w14:textId="77777777" w:rsidR="002A2B2D" w:rsidRPr="002A2B2D" w:rsidRDefault="002A2B2D" w:rsidP="00EB12E6">
      <w:pPr>
        <w:spacing w:line="360" w:lineRule="auto"/>
        <w:rPr>
          <w:rFonts w:eastAsia="Times New Roman" w:cs="Arial"/>
          <w:b/>
          <w:bCs/>
          <w:color w:val="000000" w:themeColor="text1"/>
          <w:szCs w:val="20"/>
        </w:rPr>
      </w:pPr>
    </w:p>
    <w:p w14:paraId="7470E11C" w14:textId="77777777" w:rsidR="005720D7" w:rsidRDefault="0099702B" w:rsidP="00F8082D">
      <w:pPr>
        <w:keepNext/>
        <w:spacing w:line="360" w:lineRule="auto"/>
        <w:rPr>
          <w:rFonts w:eastAsia="Times New Roman" w:cs="Arial"/>
          <w:b/>
          <w:bCs/>
          <w:color w:val="000000" w:themeColor="text1"/>
          <w:szCs w:val="20"/>
        </w:rPr>
      </w:pPr>
      <w:r w:rsidRPr="0099702B">
        <w:rPr>
          <w:rFonts w:eastAsia="Times New Roman" w:cs="Arial"/>
          <w:b/>
          <w:bCs/>
          <w:color w:val="000000" w:themeColor="text1"/>
          <w:szCs w:val="20"/>
        </w:rPr>
        <w:t>State Claims Acts</w:t>
      </w:r>
    </w:p>
    <w:p w14:paraId="5E82642C" w14:textId="61A840F7" w:rsidR="0099702B" w:rsidRPr="005720D7" w:rsidRDefault="0099702B" w:rsidP="005720D7">
      <w:pPr>
        <w:spacing w:line="360" w:lineRule="auto"/>
        <w:rPr>
          <w:rFonts w:eastAsia="Times New Roman" w:cs="Arial"/>
          <w:b/>
          <w:bCs/>
          <w:color w:val="000000" w:themeColor="text1"/>
          <w:szCs w:val="20"/>
        </w:rPr>
      </w:pPr>
      <w:r w:rsidRPr="0099702B">
        <w:rPr>
          <w:rFonts w:eastAsia="Times New Roman" w:cs="Arial"/>
          <w:color w:val="000000" w:themeColor="text1"/>
          <w:szCs w:val="20"/>
        </w:rPr>
        <w:t>State claims acts are contrasted with state tort claims acts.</w:t>
      </w:r>
      <w:r w:rsidR="00F8082D">
        <w:rPr>
          <w:rStyle w:val="FootnoteReference"/>
          <w:rFonts w:eastAsia="Times New Roman" w:cs="Arial"/>
          <w:color w:val="000000" w:themeColor="text1"/>
          <w:szCs w:val="20"/>
        </w:rPr>
        <w:footnoteReference w:id="13"/>
      </w:r>
      <w:r w:rsidRPr="0099702B">
        <w:rPr>
          <w:rFonts w:eastAsia="Times New Roman" w:cs="Arial"/>
          <w:color w:val="000000" w:themeColor="text1"/>
          <w:szCs w:val="20"/>
        </w:rPr>
        <w:t xml:space="preserve"> Claims acts limit state sovereign immunity by establishing procedures for making claims against the state, which are overseen by a special claims </w:t>
      </w:r>
      <w:r w:rsidRPr="0099702B">
        <w:rPr>
          <w:rFonts w:eastAsia="Times New Roman" w:cs="Arial"/>
          <w:color w:val="000000" w:themeColor="text1"/>
          <w:szCs w:val="20"/>
        </w:rPr>
        <w:lastRenderedPageBreak/>
        <w:t>court. The claims courts are empowered to decide claims, limit the amount of damages, and find exceptions to liability.</w:t>
      </w:r>
    </w:p>
    <w:p w14:paraId="51FD4190" w14:textId="77777777" w:rsidR="002A2B2D" w:rsidRPr="002A2B2D" w:rsidRDefault="002A2B2D" w:rsidP="00EB12E6">
      <w:pPr>
        <w:spacing w:line="360" w:lineRule="auto"/>
        <w:rPr>
          <w:rFonts w:eastAsia="Times New Roman" w:cs="Arial"/>
          <w:b/>
          <w:bCs/>
          <w:color w:val="000000" w:themeColor="text1"/>
          <w:szCs w:val="20"/>
        </w:rPr>
      </w:pPr>
    </w:p>
    <w:p w14:paraId="01D40DFE" w14:textId="2EB32B20" w:rsidR="005720D7" w:rsidRDefault="0099702B" w:rsidP="005720D7">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 xml:space="preserve">Emergency </w:t>
      </w:r>
      <w:r w:rsidR="007833A5">
        <w:rPr>
          <w:rFonts w:eastAsia="Times New Roman" w:cs="Arial"/>
          <w:b/>
          <w:bCs/>
          <w:color w:val="000000" w:themeColor="text1"/>
          <w:szCs w:val="20"/>
        </w:rPr>
        <w:t>Authorities</w:t>
      </w:r>
      <w:r w:rsidRPr="0099702B">
        <w:rPr>
          <w:rFonts w:eastAsia="Times New Roman" w:cs="Arial"/>
          <w:b/>
          <w:bCs/>
          <w:color w:val="000000" w:themeColor="text1"/>
          <w:szCs w:val="20"/>
        </w:rPr>
        <w:t xml:space="preserve"> Statutes</w:t>
      </w:r>
    </w:p>
    <w:p w14:paraId="6A228B35" w14:textId="5ED0B4A1" w:rsidR="0099702B" w:rsidRPr="005720D7" w:rsidRDefault="0099702B" w:rsidP="005720D7">
      <w:pPr>
        <w:spacing w:line="360" w:lineRule="auto"/>
        <w:rPr>
          <w:rFonts w:eastAsia="Times New Roman" w:cs="Arial"/>
          <w:b/>
          <w:bCs/>
          <w:color w:val="000000" w:themeColor="text1"/>
          <w:szCs w:val="20"/>
        </w:rPr>
      </w:pPr>
      <w:r w:rsidRPr="0099702B">
        <w:rPr>
          <w:rFonts w:eastAsia="Times New Roman" w:cs="Arial"/>
          <w:color w:val="000000" w:themeColor="text1"/>
          <w:szCs w:val="20"/>
        </w:rPr>
        <w:t xml:space="preserve">State emergency laws can trigger additional </w:t>
      </w:r>
      <w:r w:rsidR="00A9537D">
        <w:rPr>
          <w:rFonts w:eastAsia="Times New Roman" w:cs="Arial"/>
          <w:color w:val="000000" w:themeColor="text1"/>
          <w:szCs w:val="20"/>
        </w:rPr>
        <w:t>legal authorities</w:t>
      </w:r>
      <w:r w:rsidRPr="0099702B">
        <w:rPr>
          <w:rFonts w:eastAsia="Times New Roman" w:cs="Arial"/>
          <w:color w:val="000000" w:themeColor="text1"/>
          <w:szCs w:val="20"/>
        </w:rPr>
        <w:t>, suspend certain administrative requirements, and provide or enhance liability protections to specified responders upon a gubernatorial declaration of emergency.</w:t>
      </w:r>
      <w:r w:rsidR="006970B2">
        <w:rPr>
          <w:rStyle w:val="FootnoteReference"/>
          <w:rFonts w:eastAsia="Times New Roman" w:cs="Arial"/>
          <w:color w:val="000000" w:themeColor="text1"/>
          <w:szCs w:val="20"/>
        </w:rPr>
        <w:footnoteReference w:id="14"/>
      </w:r>
      <w:r w:rsidRPr="0099702B">
        <w:rPr>
          <w:rFonts w:eastAsia="Times New Roman" w:cs="Arial"/>
          <w:color w:val="000000" w:themeColor="text1"/>
          <w:szCs w:val="20"/>
        </w:rPr>
        <w:t xml:space="preserve"> These emergency statutes may include liability protections for specified groups of volunteers and other responders that are more tailored to their services (e.g., health, fire, law enforcement, or engineering). These statutes can extend the rights and immunities provided to governmental employees to volunteers performing work that is eligible for coverage under governmental immunity and state tort claims acts. There is a wide range in the types and degrees of coverage provided to volunteers under emergency powers statutes. The provisions can be broad or duplicative of other provisions in state law.</w:t>
      </w:r>
    </w:p>
    <w:p w14:paraId="7868EC94" w14:textId="77777777" w:rsidR="002A2B2D" w:rsidRDefault="002A2B2D" w:rsidP="00EB12E6">
      <w:pPr>
        <w:spacing w:line="360" w:lineRule="auto"/>
        <w:rPr>
          <w:rFonts w:eastAsia="Times New Roman" w:cs="Arial"/>
          <w:b/>
          <w:bCs/>
          <w:color w:val="000000" w:themeColor="text1"/>
          <w:szCs w:val="20"/>
        </w:rPr>
      </w:pPr>
    </w:p>
    <w:p w14:paraId="4A4361D8" w14:textId="35D99D00" w:rsidR="0099702B" w:rsidRPr="0099702B" w:rsidRDefault="0099702B"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State General Volunteer Protection Statutes</w:t>
      </w:r>
    </w:p>
    <w:p w14:paraId="160D8366" w14:textId="40149F9A" w:rsidR="0099702B" w:rsidRPr="0099702B" w:rsidRDefault="0099702B" w:rsidP="00EB12E6">
      <w:pPr>
        <w:spacing w:line="360" w:lineRule="auto"/>
        <w:rPr>
          <w:rFonts w:eastAsia="Times New Roman" w:cs="Arial"/>
          <w:color w:val="000000" w:themeColor="text1"/>
          <w:szCs w:val="20"/>
        </w:rPr>
      </w:pPr>
      <w:r w:rsidRPr="0099702B">
        <w:rPr>
          <w:rFonts w:eastAsia="Times New Roman" w:cs="Arial"/>
          <w:color w:val="000000" w:themeColor="text1"/>
          <w:szCs w:val="20"/>
        </w:rPr>
        <w:t xml:space="preserve">All states have some statutory protections for volunteers. The federal VPA (see above) preempts state laws that are less protective than the </w:t>
      </w:r>
      <w:r w:rsidR="00CC0355" w:rsidRPr="0099702B">
        <w:rPr>
          <w:rFonts w:eastAsia="Times New Roman" w:cs="Arial"/>
          <w:color w:val="000000" w:themeColor="text1"/>
          <w:szCs w:val="20"/>
        </w:rPr>
        <w:t>VPA but</w:t>
      </w:r>
      <w:r w:rsidRPr="0099702B">
        <w:rPr>
          <w:rFonts w:eastAsia="Times New Roman" w:cs="Arial"/>
          <w:color w:val="000000" w:themeColor="text1"/>
          <w:szCs w:val="20"/>
        </w:rPr>
        <w:t xml:space="preserve"> allows states to pass laws with greater protections. Generally, like the </w:t>
      </w:r>
      <w:r w:rsidR="001D2CD2">
        <w:rPr>
          <w:rFonts w:eastAsia="Times New Roman" w:cs="Arial"/>
          <w:color w:val="000000" w:themeColor="text1"/>
          <w:szCs w:val="20"/>
        </w:rPr>
        <w:t xml:space="preserve">federal </w:t>
      </w:r>
      <w:r w:rsidRPr="0099702B">
        <w:rPr>
          <w:rFonts w:eastAsia="Times New Roman" w:cs="Arial"/>
          <w:color w:val="000000" w:themeColor="text1"/>
          <w:szCs w:val="20"/>
        </w:rPr>
        <w:t>VPA, these statutes do not require that an emergency declaration be in place, apply to uncompensated individual volunteers for nonprofit and governmental entities only, and apply only to individual persons and not to organizations. However, because each state’s approach is different, it is important to identify what actors, actions, and liability protections are covered and those that are not under a specific state’s statute.</w:t>
      </w:r>
      <w:r w:rsidR="00B66796">
        <w:rPr>
          <w:rStyle w:val="FootnoteReference"/>
          <w:rFonts w:eastAsia="Times New Roman" w:cs="Arial"/>
          <w:color w:val="000000" w:themeColor="text1"/>
          <w:szCs w:val="20"/>
        </w:rPr>
        <w:footnoteReference w:id="15"/>
      </w:r>
    </w:p>
    <w:p w14:paraId="40D22878" w14:textId="77777777" w:rsidR="002A2B2D" w:rsidRDefault="002A2B2D" w:rsidP="00EB12E6">
      <w:pPr>
        <w:spacing w:line="360" w:lineRule="auto"/>
        <w:rPr>
          <w:rFonts w:eastAsia="Times New Roman" w:cs="Arial"/>
          <w:b/>
          <w:bCs/>
          <w:color w:val="000000" w:themeColor="text1"/>
          <w:szCs w:val="20"/>
        </w:rPr>
      </w:pPr>
    </w:p>
    <w:p w14:paraId="7D706F99" w14:textId="77777777" w:rsidR="005720D7" w:rsidRDefault="0099702B" w:rsidP="005720D7">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State Healthcare Volunteer Protection Statutes</w:t>
      </w:r>
    </w:p>
    <w:p w14:paraId="22A7BE59" w14:textId="77C9C221" w:rsidR="0099702B" w:rsidRPr="005720D7" w:rsidRDefault="0099702B" w:rsidP="005720D7">
      <w:pPr>
        <w:spacing w:line="360" w:lineRule="auto"/>
        <w:rPr>
          <w:rFonts w:eastAsia="Times New Roman" w:cs="Arial"/>
          <w:b/>
          <w:bCs/>
          <w:color w:val="000000" w:themeColor="text1"/>
          <w:szCs w:val="20"/>
        </w:rPr>
      </w:pPr>
      <w:r w:rsidRPr="0099702B">
        <w:rPr>
          <w:rFonts w:eastAsia="Times New Roman" w:cs="Arial"/>
          <w:color w:val="000000" w:themeColor="text1"/>
          <w:szCs w:val="20"/>
        </w:rPr>
        <w:lastRenderedPageBreak/>
        <w:t>Many states have also adopted specific liability protections for volunteer health professionals (VHPs) in addition to or to supplement their emergency powers and general volunteer protection statutes.</w:t>
      </w:r>
      <w:r w:rsidR="007A1298">
        <w:rPr>
          <w:rStyle w:val="FootnoteReference"/>
          <w:rFonts w:eastAsia="Times New Roman" w:cs="Arial"/>
          <w:color w:val="000000" w:themeColor="text1"/>
          <w:szCs w:val="20"/>
        </w:rPr>
        <w:footnoteReference w:id="16"/>
      </w:r>
      <w:r w:rsidRPr="0099702B">
        <w:rPr>
          <w:rFonts w:eastAsia="Times New Roman" w:cs="Arial"/>
          <w:color w:val="000000" w:themeColor="text1"/>
          <w:szCs w:val="20"/>
        </w:rPr>
        <w:t xml:space="preserve"> Like the VPA, VHP protection statutes confer immunity to volunteers from civil liability provided that certain conditions are met and are not dependent on the existence of an emergency declaration. </w:t>
      </w:r>
    </w:p>
    <w:p w14:paraId="6D4A3F10" w14:textId="77777777" w:rsidR="002A2B2D" w:rsidRDefault="002A2B2D" w:rsidP="00EB12E6">
      <w:pPr>
        <w:spacing w:line="360" w:lineRule="auto"/>
        <w:rPr>
          <w:rFonts w:eastAsia="Times New Roman" w:cs="Arial"/>
          <w:b/>
          <w:bCs/>
          <w:color w:val="000000" w:themeColor="text1"/>
          <w:szCs w:val="20"/>
        </w:rPr>
      </w:pPr>
    </w:p>
    <w:p w14:paraId="0BC314FA" w14:textId="77777777" w:rsidR="005720D7" w:rsidRDefault="0099702B" w:rsidP="005720D7">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Uniform Emergency Volunteer Health Practitioners Act (UEVHPA)</w:t>
      </w:r>
    </w:p>
    <w:p w14:paraId="23020691" w14:textId="400A821E" w:rsidR="0099702B" w:rsidRPr="005720D7" w:rsidRDefault="0099702B" w:rsidP="005720D7">
      <w:pPr>
        <w:spacing w:line="360" w:lineRule="auto"/>
        <w:rPr>
          <w:rFonts w:eastAsia="Times New Roman" w:cs="Arial"/>
          <w:b/>
          <w:bCs/>
          <w:color w:val="000000" w:themeColor="text1"/>
          <w:szCs w:val="20"/>
        </w:rPr>
      </w:pPr>
      <w:r w:rsidRPr="0099702B">
        <w:rPr>
          <w:rFonts w:eastAsia="Times New Roman" w:cs="Arial"/>
          <w:color w:val="000000" w:themeColor="text1"/>
          <w:szCs w:val="20"/>
        </w:rPr>
        <w:t>Some states have adopted the Uniform Emergency Volunteer Health Practitioners Act (UEVHPA), which is uniform model law adopted by the Uniform Law Commission.</w:t>
      </w:r>
      <w:r w:rsidR="004B483F">
        <w:rPr>
          <w:rStyle w:val="FootnoteReference"/>
          <w:rFonts w:eastAsia="Times New Roman" w:cs="Arial"/>
          <w:color w:val="000000" w:themeColor="text1"/>
          <w:szCs w:val="20"/>
        </w:rPr>
        <w:footnoteReference w:id="17"/>
      </w:r>
      <w:r w:rsidRPr="0099702B">
        <w:rPr>
          <w:rFonts w:eastAsia="Times New Roman" w:cs="Arial"/>
          <w:color w:val="000000" w:themeColor="text1"/>
          <w:szCs w:val="20"/>
        </w:rPr>
        <w:t xml:space="preserve"> The UEVHPA was conceived as a way to further supplement the number of VHPs who can rapidly respond to emergency events, particularly since traditional mutual aid approaches were viewed as insufficient to rapidly deploy VHPs. The UEVHPA permits health professionals to register either in advance of or during an emergency to provide volunteer services in an enacting state. Under the UEVHPA, VHPs can register through governmentally established registration systems (e.g., ESAR-VHP or Medical Reserve Corps) or with registration systems established by disaster relief organizations, licensing boards, or national or multi-state systems established by associations of licensing boards or health professionals. UVEHPA liability protections become effective upon the state emergency declaration.</w:t>
      </w:r>
    </w:p>
    <w:p w14:paraId="57E8C399" w14:textId="77777777" w:rsidR="002A2B2D" w:rsidRDefault="002A2B2D" w:rsidP="00EB12E6">
      <w:pPr>
        <w:spacing w:line="360" w:lineRule="auto"/>
        <w:rPr>
          <w:rFonts w:eastAsia="Times New Roman" w:cs="Arial"/>
          <w:b/>
          <w:bCs/>
          <w:color w:val="000000" w:themeColor="text1"/>
          <w:szCs w:val="20"/>
        </w:rPr>
      </w:pPr>
    </w:p>
    <w:p w14:paraId="3191F27D" w14:textId="77777777" w:rsidR="005720D7" w:rsidRDefault="0099702B" w:rsidP="005720D7">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Good Samaritan Laws</w:t>
      </w:r>
    </w:p>
    <w:p w14:paraId="0BBBCA00" w14:textId="577834CA" w:rsidR="0099702B" w:rsidRPr="005720D7" w:rsidRDefault="0099702B" w:rsidP="005720D7">
      <w:pPr>
        <w:spacing w:line="360" w:lineRule="auto"/>
        <w:rPr>
          <w:rFonts w:eastAsia="Times New Roman" w:cs="Arial"/>
          <w:b/>
          <w:bCs/>
          <w:color w:val="000000" w:themeColor="text1"/>
          <w:szCs w:val="20"/>
        </w:rPr>
      </w:pPr>
      <w:r w:rsidRPr="0099702B">
        <w:rPr>
          <w:rFonts w:eastAsia="Times New Roman" w:cs="Arial"/>
          <w:color w:val="000000" w:themeColor="text1"/>
          <w:szCs w:val="20"/>
        </w:rPr>
        <w:t>Good Samaritan laws can provide liability protection to volunteers who are near an emergency event and respond to help victims. No formal emergency declaration or activation of the volunteer as part of an emergency response force is required for Good Samaritan liability protections to attach. Every state has a Good Samaritan statute, but the actors eligible for coverage and qualifying circumstances under which care is delivered varies.</w:t>
      </w:r>
      <w:r w:rsidR="00860351">
        <w:rPr>
          <w:rStyle w:val="FootnoteReference"/>
          <w:rFonts w:eastAsia="Times New Roman" w:cs="Arial"/>
          <w:color w:val="000000" w:themeColor="text1"/>
          <w:szCs w:val="20"/>
        </w:rPr>
        <w:footnoteReference w:id="18"/>
      </w:r>
      <w:r w:rsidRPr="0099702B">
        <w:rPr>
          <w:rFonts w:eastAsia="Times New Roman" w:cs="Arial"/>
          <w:color w:val="000000" w:themeColor="text1"/>
          <w:szCs w:val="20"/>
        </w:rPr>
        <w:t xml:space="preserve"> Generally, Good Samaritan statutes cover the spontaneous rendering of aid and reduce the standard of care that would normally be required of the person supplying aid (e.g., a doctor or nurse helping a victim at the scene of an accident) to account for the exigent circumstances in which the care is being delivered. These laws generally do not apply to employees on duty (e.g., EMTs) </w:t>
      </w:r>
      <w:r w:rsidRPr="0099702B">
        <w:rPr>
          <w:rFonts w:eastAsia="Times New Roman" w:cs="Arial"/>
          <w:color w:val="000000" w:themeColor="text1"/>
          <w:szCs w:val="20"/>
        </w:rPr>
        <w:lastRenderedPageBreak/>
        <w:t>and may not apply for pre-arranged or compensated volunteers. Good Samaritan laws provide limited immunity from civil liability for ordinary negligence to protected volunteers; they do not provide payment for defense costs, judgments, or settlements. As with other volunteer protection statutes, Good Samaritan laws do not cover egregious conduct.</w:t>
      </w:r>
    </w:p>
    <w:p w14:paraId="22FF3428" w14:textId="77777777" w:rsidR="002A2B2D" w:rsidRDefault="002A2B2D" w:rsidP="00EB12E6">
      <w:pPr>
        <w:spacing w:line="360" w:lineRule="auto"/>
        <w:rPr>
          <w:rFonts w:eastAsia="Times New Roman" w:cs="Arial"/>
          <w:b/>
          <w:bCs/>
          <w:color w:val="000000" w:themeColor="text1"/>
          <w:szCs w:val="20"/>
        </w:rPr>
      </w:pPr>
    </w:p>
    <w:p w14:paraId="181FC265" w14:textId="1FFE82E2" w:rsidR="0099702B" w:rsidRPr="008765E1" w:rsidRDefault="008765E1" w:rsidP="008765E1">
      <w:pPr>
        <w:spacing w:line="360" w:lineRule="auto"/>
        <w:textAlignment w:val="baseline"/>
        <w:rPr>
          <w:rFonts w:eastAsia="Times New Roman" w:cs="Arial"/>
          <w:color w:val="000000" w:themeColor="text1"/>
          <w:szCs w:val="20"/>
        </w:rPr>
      </w:pPr>
      <w:r>
        <w:rPr>
          <w:rFonts w:eastAsia="Times New Roman" w:cs="Arial"/>
          <w:color w:val="000000" w:themeColor="text1"/>
          <w:szCs w:val="20"/>
        </w:rPr>
        <w:t xml:space="preserve">The UEVHPA also includes provisions related to </w:t>
      </w:r>
      <w:r w:rsidR="0099702B" w:rsidRPr="008765E1">
        <w:rPr>
          <w:rFonts w:eastAsia="Times New Roman" w:cs="Arial"/>
          <w:color w:val="000000" w:themeColor="text1"/>
          <w:szCs w:val="20"/>
        </w:rPr>
        <w:t>entity liability</w:t>
      </w:r>
      <w:r>
        <w:rPr>
          <w:rFonts w:eastAsia="Times New Roman" w:cs="Arial"/>
          <w:color w:val="000000" w:themeColor="text1"/>
          <w:szCs w:val="20"/>
        </w:rPr>
        <w:t xml:space="preserve">. </w:t>
      </w:r>
      <w:r w:rsidR="00200443">
        <w:rPr>
          <w:rFonts w:eastAsia="Times New Roman" w:cs="Arial"/>
          <w:color w:val="000000" w:themeColor="text1"/>
          <w:szCs w:val="20"/>
        </w:rPr>
        <w:t>The act</w:t>
      </w:r>
      <w:r w:rsidR="0099702B" w:rsidRPr="008765E1">
        <w:rPr>
          <w:rFonts w:eastAsia="Times New Roman" w:cs="Arial"/>
          <w:color w:val="000000" w:themeColor="text1"/>
          <w:szCs w:val="20"/>
        </w:rPr>
        <w:t xml:space="preserve"> offers two alternatives to states for protecting volunteer health professionals during emergencies: Alternative A grants individual and entity liability protections for volunteer health professionals. Alternative B grants protection only to individuals who are uncompensated volunteers based on the criteria in the federal Volunteer Protection Act.</w:t>
      </w:r>
    </w:p>
    <w:p w14:paraId="660A2277" w14:textId="77777777" w:rsidR="003241AC" w:rsidRDefault="003241AC" w:rsidP="00EB12E6">
      <w:pPr>
        <w:spacing w:line="360" w:lineRule="auto"/>
        <w:rPr>
          <w:rFonts w:eastAsia="Times New Roman" w:cs="Arial"/>
          <w:b/>
          <w:bCs/>
          <w:color w:val="000000" w:themeColor="text1"/>
          <w:szCs w:val="20"/>
        </w:rPr>
      </w:pPr>
    </w:p>
    <w:p w14:paraId="7F87456E" w14:textId="77777777" w:rsidR="005720D7" w:rsidRDefault="0099702B" w:rsidP="005720D7">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Mutual Aid Agreements</w:t>
      </w:r>
    </w:p>
    <w:p w14:paraId="48A42127" w14:textId="35D87003" w:rsidR="00C91B48" w:rsidRDefault="0099702B" w:rsidP="005720D7">
      <w:pPr>
        <w:spacing w:line="360" w:lineRule="auto"/>
        <w:rPr>
          <w:rFonts w:eastAsia="Times New Roman" w:cs="Arial"/>
          <w:b/>
          <w:bCs/>
          <w:color w:val="000000" w:themeColor="text1"/>
          <w:szCs w:val="20"/>
        </w:rPr>
      </w:pPr>
      <w:r w:rsidRPr="0099702B">
        <w:rPr>
          <w:rFonts w:eastAsia="Times New Roman" w:cs="Arial"/>
          <w:color w:val="000000" w:themeColor="text1"/>
          <w:szCs w:val="20"/>
        </w:rPr>
        <w:t xml:space="preserve">Mutual aid agreements are mechanisms through which jurisdictions </w:t>
      </w:r>
      <w:proofErr w:type="gramStart"/>
      <w:r w:rsidRPr="0099702B">
        <w:rPr>
          <w:rFonts w:eastAsia="Times New Roman" w:cs="Arial"/>
          <w:color w:val="000000" w:themeColor="text1"/>
          <w:szCs w:val="20"/>
        </w:rPr>
        <w:t>provide assistance to</w:t>
      </w:r>
      <w:proofErr w:type="gramEnd"/>
      <w:r w:rsidRPr="0099702B">
        <w:rPr>
          <w:rFonts w:eastAsia="Times New Roman" w:cs="Arial"/>
          <w:color w:val="000000" w:themeColor="text1"/>
          <w:szCs w:val="20"/>
        </w:rPr>
        <w:t xml:space="preserve"> other jurisdictions during emergencies. These agreements also generally include provisions for reimbursing expenses, providing liability protections to governmental personnel and volunteers who provide aid, and awarding compensation for injuries to personnel deployed under the agreement.</w:t>
      </w:r>
      <w:r w:rsidR="0081032B">
        <w:rPr>
          <w:rStyle w:val="FootnoteReference"/>
          <w:rFonts w:eastAsia="Times New Roman" w:cs="Arial"/>
          <w:color w:val="000000" w:themeColor="text1"/>
          <w:szCs w:val="20"/>
        </w:rPr>
        <w:footnoteReference w:id="19"/>
      </w:r>
    </w:p>
    <w:p w14:paraId="60C32E6A" w14:textId="12162AF8" w:rsidR="0099702B" w:rsidRDefault="0099702B" w:rsidP="00EB12E6">
      <w:pPr>
        <w:pStyle w:val="ListParagraph"/>
        <w:numPr>
          <w:ilvl w:val="0"/>
          <w:numId w:val="22"/>
        </w:numPr>
        <w:spacing w:line="360" w:lineRule="auto"/>
        <w:textAlignment w:val="baseline"/>
        <w:rPr>
          <w:rFonts w:eastAsia="Times New Roman" w:cs="Arial"/>
          <w:color w:val="000000" w:themeColor="text1"/>
          <w:szCs w:val="20"/>
        </w:rPr>
      </w:pPr>
      <w:r w:rsidRPr="00C91B48">
        <w:rPr>
          <w:rFonts w:eastAsia="Times New Roman" w:cs="Arial"/>
          <w:b/>
          <w:bCs/>
          <w:color w:val="000000" w:themeColor="text1"/>
          <w:szCs w:val="20"/>
          <w:bdr w:val="none" w:sz="0" w:space="0" w:color="auto" w:frame="1"/>
        </w:rPr>
        <w:t>Emergency Management Assistance Compact—</w:t>
      </w:r>
      <w:r w:rsidRPr="00C91B48">
        <w:rPr>
          <w:rFonts w:eastAsia="Times New Roman" w:cs="Arial"/>
          <w:color w:val="000000" w:themeColor="text1"/>
          <w:szCs w:val="20"/>
        </w:rPr>
        <w:t xml:space="preserve">EMAC is the most widely adopted mutual aid agreement in the United Sates; it has been adopted by all states, the District of Columbia, and some territories. Congress ratified EMAC in 1996. EMAC provides an organized structure through which a state can request aid from other states during an emergency. Under EMAC, when officers or employees of one state provide aid to another state, they </w:t>
      </w:r>
      <w:proofErr w:type="gramStart"/>
      <w:r w:rsidRPr="00C91B48">
        <w:rPr>
          <w:rFonts w:eastAsia="Times New Roman" w:cs="Arial"/>
          <w:color w:val="000000" w:themeColor="text1"/>
          <w:szCs w:val="20"/>
        </w:rPr>
        <w:t>are considered to be</w:t>
      </w:r>
      <w:proofErr w:type="gramEnd"/>
      <w:r w:rsidRPr="00C91B48">
        <w:rPr>
          <w:rFonts w:eastAsia="Times New Roman" w:cs="Arial"/>
          <w:color w:val="000000" w:themeColor="text1"/>
          <w:szCs w:val="20"/>
        </w:rPr>
        <w:t xml:space="preserve"> agents of the state receiving aid for tort and immunity purposes. Covered individuals and the state itself are immune from tort liability for acts or omissions committed in good faith while rendering aid or providing supplies and equipment. EMAC also provides reciprocity for individuals who hold a license, certificate, or other authorization to practice medicine or other skilled professions to provide those services in the receiving state, subject to any limitations imposed by the receiving state. EMAC only applies to persons properly dispatched in response to an EMAC request. Immunity protections and license reciprocity will not automatically extend to volunteers who provide services outside of EMAC. Volunteers would have to be made temporary government employees to be covered under EMAC.</w:t>
      </w:r>
    </w:p>
    <w:p w14:paraId="777B14B4" w14:textId="77777777" w:rsidR="00C91B48" w:rsidRPr="00C91B48" w:rsidRDefault="00C91B48" w:rsidP="00EB12E6">
      <w:pPr>
        <w:pStyle w:val="ListParagraph"/>
        <w:spacing w:line="360" w:lineRule="auto"/>
        <w:ind w:left="360"/>
        <w:textAlignment w:val="baseline"/>
        <w:rPr>
          <w:rFonts w:eastAsia="Times New Roman" w:cs="Arial"/>
          <w:color w:val="000000" w:themeColor="text1"/>
          <w:szCs w:val="20"/>
        </w:rPr>
      </w:pPr>
    </w:p>
    <w:p w14:paraId="3AD880E2" w14:textId="31322D8B" w:rsidR="0099702B" w:rsidRPr="00C91B48" w:rsidRDefault="0099702B" w:rsidP="00EB12E6">
      <w:pPr>
        <w:pStyle w:val="ListParagraph"/>
        <w:numPr>
          <w:ilvl w:val="0"/>
          <w:numId w:val="22"/>
        </w:numPr>
        <w:spacing w:line="360" w:lineRule="auto"/>
        <w:textAlignment w:val="baseline"/>
        <w:rPr>
          <w:rFonts w:eastAsia="Times New Roman" w:cs="Arial"/>
          <w:color w:val="000000" w:themeColor="text1"/>
          <w:szCs w:val="20"/>
        </w:rPr>
      </w:pPr>
      <w:r w:rsidRPr="00C91B48">
        <w:rPr>
          <w:rFonts w:eastAsia="Times New Roman" w:cs="Arial"/>
          <w:b/>
          <w:bCs/>
          <w:color w:val="000000" w:themeColor="text1"/>
          <w:szCs w:val="20"/>
          <w:bdr w:val="none" w:sz="0" w:space="0" w:color="auto" w:frame="1"/>
        </w:rPr>
        <w:t>Other Mutual Aid Agreements—</w:t>
      </w:r>
      <w:r w:rsidRPr="00C91B48">
        <w:rPr>
          <w:rFonts w:eastAsia="Times New Roman" w:cs="Arial"/>
          <w:color w:val="000000" w:themeColor="text1"/>
          <w:szCs w:val="20"/>
        </w:rPr>
        <w:t xml:space="preserve">In addition to EMAC, emergency mutual aid agreements can exist between states and tribes, between individual states or groups of states, between localities in a state, or internationally. Depending on the particulars of the agreement, states may enter various mutual aid arrangements as another way to </w:t>
      </w:r>
      <w:proofErr w:type="gramStart"/>
      <w:r w:rsidRPr="00C91B48">
        <w:rPr>
          <w:rFonts w:eastAsia="Times New Roman" w:cs="Arial"/>
          <w:color w:val="000000" w:themeColor="text1"/>
          <w:szCs w:val="20"/>
        </w:rPr>
        <w:t>provide assistance to</w:t>
      </w:r>
      <w:proofErr w:type="gramEnd"/>
      <w:r w:rsidRPr="00C91B48">
        <w:rPr>
          <w:rFonts w:eastAsia="Times New Roman" w:cs="Arial"/>
          <w:color w:val="000000" w:themeColor="text1"/>
          <w:szCs w:val="20"/>
        </w:rPr>
        <w:t xml:space="preserve"> affected jurisdictions while providing liability protections to government employees and others participating in the response.</w:t>
      </w:r>
      <w:r w:rsidR="00D733A2">
        <w:rPr>
          <w:rFonts w:eastAsia="Times New Roman" w:cs="Arial"/>
          <w:color w:val="000000" w:themeColor="text1"/>
          <w:szCs w:val="20"/>
        </w:rPr>
        <w:t xml:space="preserve"> </w:t>
      </w:r>
      <w:r w:rsidR="00D733A2">
        <w:rPr>
          <w:rFonts w:eastAsia="Times New Roman" w:cs="Arial"/>
        </w:rPr>
        <w:t>Tribes and local governments have entered into mutual agreements to address unique issues such as tribal sovereign immunity.</w:t>
      </w:r>
    </w:p>
    <w:p w14:paraId="6D782969" w14:textId="5024D241" w:rsidR="002A2B2D" w:rsidRDefault="002A2B2D" w:rsidP="00EB12E6">
      <w:pPr>
        <w:spacing w:line="360" w:lineRule="auto"/>
        <w:rPr>
          <w:rFonts w:eastAsia="Times New Roman" w:cs="Arial"/>
          <w:b/>
          <w:bCs/>
          <w:color w:val="3C3030"/>
          <w:sz w:val="24"/>
          <w:szCs w:val="24"/>
        </w:rPr>
      </w:pPr>
    </w:p>
    <w:sectPr w:rsidR="002A2B2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E4228D" w14:textId="77777777" w:rsidR="007156BE" w:rsidRDefault="007156BE" w:rsidP="00477E52">
      <w:r>
        <w:separator/>
      </w:r>
    </w:p>
  </w:endnote>
  <w:endnote w:type="continuationSeparator" w:id="0">
    <w:p w14:paraId="61C58549" w14:textId="77777777" w:rsidR="007156BE" w:rsidRDefault="007156BE" w:rsidP="00477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BC2F94" w14:textId="77777777" w:rsidR="00DC3C0F" w:rsidRDefault="00DC3C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5049029"/>
      <w:docPartObj>
        <w:docPartGallery w:val="Page Numbers (Bottom of Page)"/>
        <w:docPartUnique/>
      </w:docPartObj>
    </w:sdtPr>
    <w:sdtEndPr>
      <w:rPr>
        <w:noProof/>
      </w:rPr>
    </w:sdtEndPr>
    <w:sdtContent>
      <w:p w14:paraId="539E0E42" w14:textId="72765AD4" w:rsidR="00477E52" w:rsidRDefault="00477E52" w:rsidP="00477E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2DE59A" w14:textId="77777777" w:rsidR="00DC3C0F" w:rsidRDefault="00DC3C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1F246D" w14:textId="77777777" w:rsidR="007156BE" w:rsidRDefault="007156BE" w:rsidP="00477E52">
      <w:r>
        <w:separator/>
      </w:r>
    </w:p>
  </w:footnote>
  <w:footnote w:type="continuationSeparator" w:id="0">
    <w:p w14:paraId="2FB22CA2" w14:textId="77777777" w:rsidR="007156BE" w:rsidRDefault="007156BE" w:rsidP="00477E52">
      <w:r>
        <w:continuationSeparator/>
      </w:r>
    </w:p>
  </w:footnote>
  <w:footnote w:id="1">
    <w:p w14:paraId="1F648DF2" w14:textId="155506E2" w:rsidR="00B6433E" w:rsidRPr="00B6433E" w:rsidRDefault="00B6433E" w:rsidP="00B6433E">
      <w:pPr>
        <w:pStyle w:val="FootnoteText"/>
        <w:tabs>
          <w:tab w:val="left" w:pos="686"/>
        </w:tabs>
        <w:rPr>
          <w:b/>
          <w:bCs/>
        </w:rPr>
      </w:pPr>
      <w:r>
        <w:rPr>
          <w:b/>
          <w:bCs/>
          <w:highlight w:val="yellow"/>
        </w:rPr>
        <w:t>Footnotes will be streamlined and edited to style guide once text is finalized</w:t>
      </w:r>
    </w:p>
    <w:p w14:paraId="70E06D73" w14:textId="5B6EBA6E" w:rsidR="00B6433E" w:rsidRPr="00B6433E" w:rsidRDefault="00BB3998">
      <w:pPr>
        <w:pStyle w:val="FootnoteText"/>
        <w:rPr>
          <w:rFonts w:eastAsia="Times New Roman" w:cs="Arial"/>
          <w:color w:val="3C3030"/>
        </w:rPr>
      </w:pPr>
      <w:r>
        <w:rPr>
          <w:rStyle w:val="FootnoteReference"/>
        </w:rPr>
        <w:footnoteRef/>
      </w:r>
      <w:r>
        <w:t xml:space="preserve"> </w:t>
      </w:r>
      <w:r w:rsidR="00F41674">
        <w:t xml:space="preserve">See </w:t>
      </w:r>
      <w:r w:rsidR="00B6433E">
        <w:t>“</w:t>
      </w:r>
      <w:r w:rsidR="00B6433E">
        <w:rPr>
          <w:rFonts w:eastAsia="Times New Roman" w:cs="Arial"/>
          <w:color w:val="3C3030"/>
        </w:rPr>
        <w:t xml:space="preserve">Liability </w:t>
      </w:r>
      <w:r w:rsidR="00B6433E" w:rsidRPr="00DB1BB0">
        <w:rPr>
          <w:rFonts w:eastAsia="Times New Roman" w:cs="Arial"/>
          <w:color w:val="3C3030"/>
          <w:sz w:val="22"/>
          <w:szCs w:val="22"/>
        </w:rPr>
        <w:t xml:space="preserve">in </w:t>
      </w:r>
      <w:r w:rsidR="00B6433E">
        <w:rPr>
          <w:rFonts w:eastAsia="Times New Roman" w:cs="Arial"/>
          <w:color w:val="3C3030"/>
        </w:rPr>
        <w:t>Emergency Preparedness and Response” document in this series for more detail.</w:t>
      </w:r>
    </w:p>
  </w:footnote>
  <w:footnote w:id="2">
    <w:p w14:paraId="53AF1CA2" w14:textId="3C8B5C46" w:rsidR="008337F8" w:rsidRDefault="008337F8">
      <w:pPr>
        <w:pStyle w:val="FootnoteText"/>
      </w:pPr>
      <w:r>
        <w:rPr>
          <w:rStyle w:val="FootnoteReference"/>
        </w:rPr>
        <w:footnoteRef/>
      </w:r>
      <w:r>
        <w:t xml:space="preserve"> </w:t>
      </w:r>
      <w:r w:rsidRPr="008337F8">
        <w:t>Federal Tort Claims Act, as amended. Codified at 28 U.S.C. §§1346(b), 2671-2680.</w:t>
      </w:r>
    </w:p>
  </w:footnote>
  <w:footnote w:id="3">
    <w:p w14:paraId="668EA81C" w14:textId="7CE02886" w:rsidR="00FC3C83" w:rsidRDefault="00FC3C83">
      <w:pPr>
        <w:pStyle w:val="FootnoteText"/>
      </w:pPr>
      <w:r>
        <w:rPr>
          <w:rStyle w:val="FootnoteReference"/>
        </w:rPr>
        <w:footnoteRef/>
      </w:r>
      <w:r>
        <w:t xml:space="preserve"> </w:t>
      </w:r>
      <w:r w:rsidR="00DE2F0C">
        <w:t>[cite]</w:t>
      </w:r>
    </w:p>
  </w:footnote>
  <w:footnote w:id="4">
    <w:p w14:paraId="5221E452" w14:textId="79A6CD55" w:rsidR="00607F3D" w:rsidRDefault="00607F3D">
      <w:pPr>
        <w:pStyle w:val="FootnoteText"/>
      </w:pPr>
      <w:r>
        <w:rPr>
          <w:rStyle w:val="FootnoteReference"/>
        </w:rPr>
        <w:footnoteRef/>
      </w:r>
      <w:r>
        <w:t xml:space="preserve"> </w:t>
      </w:r>
      <w:r w:rsidRPr="00607F3D">
        <w:t>Federal Tort Claims Act, as amended. Codified at 28 U.S.C. §§1346(b), 2671-2680.</w:t>
      </w:r>
    </w:p>
  </w:footnote>
  <w:footnote w:id="5">
    <w:p w14:paraId="5ECAF7C6" w14:textId="0DE8F1A7" w:rsidR="00607F3D" w:rsidRDefault="00607F3D">
      <w:pPr>
        <w:pStyle w:val="FootnoteText"/>
      </w:pPr>
      <w:r>
        <w:rPr>
          <w:rStyle w:val="FootnoteReference"/>
        </w:rPr>
        <w:footnoteRef/>
      </w:r>
      <w:r>
        <w:t xml:space="preserve"> </w:t>
      </w:r>
      <w:r w:rsidRPr="00607F3D">
        <w:t>Federal Tort Claims Act, as amended. Codified at 28 U.S.C. §§1346(b), 2671-2680.</w:t>
      </w:r>
    </w:p>
  </w:footnote>
  <w:footnote w:id="6">
    <w:p w14:paraId="51990EED" w14:textId="779A3393" w:rsidR="00D81CDF" w:rsidRDefault="00D81CDF">
      <w:pPr>
        <w:pStyle w:val="FootnoteText"/>
      </w:pPr>
      <w:r>
        <w:rPr>
          <w:rStyle w:val="FootnoteReference"/>
        </w:rPr>
        <w:footnoteRef/>
      </w:r>
      <w:r>
        <w:t xml:space="preserve"> </w:t>
      </w:r>
      <w:r w:rsidR="00885956" w:rsidRPr="00885956">
        <w:t>Indian Self-Determination and Education Assistance Act</w:t>
      </w:r>
      <w:r w:rsidR="00B87D20">
        <w:t xml:space="preserve"> of 1975</w:t>
      </w:r>
      <w:r w:rsidR="00885956">
        <w:t xml:space="preserve">. </w:t>
      </w:r>
      <w:r w:rsidR="00885956" w:rsidRPr="00885956">
        <w:t>Pub</w:t>
      </w:r>
      <w:r w:rsidR="00885956">
        <w:t xml:space="preserve">. Law. No. </w:t>
      </w:r>
      <w:r w:rsidR="00885956" w:rsidRPr="00885956">
        <w:t>93–638</w:t>
      </w:r>
      <w:r w:rsidR="00B87D20">
        <w:t>, as amended</w:t>
      </w:r>
      <w:r w:rsidR="00885956">
        <w:t xml:space="preserve">. Codified at </w:t>
      </w:r>
      <w:r w:rsidR="00885956" w:rsidRPr="00885956">
        <w:t>25 U.S.C. 450f (d) and 25 U.S.C. 458aaa–15</w:t>
      </w:r>
      <w:r w:rsidR="00885956">
        <w:t>.</w:t>
      </w:r>
      <w:r w:rsidR="009C10F8">
        <w:t xml:space="preserve"> </w:t>
      </w:r>
      <w:r w:rsidR="009C10F8" w:rsidRPr="009C10F8">
        <w:rPr>
          <w:i/>
          <w:iCs/>
        </w:rPr>
        <w:t>See also</w:t>
      </w:r>
      <w:r w:rsidR="009C10F8">
        <w:t xml:space="preserve"> Geoffrey D. Strommer &amp; Stephen D. Osborne, The History, Status, and Future of Tribal Self-Governance Under the Indian Self</w:t>
      </w:r>
      <w:r w:rsidR="007D72F5">
        <w:t xml:space="preserve"> </w:t>
      </w:r>
      <w:r w:rsidR="009C10F8">
        <w:t>Determination and Education Assistance Act, 39 Am. Indian L. Rev. 1 (2014)</w:t>
      </w:r>
      <w:r w:rsidR="007D72F5">
        <w:t>. Retrieved from</w:t>
      </w:r>
      <w:r w:rsidR="009C10F8">
        <w:t xml:space="preserve"> </w:t>
      </w:r>
      <w:hyperlink r:id="rId1" w:history="1">
        <w:r w:rsidR="007D72F5" w:rsidRPr="00F227B7">
          <w:rPr>
            <w:rStyle w:val="Hyperlink"/>
          </w:rPr>
          <w:t>http://digitalcommons.law.ou.edu/ailr/vol39/iss1/1</w:t>
        </w:r>
      </w:hyperlink>
      <w:r w:rsidR="007D72F5">
        <w:t xml:space="preserve">. </w:t>
      </w:r>
    </w:p>
  </w:footnote>
  <w:footnote w:id="7">
    <w:p w14:paraId="1F3AE6A6" w14:textId="45176368" w:rsidR="00C76EBF" w:rsidRDefault="00C76EBF">
      <w:pPr>
        <w:pStyle w:val="FootnoteText"/>
      </w:pPr>
      <w:r>
        <w:rPr>
          <w:rStyle w:val="FootnoteReference"/>
        </w:rPr>
        <w:footnoteRef/>
      </w:r>
      <w:r>
        <w:t xml:space="preserve"> </w:t>
      </w:r>
      <w:r w:rsidR="00201D23" w:rsidRPr="00885956">
        <w:t>Indian Self-Determination and Education Assistance Act</w:t>
      </w:r>
      <w:r w:rsidR="00201D23">
        <w:t xml:space="preserve"> of 1975. </w:t>
      </w:r>
      <w:r w:rsidR="00201D23" w:rsidRPr="00885956">
        <w:t>Pub</w:t>
      </w:r>
      <w:r w:rsidR="00201D23">
        <w:t xml:space="preserve">. Law. No. </w:t>
      </w:r>
      <w:r w:rsidR="00201D23" w:rsidRPr="00885956">
        <w:t>93–638</w:t>
      </w:r>
      <w:r w:rsidR="00201D23">
        <w:t xml:space="preserve">, as amended. Codified at </w:t>
      </w:r>
      <w:r w:rsidR="00201D23" w:rsidRPr="00885956">
        <w:t>25 U.S.C. 450f (d) and 25 U.S.C. 458aaa–15</w:t>
      </w:r>
      <w:r w:rsidR="00201D23">
        <w:t>.</w:t>
      </w:r>
    </w:p>
  </w:footnote>
  <w:footnote w:id="8">
    <w:p w14:paraId="31596098" w14:textId="2CBCC265" w:rsidR="002D69DD" w:rsidRDefault="002D69DD" w:rsidP="00DA5E59">
      <w:pPr>
        <w:pStyle w:val="CommentText"/>
      </w:pPr>
      <w:r>
        <w:rPr>
          <w:rStyle w:val="FootnoteReference"/>
        </w:rPr>
        <w:footnoteRef/>
      </w:r>
      <w:r>
        <w:t xml:space="preserve"> Indian Health Service. </w:t>
      </w:r>
      <w:r w:rsidR="00323B39" w:rsidRPr="00323B39">
        <w:t>Federal Tort Claims Act</w:t>
      </w:r>
      <w:r w:rsidR="00323B39">
        <w:t xml:space="preserve">. </w:t>
      </w:r>
      <w:r>
        <w:t xml:space="preserve">Retrieved from </w:t>
      </w:r>
      <w:hyperlink r:id="rId2" w:history="1">
        <w:r>
          <w:rPr>
            <w:rStyle w:val="Hyperlink"/>
          </w:rPr>
          <w:t>https://www.ihs.gov/riskmanagement/ftca/</w:t>
        </w:r>
      </w:hyperlink>
      <w:r w:rsidR="00DA5E59">
        <w:rPr>
          <w:rStyle w:val="Hyperlink"/>
        </w:rPr>
        <w:t>.</w:t>
      </w:r>
    </w:p>
  </w:footnote>
  <w:footnote w:id="9">
    <w:p w14:paraId="0A19B7B7" w14:textId="381FDDEA" w:rsidR="00AE6413" w:rsidRDefault="00AE6413">
      <w:pPr>
        <w:pStyle w:val="FootnoteText"/>
      </w:pPr>
      <w:r>
        <w:rPr>
          <w:rStyle w:val="FootnoteReference"/>
        </w:rPr>
        <w:footnoteRef/>
      </w:r>
      <w:r>
        <w:t xml:space="preserve"> </w:t>
      </w:r>
      <w:r w:rsidRPr="00AE6413">
        <w:t>Volunteer Protection Act of 1977, Pub. L. No. Pub. L. 105-19. Codified at 42 USC §14501 et seq.</w:t>
      </w:r>
    </w:p>
  </w:footnote>
  <w:footnote w:id="10">
    <w:p w14:paraId="2F6EE73D" w14:textId="4BBA5446" w:rsidR="00A612EC" w:rsidRDefault="00A612EC">
      <w:pPr>
        <w:pStyle w:val="FootnoteText"/>
      </w:pPr>
      <w:r>
        <w:rPr>
          <w:rStyle w:val="FootnoteReference"/>
        </w:rPr>
        <w:footnoteRef/>
      </w:r>
      <w:r>
        <w:t xml:space="preserve"> </w:t>
      </w:r>
      <w:r w:rsidR="002E04C8" w:rsidRPr="002E04C8">
        <w:t>Public Readiness and Emergency Preparedness Response Act of 2005, Pub. L. No. 109-148. Codified in the Public Health Service Act at 42 U.S.C. §247d-6d and §247d-6e.</w:t>
      </w:r>
      <w:r w:rsidR="003E5D71">
        <w:t xml:space="preserve"> </w:t>
      </w:r>
      <w:r w:rsidR="003E5D71" w:rsidRPr="006B756D">
        <w:rPr>
          <w:i/>
          <w:iCs/>
        </w:rPr>
        <w:t>See also</w:t>
      </w:r>
      <w:r w:rsidR="003E5D71">
        <w:t xml:space="preserve"> “</w:t>
      </w:r>
      <w:r w:rsidR="00276047" w:rsidRPr="00276047">
        <w:t>Public Readiness and Emergency Preparedness Act</w:t>
      </w:r>
      <w:r w:rsidR="00276047">
        <w:t xml:space="preserve">” document in this series for </w:t>
      </w:r>
      <w:r w:rsidR="006B756D">
        <w:t>more information about the PREP Act.</w:t>
      </w:r>
    </w:p>
  </w:footnote>
  <w:footnote w:id="11">
    <w:p w14:paraId="62BD9C90" w14:textId="77777777" w:rsidR="00780510" w:rsidRDefault="00780510" w:rsidP="00780510">
      <w:pPr>
        <w:pStyle w:val="FootnoteText"/>
      </w:pPr>
      <w:r>
        <w:rPr>
          <w:rStyle w:val="FootnoteReference"/>
        </w:rPr>
        <w:footnoteRef/>
      </w:r>
      <w:r>
        <w:t xml:space="preserve"> </w:t>
      </w:r>
      <w:r w:rsidRPr="00B134A3">
        <w:t>HHS Office of the Assistant Secretary of Preparedness and Emergency Response.</w:t>
      </w:r>
      <w:r w:rsidRPr="00D9230D">
        <w:t xml:space="preserve"> “Public Readiness and Emergency Preparedness Act Questions and Answers” webpage. </w:t>
      </w:r>
      <w:r>
        <w:t xml:space="preserve">Retrieved from </w:t>
      </w:r>
      <w:hyperlink r:id="rId3" w:history="1">
        <w:r>
          <w:rPr>
            <w:rStyle w:val="Hyperlink"/>
          </w:rPr>
          <w:t>https://www.phe.gov/Preparedness/legal/Pages/phe-qa.aspx</w:t>
        </w:r>
      </w:hyperlink>
      <w:r>
        <w:t>.</w:t>
      </w:r>
    </w:p>
  </w:footnote>
  <w:footnote w:id="12">
    <w:p w14:paraId="4DAF2C80" w14:textId="13AAE03C" w:rsidR="00AF771F" w:rsidRDefault="00AF771F">
      <w:pPr>
        <w:pStyle w:val="FootnoteText"/>
      </w:pPr>
      <w:r>
        <w:rPr>
          <w:rStyle w:val="FootnoteReference"/>
        </w:rPr>
        <w:footnoteRef/>
      </w:r>
      <w:r>
        <w:t xml:space="preserve"> </w:t>
      </w:r>
      <w:r w:rsidR="00102ADC">
        <w:t xml:space="preserve">For a summary of state </w:t>
      </w:r>
      <w:r w:rsidR="00FB704D">
        <w:t>tort claims act</w:t>
      </w:r>
      <w:r w:rsidR="001067FC">
        <w:t>s and state claims acts,</w:t>
      </w:r>
      <w:r w:rsidR="00FB704D">
        <w:t xml:space="preserve"> </w:t>
      </w:r>
      <w:r w:rsidR="00FB704D" w:rsidRPr="001067FC">
        <w:rPr>
          <w:i/>
          <w:iCs/>
        </w:rPr>
        <w:t>see</w:t>
      </w:r>
      <w:r w:rsidR="00FB704D">
        <w:t xml:space="preserve"> </w:t>
      </w:r>
      <w:r w:rsidR="00335374" w:rsidRPr="00FB704D">
        <w:t xml:space="preserve">Matthiesen, Wickert &amp; Lehrer, </w:t>
      </w:r>
      <w:r w:rsidR="00FB704D" w:rsidRPr="00FB704D">
        <w:t>S.C</w:t>
      </w:r>
      <w:r w:rsidR="00335374">
        <w:t xml:space="preserve">. </w:t>
      </w:r>
      <w:r w:rsidR="005B1CCD" w:rsidRPr="005B1CCD">
        <w:t xml:space="preserve">Municipal/County/Local Governmental Immunity and Tort Liability </w:t>
      </w:r>
      <w:r w:rsidR="00C0309A" w:rsidRPr="005B1CCD">
        <w:t>in</w:t>
      </w:r>
      <w:r w:rsidR="005B1CCD" w:rsidRPr="005B1CCD">
        <w:t xml:space="preserve"> All 50 States</w:t>
      </w:r>
      <w:r w:rsidR="005B1CCD">
        <w:t xml:space="preserve">. </w:t>
      </w:r>
      <w:r w:rsidR="00451BF9">
        <w:t xml:space="preserve">January 29, 2020. Retrieved from </w:t>
      </w:r>
      <w:hyperlink r:id="rId4" w:history="1">
        <w:r w:rsidR="001F3EBF">
          <w:rPr>
            <w:rStyle w:val="Hyperlink"/>
          </w:rPr>
          <w:t>https://www.mwl-law.com/wp-content/uploads/2013/03/MUNICIPAL-COUNTY-LOCAL-GOVERNMENTAL-LIABILITY-CHART-00212510.pdf</w:t>
        </w:r>
      </w:hyperlink>
      <w:r w:rsidR="001F3EBF">
        <w:t>.</w:t>
      </w:r>
    </w:p>
  </w:footnote>
  <w:footnote w:id="13">
    <w:p w14:paraId="0ED127D7" w14:textId="64A88681" w:rsidR="00F8082D" w:rsidRDefault="00F8082D">
      <w:pPr>
        <w:pStyle w:val="FootnoteText"/>
      </w:pPr>
      <w:r>
        <w:rPr>
          <w:rStyle w:val="FootnoteReference"/>
        </w:rPr>
        <w:footnoteRef/>
      </w:r>
      <w:r>
        <w:t xml:space="preserve"> For a summary of state tort claims acts and state claims acts, </w:t>
      </w:r>
      <w:r w:rsidRPr="001067FC">
        <w:rPr>
          <w:i/>
          <w:iCs/>
        </w:rPr>
        <w:t>see</w:t>
      </w:r>
      <w:r>
        <w:t xml:space="preserve"> </w:t>
      </w:r>
      <w:r w:rsidRPr="00FB704D">
        <w:t>Matthiesen, Wickert &amp; Lehrer, S.C</w:t>
      </w:r>
      <w:r>
        <w:t xml:space="preserve">. </w:t>
      </w:r>
      <w:r w:rsidRPr="005B1CCD">
        <w:t xml:space="preserve">Municipal/County/Local Governmental Immunity and Tort Liability </w:t>
      </w:r>
      <w:r w:rsidR="00C0309A" w:rsidRPr="005B1CCD">
        <w:t>in</w:t>
      </w:r>
      <w:r w:rsidRPr="005B1CCD">
        <w:t xml:space="preserve"> All 50 States</w:t>
      </w:r>
      <w:r>
        <w:t xml:space="preserve">. January 29, 2020. Retrieved from </w:t>
      </w:r>
      <w:hyperlink r:id="rId5" w:history="1">
        <w:r>
          <w:rPr>
            <w:rStyle w:val="Hyperlink"/>
          </w:rPr>
          <w:t>https://www.mwl-law.com/wp-content/uploads/2013/03/MUNICIPAL-COUNTY-LOCAL-GOVERNMENTAL-LIABILITY-CHART-00212510.pdf</w:t>
        </w:r>
      </w:hyperlink>
      <w:r>
        <w:t>.</w:t>
      </w:r>
    </w:p>
  </w:footnote>
  <w:footnote w:id="14">
    <w:p w14:paraId="7CCC44CE" w14:textId="6B29A4A8" w:rsidR="006970B2" w:rsidRDefault="006970B2">
      <w:pPr>
        <w:pStyle w:val="FootnoteText"/>
      </w:pPr>
      <w:r>
        <w:rPr>
          <w:rStyle w:val="FootnoteReference"/>
        </w:rPr>
        <w:footnoteRef/>
      </w:r>
      <w:r>
        <w:t xml:space="preserve"> For a summary of state emer</w:t>
      </w:r>
      <w:r w:rsidR="001F4C0E">
        <w:t xml:space="preserve">gency </w:t>
      </w:r>
      <w:r w:rsidR="007833A5">
        <w:t>authorities</w:t>
      </w:r>
      <w:r w:rsidR="001F4C0E">
        <w:t xml:space="preserve">, </w:t>
      </w:r>
      <w:r w:rsidR="001F4C0E" w:rsidRPr="00A03AD3">
        <w:rPr>
          <w:i/>
          <w:iCs/>
        </w:rPr>
        <w:t>see</w:t>
      </w:r>
      <w:r w:rsidR="001F4C0E">
        <w:t xml:space="preserve"> The Network for Public Health Law. </w:t>
      </w:r>
      <w:r w:rsidR="00A03AD3" w:rsidRPr="007833A5">
        <w:t>Emergency Declaration Authorities Across All States and D.C.</w:t>
      </w:r>
      <w:r w:rsidR="00F619C6">
        <w:t xml:space="preserve"> </w:t>
      </w:r>
      <w:r w:rsidR="00517B51" w:rsidRPr="00517B51">
        <w:t>June 16, 2015</w:t>
      </w:r>
      <w:r w:rsidR="00517B51">
        <w:t xml:space="preserve">. Retrieved from </w:t>
      </w:r>
      <w:hyperlink r:id="rId6" w:history="1">
        <w:r w:rsidR="002A3523">
          <w:rPr>
            <w:rStyle w:val="Hyperlink"/>
          </w:rPr>
          <w:t>https://www.networkforphl.org/wp-content/uploads/2020/01/Emergency-Declaration-Authorities.pdf</w:t>
        </w:r>
      </w:hyperlink>
      <w:r w:rsidR="002A3523">
        <w:t xml:space="preserve">. </w:t>
      </w:r>
      <w:r w:rsidR="002A3523" w:rsidRPr="002A3523">
        <w:rPr>
          <w:i/>
          <w:iCs/>
        </w:rPr>
        <w:t>See also</w:t>
      </w:r>
      <w:r w:rsidR="002A3523">
        <w:t xml:space="preserve"> </w:t>
      </w:r>
      <w:r w:rsidR="004874D4" w:rsidRPr="004874D4">
        <w:t>Gregory Sunshine, Kelly Thompson, Akshara Narayan Menon, Nicholas Anderson, Matthew Penn, and Lisa M. Koonin.</w:t>
      </w:r>
      <w:r w:rsidR="004874D4">
        <w:t xml:space="preserve"> </w:t>
      </w:r>
      <w:r w:rsidR="009A6152" w:rsidRPr="009A6152">
        <w:t>An Assessment of State Laws Providing Gubernatorial Authority to Remove Legal Barriers to Emergency Response</w:t>
      </w:r>
      <w:r w:rsidR="009A6152">
        <w:t xml:space="preserve">. </w:t>
      </w:r>
      <w:r w:rsidR="004874D4" w:rsidRPr="004874D4">
        <w:t>Health Security.</w:t>
      </w:r>
      <w:r w:rsidR="004874D4">
        <w:t xml:space="preserve"> </w:t>
      </w:r>
      <w:r w:rsidR="004874D4" w:rsidRPr="004874D4">
        <w:t>Apr 2019.156-161.</w:t>
      </w:r>
      <w:r w:rsidR="004874D4">
        <w:t xml:space="preserve"> Retrieved from </w:t>
      </w:r>
      <w:hyperlink r:id="rId7" w:history="1">
        <w:r w:rsidR="004874D4" w:rsidRPr="00F227B7">
          <w:rPr>
            <w:rStyle w:val="Hyperlink"/>
          </w:rPr>
          <w:t>http://doi.org/10.1089/hs.2018.0126</w:t>
        </w:r>
      </w:hyperlink>
      <w:r w:rsidR="004874D4">
        <w:t xml:space="preserve">. </w:t>
      </w:r>
    </w:p>
  </w:footnote>
  <w:footnote w:id="15">
    <w:p w14:paraId="723BB919" w14:textId="09400F14" w:rsidR="00B66796" w:rsidRDefault="00B66796" w:rsidP="003B2658">
      <w:pPr>
        <w:pStyle w:val="FootnoteText"/>
      </w:pPr>
      <w:r>
        <w:rPr>
          <w:rStyle w:val="FootnoteReference"/>
        </w:rPr>
        <w:footnoteRef/>
      </w:r>
      <w:r>
        <w:t xml:space="preserve"> </w:t>
      </w:r>
      <w:bookmarkStart w:id="0" w:name="_Hlk34316707"/>
      <w:r w:rsidR="00101D3E" w:rsidRPr="003B2658">
        <w:rPr>
          <w:i/>
          <w:iCs/>
        </w:rPr>
        <w:t>See</w:t>
      </w:r>
      <w:r w:rsidR="00101D3E">
        <w:t xml:space="preserve"> </w:t>
      </w:r>
      <w:proofErr w:type="gramStart"/>
      <w:r w:rsidR="00101D3E">
        <w:t>The</w:t>
      </w:r>
      <w:proofErr w:type="gramEnd"/>
      <w:r w:rsidR="00101D3E">
        <w:t xml:space="preserve"> Network for Public Health Law. </w:t>
      </w:r>
      <w:r w:rsidR="003B2658">
        <w:t xml:space="preserve">Table - Legal Liability Protections for Emergency Medical/Public Health Responses. February 20, 2017. </w:t>
      </w:r>
      <w:r w:rsidR="006801B8">
        <w:t xml:space="preserve">Retrieved from </w:t>
      </w:r>
      <w:hyperlink r:id="rId8" w:history="1">
        <w:r w:rsidR="0048309B">
          <w:rPr>
            <w:rStyle w:val="Hyperlink"/>
          </w:rPr>
          <w:t>https://www.networkforphl.org/wp-content/uploads/2020/01/Legal-Liability-Protections-for-Emergency-Medical-and-Public-Health-Responses.pdf</w:t>
        </w:r>
      </w:hyperlink>
      <w:r w:rsidR="0048309B">
        <w:t xml:space="preserve">. </w:t>
      </w:r>
      <w:bookmarkEnd w:id="0"/>
    </w:p>
  </w:footnote>
  <w:footnote w:id="16">
    <w:p w14:paraId="122951E5" w14:textId="7BB400D4" w:rsidR="007A1298" w:rsidRDefault="007A1298">
      <w:pPr>
        <w:pStyle w:val="FootnoteText"/>
      </w:pPr>
      <w:r>
        <w:rPr>
          <w:rStyle w:val="FootnoteReference"/>
        </w:rPr>
        <w:footnoteRef/>
      </w:r>
      <w:r>
        <w:t xml:space="preserve"> </w:t>
      </w:r>
      <w:r w:rsidRPr="007A1298">
        <w:rPr>
          <w:i/>
          <w:iCs/>
        </w:rPr>
        <w:t>See</w:t>
      </w:r>
      <w:r w:rsidRPr="007A1298">
        <w:t xml:space="preserve"> </w:t>
      </w:r>
      <w:proofErr w:type="gramStart"/>
      <w:r w:rsidRPr="007A1298">
        <w:t>The</w:t>
      </w:r>
      <w:proofErr w:type="gramEnd"/>
      <w:r w:rsidRPr="007A1298">
        <w:t xml:space="preserve"> Network for Public Health Law. Table - Legal Liability Protections for Emergency Medical/Public Health Responses. February 20, 2017. Retrieved from </w:t>
      </w:r>
      <w:hyperlink r:id="rId9" w:history="1">
        <w:r w:rsidRPr="007A1298">
          <w:rPr>
            <w:rStyle w:val="Hyperlink"/>
          </w:rPr>
          <w:t>https://www.networkforphl.org/wp-content/uploads/2020/01/Legal-Liability-Protections-for-Emergency-Medical-and-Public-Health-Responses.pdf</w:t>
        </w:r>
      </w:hyperlink>
      <w:r w:rsidRPr="007A1298">
        <w:t>.</w:t>
      </w:r>
    </w:p>
  </w:footnote>
  <w:footnote w:id="17">
    <w:p w14:paraId="3712A97C" w14:textId="1237B1A0" w:rsidR="004B483F" w:rsidRDefault="004B483F">
      <w:pPr>
        <w:pStyle w:val="FootnoteText"/>
      </w:pPr>
      <w:r>
        <w:rPr>
          <w:rStyle w:val="FootnoteReference"/>
        </w:rPr>
        <w:footnoteRef/>
      </w:r>
      <w:r>
        <w:t xml:space="preserve"> </w:t>
      </w:r>
      <w:r w:rsidRPr="004B483F">
        <w:t>Uniform Law Commission. “Emergency Volunteer Health Practitioners” website.</w:t>
      </w:r>
      <w:r w:rsidR="00572C30">
        <w:t xml:space="preserve"> Retrieved from </w:t>
      </w:r>
      <w:hyperlink r:id="rId10" w:history="1">
        <w:r w:rsidR="00572C30">
          <w:rPr>
            <w:rStyle w:val="Hyperlink"/>
          </w:rPr>
          <w:t>https://www.uniformlaws.org/committees/community-home?CommunityKey=565933ce-965f-4d3c-9c90-b00246f30f2d</w:t>
        </w:r>
      </w:hyperlink>
      <w:r w:rsidR="00572C30">
        <w:t>.</w:t>
      </w:r>
    </w:p>
  </w:footnote>
  <w:footnote w:id="18">
    <w:p w14:paraId="398DFFDA" w14:textId="52D95044" w:rsidR="00860351" w:rsidRDefault="00860351">
      <w:pPr>
        <w:pStyle w:val="FootnoteText"/>
      </w:pPr>
      <w:r>
        <w:rPr>
          <w:rStyle w:val="FootnoteReference"/>
        </w:rPr>
        <w:footnoteRef/>
      </w:r>
      <w:r>
        <w:t xml:space="preserve"> The Network for Public Health Law. Table - Legal Liability Protections for Emergency Medical/Public Health Responses. February 20, 2017. Retrieved from </w:t>
      </w:r>
      <w:hyperlink r:id="rId11" w:history="1">
        <w:r>
          <w:rPr>
            <w:rStyle w:val="Hyperlink"/>
          </w:rPr>
          <w:t>https://www.networkforphl.org/wp-content/uploads/2020/01/Legal-Liability-Protections-for-Emergency-Medical-and-Public-Health-Responses.pdf</w:t>
        </w:r>
      </w:hyperlink>
      <w:r>
        <w:t>.</w:t>
      </w:r>
    </w:p>
  </w:footnote>
  <w:footnote w:id="19">
    <w:p w14:paraId="4B4DE70D" w14:textId="1D58E062" w:rsidR="0081032B" w:rsidRDefault="0081032B">
      <w:pPr>
        <w:pStyle w:val="FootnoteText"/>
      </w:pPr>
      <w:r>
        <w:rPr>
          <w:rStyle w:val="FootnoteReference"/>
        </w:rPr>
        <w:footnoteRef/>
      </w:r>
      <w:r>
        <w:t xml:space="preserve"> </w:t>
      </w:r>
      <w:r w:rsidR="006277DC">
        <w:t xml:space="preserve">See the </w:t>
      </w:r>
      <w:r w:rsidR="00E30E66">
        <w:t>“Mutual Aid and Assistance Agreements” document in this series.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884DC3" w14:textId="77777777" w:rsidR="00DC3C0F" w:rsidRDefault="00DC3C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AB4A5B" w14:textId="77777777" w:rsidR="004A5DD5" w:rsidRDefault="008D6EB1" w:rsidP="008D6EB1">
    <w:pPr>
      <w:pStyle w:val="Header"/>
      <w:jc w:val="center"/>
    </w:pPr>
    <w:r>
      <w:rPr>
        <w:b/>
        <w:bCs/>
        <w:highlight w:val="yellow"/>
      </w:rPr>
      <w:t>DRAFT 1</w:t>
    </w:r>
    <w:r w:rsidR="00175274">
      <w:rPr>
        <w:b/>
        <w:bCs/>
      </w:rPr>
      <w:t xml:space="preserve"> </w:t>
    </w:r>
  </w:p>
  <w:p w14:paraId="39CE3BDB" w14:textId="14D3ECA8" w:rsidR="00DC3C0F" w:rsidRPr="004A5DD5" w:rsidRDefault="004A5DD5" w:rsidP="004A5DD5">
    <w:pPr>
      <w:pStyle w:val="Header"/>
      <w:jc w:val="center"/>
      <w:rPr>
        <w:b/>
        <w:bCs/>
        <w:sz w:val="20"/>
        <w:szCs w:val="20"/>
      </w:rPr>
    </w:pPr>
    <w:bookmarkStart w:id="1" w:name="_GoBack"/>
    <w:r w:rsidRPr="004A5DD5">
      <w:rPr>
        <w:sz w:val="20"/>
        <w:szCs w:val="20"/>
      </w:rPr>
      <w:t>(</w:t>
    </w:r>
    <w:r w:rsidR="00175274" w:rsidRPr="004A5DD5">
      <w:rPr>
        <w:sz w:val="20"/>
        <w:szCs w:val="20"/>
      </w:rPr>
      <w:t xml:space="preserve">For use in EAS and </w:t>
    </w:r>
    <w:proofErr w:type="spellStart"/>
    <w:r w:rsidR="00175274" w:rsidRPr="004A5DD5">
      <w:rPr>
        <w:sz w:val="20"/>
        <w:szCs w:val="20"/>
      </w:rPr>
      <w:t>EmVol</w:t>
    </w:r>
    <w:proofErr w:type="spellEnd"/>
    <w:r w:rsidR="00175274" w:rsidRPr="004A5DD5">
      <w:rPr>
        <w:sz w:val="20"/>
        <w:szCs w:val="20"/>
      </w:rPr>
      <w:t xml:space="preserve"> toolkits</w:t>
    </w:r>
    <w:r w:rsidRPr="004A5DD5">
      <w:rPr>
        <w:sz w:val="20"/>
        <w:szCs w:val="20"/>
      </w:rPr>
      <w:t>)</w:t>
    </w:r>
    <w:bookmarkEnd w:id="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1375B4" w14:textId="77777777" w:rsidR="00DC3C0F" w:rsidRDefault="00DC3C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4216B"/>
    <w:multiLevelType w:val="hybridMultilevel"/>
    <w:tmpl w:val="6F1AC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F476ED"/>
    <w:multiLevelType w:val="hybridMultilevel"/>
    <w:tmpl w:val="6F1AC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C435F0"/>
    <w:multiLevelType w:val="hybridMultilevel"/>
    <w:tmpl w:val="D3A647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A9747C6"/>
    <w:multiLevelType w:val="hybridMultilevel"/>
    <w:tmpl w:val="63BCA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000AD8"/>
    <w:multiLevelType w:val="multilevel"/>
    <w:tmpl w:val="57B8B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046CA7"/>
    <w:multiLevelType w:val="multilevel"/>
    <w:tmpl w:val="29E80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82619D"/>
    <w:multiLevelType w:val="hybridMultilevel"/>
    <w:tmpl w:val="35E29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98D4748"/>
    <w:multiLevelType w:val="multilevel"/>
    <w:tmpl w:val="99EC9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663DDF"/>
    <w:multiLevelType w:val="multilevel"/>
    <w:tmpl w:val="AA1EA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A126A2"/>
    <w:multiLevelType w:val="hybridMultilevel"/>
    <w:tmpl w:val="5BB0F8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DDE4E29"/>
    <w:multiLevelType w:val="multilevel"/>
    <w:tmpl w:val="7CA65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275FAF"/>
    <w:multiLevelType w:val="multilevel"/>
    <w:tmpl w:val="F6DAA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C35430"/>
    <w:multiLevelType w:val="multilevel"/>
    <w:tmpl w:val="FEDAB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462722"/>
    <w:multiLevelType w:val="multilevel"/>
    <w:tmpl w:val="122C6F1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44A1275D"/>
    <w:multiLevelType w:val="hybridMultilevel"/>
    <w:tmpl w:val="865292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E166A51"/>
    <w:multiLevelType w:val="multilevel"/>
    <w:tmpl w:val="0C547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BB48BC"/>
    <w:multiLevelType w:val="hybridMultilevel"/>
    <w:tmpl w:val="0B923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C22A6D"/>
    <w:multiLevelType w:val="hybridMultilevel"/>
    <w:tmpl w:val="C21064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3B767C6"/>
    <w:multiLevelType w:val="multilevel"/>
    <w:tmpl w:val="B8E85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5D645D"/>
    <w:multiLevelType w:val="multilevel"/>
    <w:tmpl w:val="0A444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9709C1"/>
    <w:multiLevelType w:val="hybridMultilevel"/>
    <w:tmpl w:val="8FAAFB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F0473F2"/>
    <w:multiLevelType w:val="multilevel"/>
    <w:tmpl w:val="DC60D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575101"/>
    <w:multiLevelType w:val="multilevel"/>
    <w:tmpl w:val="BB9CE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89048D"/>
    <w:multiLevelType w:val="hybridMultilevel"/>
    <w:tmpl w:val="78AAAA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0"/>
  </w:num>
  <w:num w:numId="2">
    <w:abstractNumId w:val="7"/>
  </w:num>
  <w:num w:numId="3">
    <w:abstractNumId w:val="5"/>
  </w:num>
  <w:num w:numId="4">
    <w:abstractNumId w:val="13"/>
  </w:num>
  <w:num w:numId="5">
    <w:abstractNumId w:val="12"/>
  </w:num>
  <w:num w:numId="6">
    <w:abstractNumId w:val="21"/>
  </w:num>
  <w:num w:numId="7">
    <w:abstractNumId w:val="8"/>
  </w:num>
  <w:num w:numId="8">
    <w:abstractNumId w:val="11"/>
  </w:num>
  <w:num w:numId="9">
    <w:abstractNumId w:val="19"/>
  </w:num>
  <w:num w:numId="10">
    <w:abstractNumId w:val="22"/>
  </w:num>
  <w:num w:numId="11">
    <w:abstractNumId w:val="18"/>
  </w:num>
  <w:num w:numId="12">
    <w:abstractNumId w:val="4"/>
  </w:num>
  <w:num w:numId="13">
    <w:abstractNumId w:val="15"/>
  </w:num>
  <w:num w:numId="14">
    <w:abstractNumId w:val="14"/>
  </w:num>
  <w:num w:numId="15">
    <w:abstractNumId w:val="1"/>
  </w:num>
  <w:num w:numId="16">
    <w:abstractNumId w:val="0"/>
  </w:num>
  <w:num w:numId="17">
    <w:abstractNumId w:val="3"/>
  </w:num>
  <w:num w:numId="18">
    <w:abstractNumId w:val="6"/>
  </w:num>
  <w:num w:numId="19">
    <w:abstractNumId w:val="17"/>
  </w:num>
  <w:num w:numId="20">
    <w:abstractNumId w:val="23"/>
  </w:num>
  <w:num w:numId="21">
    <w:abstractNumId w:val="9"/>
  </w:num>
  <w:num w:numId="22">
    <w:abstractNumId w:val="20"/>
  </w:num>
  <w:num w:numId="23">
    <w:abstractNumId w:val="16"/>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02B"/>
    <w:rsid w:val="000006A1"/>
    <w:rsid w:val="00010341"/>
    <w:rsid w:val="000464BC"/>
    <w:rsid w:val="0005001D"/>
    <w:rsid w:val="00075C2F"/>
    <w:rsid w:val="000844A3"/>
    <w:rsid w:val="00085A18"/>
    <w:rsid w:val="000A2EC6"/>
    <w:rsid w:val="000B579A"/>
    <w:rsid w:val="000E704C"/>
    <w:rsid w:val="00100300"/>
    <w:rsid w:val="00101D3E"/>
    <w:rsid w:val="00102ADC"/>
    <w:rsid w:val="001067FC"/>
    <w:rsid w:val="00125F5F"/>
    <w:rsid w:val="00147C79"/>
    <w:rsid w:val="00151278"/>
    <w:rsid w:val="00153781"/>
    <w:rsid w:val="001623D4"/>
    <w:rsid w:val="0016497C"/>
    <w:rsid w:val="00171616"/>
    <w:rsid w:val="00175274"/>
    <w:rsid w:val="001772E1"/>
    <w:rsid w:val="00186B04"/>
    <w:rsid w:val="00190ECE"/>
    <w:rsid w:val="001C40BE"/>
    <w:rsid w:val="001D0493"/>
    <w:rsid w:val="001D2CD2"/>
    <w:rsid w:val="001F3EBF"/>
    <w:rsid w:val="001F4C0E"/>
    <w:rsid w:val="00200443"/>
    <w:rsid w:val="00201D23"/>
    <w:rsid w:val="00202827"/>
    <w:rsid w:val="00226C3D"/>
    <w:rsid w:val="00247822"/>
    <w:rsid w:val="00276047"/>
    <w:rsid w:val="00297058"/>
    <w:rsid w:val="002A2B2D"/>
    <w:rsid w:val="002A3523"/>
    <w:rsid w:val="002B6582"/>
    <w:rsid w:val="002D52CE"/>
    <w:rsid w:val="002D69DD"/>
    <w:rsid w:val="002E04C8"/>
    <w:rsid w:val="002E781B"/>
    <w:rsid w:val="003041C9"/>
    <w:rsid w:val="00312901"/>
    <w:rsid w:val="00323B39"/>
    <w:rsid w:val="003241AC"/>
    <w:rsid w:val="00326160"/>
    <w:rsid w:val="00335374"/>
    <w:rsid w:val="003422D5"/>
    <w:rsid w:val="00370934"/>
    <w:rsid w:val="00391659"/>
    <w:rsid w:val="0039607F"/>
    <w:rsid w:val="003A633F"/>
    <w:rsid w:val="003B1E74"/>
    <w:rsid w:val="003B2658"/>
    <w:rsid w:val="003E029C"/>
    <w:rsid w:val="003E2AC2"/>
    <w:rsid w:val="003E5D71"/>
    <w:rsid w:val="00404491"/>
    <w:rsid w:val="004051D2"/>
    <w:rsid w:val="00415F84"/>
    <w:rsid w:val="004406C2"/>
    <w:rsid w:val="0044211E"/>
    <w:rsid w:val="00444DD7"/>
    <w:rsid w:val="0044729D"/>
    <w:rsid w:val="00451BF9"/>
    <w:rsid w:val="00463130"/>
    <w:rsid w:val="00476446"/>
    <w:rsid w:val="00477E52"/>
    <w:rsid w:val="00480D8E"/>
    <w:rsid w:val="0048309B"/>
    <w:rsid w:val="004874D4"/>
    <w:rsid w:val="004A1DAB"/>
    <w:rsid w:val="004A5DD5"/>
    <w:rsid w:val="004B483F"/>
    <w:rsid w:val="004C2340"/>
    <w:rsid w:val="004F571B"/>
    <w:rsid w:val="00507600"/>
    <w:rsid w:val="005166D5"/>
    <w:rsid w:val="00517B51"/>
    <w:rsid w:val="00534CE3"/>
    <w:rsid w:val="005444FE"/>
    <w:rsid w:val="00570D07"/>
    <w:rsid w:val="005720D7"/>
    <w:rsid w:val="00572C30"/>
    <w:rsid w:val="00575BED"/>
    <w:rsid w:val="005B1CCD"/>
    <w:rsid w:val="005B2531"/>
    <w:rsid w:val="005C297C"/>
    <w:rsid w:val="005C303F"/>
    <w:rsid w:val="005C4835"/>
    <w:rsid w:val="005C6638"/>
    <w:rsid w:val="006008E8"/>
    <w:rsid w:val="006069CE"/>
    <w:rsid w:val="00607F3D"/>
    <w:rsid w:val="00610DAB"/>
    <w:rsid w:val="00614A48"/>
    <w:rsid w:val="006277DC"/>
    <w:rsid w:val="00643AA1"/>
    <w:rsid w:val="006527AA"/>
    <w:rsid w:val="006605AD"/>
    <w:rsid w:val="00671932"/>
    <w:rsid w:val="006801B8"/>
    <w:rsid w:val="00683EE0"/>
    <w:rsid w:val="006913CF"/>
    <w:rsid w:val="006970B2"/>
    <w:rsid w:val="006B756D"/>
    <w:rsid w:val="006D2E3A"/>
    <w:rsid w:val="006D4974"/>
    <w:rsid w:val="006E3949"/>
    <w:rsid w:val="006F3BA8"/>
    <w:rsid w:val="006F6716"/>
    <w:rsid w:val="00707286"/>
    <w:rsid w:val="007156BE"/>
    <w:rsid w:val="00721DCB"/>
    <w:rsid w:val="00743C4D"/>
    <w:rsid w:val="00750C90"/>
    <w:rsid w:val="00750D88"/>
    <w:rsid w:val="00762F6C"/>
    <w:rsid w:val="00763876"/>
    <w:rsid w:val="00770415"/>
    <w:rsid w:val="0077673E"/>
    <w:rsid w:val="00780510"/>
    <w:rsid w:val="007833A5"/>
    <w:rsid w:val="0079749B"/>
    <w:rsid w:val="007A1298"/>
    <w:rsid w:val="007A6E48"/>
    <w:rsid w:val="007D72F5"/>
    <w:rsid w:val="007E422A"/>
    <w:rsid w:val="007E7648"/>
    <w:rsid w:val="0081032B"/>
    <w:rsid w:val="008226D9"/>
    <w:rsid w:val="008337F8"/>
    <w:rsid w:val="00851AD0"/>
    <w:rsid w:val="0085405C"/>
    <w:rsid w:val="00860351"/>
    <w:rsid w:val="008733FE"/>
    <w:rsid w:val="008765E1"/>
    <w:rsid w:val="00885956"/>
    <w:rsid w:val="008C460D"/>
    <w:rsid w:val="008C70A2"/>
    <w:rsid w:val="008D6EB1"/>
    <w:rsid w:val="008E18C2"/>
    <w:rsid w:val="008F6B09"/>
    <w:rsid w:val="00910486"/>
    <w:rsid w:val="0091136D"/>
    <w:rsid w:val="0091483B"/>
    <w:rsid w:val="00941907"/>
    <w:rsid w:val="00941EEE"/>
    <w:rsid w:val="00964144"/>
    <w:rsid w:val="00981E77"/>
    <w:rsid w:val="00995830"/>
    <w:rsid w:val="0099702B"/>
    <w:rsid w:val="009A6152"/>
    <w:rsid w:val="009C10F8"/>
    <w:rsid w:val="009E537D"/>
    <w:rsid w:val="009E6A6C"/>
    <w:rsid w:val="00A03AD3"/>
    <w:rsid w:val="00A338D8"/>
    <w:rsid w:val="00A506BA"/>
    <w:rsid w:val="00A612EC"/>
    <w:rsid w:val="00A62206"/>
    <w:rsid w:val="00A76ED3"/>
    <w:rsid w:val="00A84876"/>
    <w:rsid w:val="00A9537D"/>
    <w:rsid w:val="00A95E48"/>
    <w:rsid w:val="00AC1028"/>
    <w:rsid w:val="00AC4050"/>
    <w:rsid w:val="00AE6413"/>
    <w:rsid w:val="00AF3614"/>
    <w:rsid w:val="00AF72A9"/>
    <w:rsid w:val="00AF771F"/>
    <w:rsid w:val="00B14D50"/>
    <w:rsid w:val="00B37602"/>
    <w:rsid w:val="00B6433E"/>
    <w:rsid w:val="00B66796"/>
    <w:rsid w:val="00B75B7F"/>
    <w:rsid w:val="00B87D20"/>
    <w:rsid w:val="00B93F85"/>
    <w:rsid w:val="00BB3998"/>
    <w:rsid w:val="00BC6E04"/>
    <w:rsid w:val="00BE3B32"/>
    <w:rsid w:val="00BE5690"/>
    <w:rsid w:val="00C0309A"/>
    <w:rsid w:val="00C041F6"/>
    <w:rsid w:val="00C10CA9"/>
    <w:rsid w:val="00C15E43"/>
    <w:rsid w:val="00C20BA0"/>
    <w:rsid w:val="00C2339E"/>
    <w:rsid w:val="00C26257"/>
    <w:rsid w:val="00C602EB"/>
    <w:rsid w:val="00C60596"/>
    <w:rsid w:val="00C668C4"/>
    <w:rsid w:val="00C76EBF"/>
    <w:rsid w:val="00C857C0"/>
    <w:rsid w:val="00C91B48"/>
    <w:rsid w:val="00C922CF"/>
    <w:rsid w:val="00CA2504"/>
    <w:rsid w:val="00CA2A1A"/>
    <w:rsid w:val="00CA7A57"/>
    <w:rsid w:val="00CC0355"/>
    <w:rsid w:val="00CF6A22"/>
    <w:rsid w:val="00D102BA"/>
    <w:rsid w:val="00D57662"/>
    <w:rsid w:val="00D733A2"/>
    <w:rsid w:val="00D81CDF"/>
    <w:rsid w:val="00D87824"/>
    <w:rsid w:val="00DA3171"/>
    <w:rsid w:val="00DA4DC7"/>
    <w:rsid w:val="00DA5E59"/>
    <w:rsid w:val="00DB1BB0"/>
    <w:rsid w:val="00DB2552"/>
    <w:rsid w:val="00DC3C0F"/>
    <w:rsid w:val="00DC6FBD"/>
    <w:rsid w:val="00DE2F0C"/>
    <w:rsid w:val="00E2033E"/>
    <w:rsid w:val="00E2124E"/>
    <w:rsid w:val="00E23383"/>
    <w:rsid w:val="00E30E66"/>
    <w:rsid w:val="00E31B33"/>
    <w:rsid w:val="00E3371B"/>
    <w:rsid w:val="00E40B12"/>
    <w:rsid w:val="00E500E8"/>
    <w:rsid w:val="00E54E5F"/>
    <w:rsid w:val="00E5766C"/>
    <w:rsid w:val="00E63B7A"/>
    <w:rsid w:val="00E806B3"/>
    <w:rsid w:val="00E81D6F"/>
    <w:rsid w:val="00E85DA9"/>
    <w:rsid w:val="00EA2A40"/>
    <w:rsid w:val="00EB12E6"/>
    <w:rsid w:val="00EB22B9"/>
    <w:rsid w:val="00ED4B79"/>
    <w:rsid w:val="00F104E8"/>
    <w:rsid w:val="00F260D9"/>
    <w:rsid w:val="00F2787F"/>
    <w:rsid w:val="00F350EA"/>
    <w:rsid w:val="00F41674"/>
    <w:rsid w:val="00F44CA4"/>
    <w:rsid w:val="00F50E6B"/>
    <w:rsid w:val="00F557C7"/>
    <w:rsid w:val="00F619C6"/>
    <w:rsid w:val="00F631EE"/>
    <w:rsid w:val="00F8082D"/>
    <w:rsid w:val="00F829BC"/>
    <w:rsid w:val="00F86AF4"/>
    <w:rsid w:val="00F96FCE"/>
    <w:rsid w:val="00FA28EC"/>
    <w:rsid w:val="00FA612E"/>
    <w:rsid w:val="00FB057D"/>
    <w:rsid w:val="00FB704D"/>
    <w:rsid w:val="00FB73D9"/>
    <w:rsid w:val="00FC3301"/>
    <w:rsid w:val="00FC3C83"/>
    <w:rsid w:val="00FD3F0B"/>
    <w:rsid w:val="00FF4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D0458"/>
  <w15:chartTrackingRefBased/>
  <w15:docId w15:val="{EA11D880-05F8-4069-B6BD-49576B307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9702B"/>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9702B"/>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9702B"/>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702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9702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9702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9702B"/>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9702B"/>
    <w:rPr>
      <w:color w:val="0000FF"/>
      <w:u w:val="single"/>
    </w:rPr>
  </w:style>
  <w:style w:type="character" w:styleId="Strong">
    <w:name w:val="Strong"/>
    <w:basedOn w:val="DefaultParagraphFont"/>
    <w:uiPriority w:val="22"/>
    <w:qFormat/>
    <w:rsid w:val="0099702B"/>
    <w:rPr>
      <w:b/>
      <w:bCs/>
    </w:rPr>
  </w:style>
  <w:style w:type="character" w:styleId="Emphasis">
    <w:name w:val="Emphasis"/>
    <w:basedOn w:val="DefaultParagraphFont"/>
    <w:uiPriority w:val="20"/>
    <w:qFormat/>
    <w:rsid w:val="0099702B"/>
    <w:rPr>
      <w:i/>
      <w:iCs/>
    </w:rPr>
  </w:style>
  <w:style w:type="paragraph" w:styleId="Header">
    <w:name w:val="header"/>
    <w:basedOn w:val="Normal"/>
    <w:link w:val="HeaderChar"/>
    <w:uiPriority w:val="99"/>
    <w:unhideWhenUsed/>
    <w:rsid w:val="00477E52"/>
    <w:pPr>
      <w:tabs>
        <w:tab w:val="center" w:pos="4680"/>
        <w:tab w:val="right" w:pos="9360"/>
      </w:tabs>
    </w:pPr>
  </w:style>
  <w:style w:type="character" w:customStyle="1" w:styleId="HeaderChar">
    <w:name w:val="Header Char"/>
    <w:basedOn w:val="DefaultParagraphFont"/>
    <w:link w:val="Header"/>
    <w:uiPriority w:val="99"/>
    <w:rsid w:val="00477E52"/>
  </w:style>
  <w:style w:type="paragraph" w:styleId="Footer">
    <w:name w:val="footer"/>
    <w:basedOn w:val="Normal"/>
    <w:link w:val="FooterChar"/>
    <w:uiPriority w:val="99"/>
    <w:unhideWhenUsed/>
    <w:rsid w:val="00477E52"/>
    <w:pPr>
      <w:tabs>
        <w:tab w:val="center" w:pos="4680"/>
        <w:tab w:val="right" w:pos="9360"/>
      </w:tabs>
    </w:pPr>
  </w:style>
  <w:style w:type="character" w:customStyle="1" w:styleId="FooterChar">
    <w:name w:val="Footer Char"/>
    <w:basedOn w:val="DefaultParagraphFont"/>
    <w:link w:val="Footer"/>
    <w:uiPriority w:val="99"/>
    <w:rsid w:val="00477E52"/>
  </w:style>
  <w:style w:type="paragraph" w:styleId="ListParagraph">
    <w:name w:val="List Paragraph"/>
    <w:basedOn w:val="Normal"/>
    <w:uiPriority w:val="34"/>
    <w:qFormat/>
    <w:rsid w:val="00770415"/>
    <w:pPr>
      <w:ind w:left="720"/>
      <w:contextualSpacing/>
    </w:pPr>
  </w:style>
  <w:style w:type="paragraph" w:styleId="BalloonText">
    <w:name w:val="Balloon Text"/>
    <w:basedOn w:val="Normal"/>
    <w:link w:val="BalloonTextChar"/>
    <w:uiPriority w:val="99"/>
    <w:semiHidden/>
    <w:unhideWhenUsed/>
    <w:rsid w:val="00981E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1E77"/>
    <w:rPr>
      <w:rFonts w:ascii="Segoe UI" w:hAnsi="Segoe UI" w:cs="Segoe UI"/>
      <w:sz w:val="18"/>
      <w:szCs w:val="18"/>
    </w:rPr>
  </w:style>
  <w:style w:type="character" w:styleId="CommentReference">
    <w:name w:val="annotation reference"/>
    <w:basedOn w:val="DefaultParagraphFont"/>
    <w:uiPriority w:val="99"/>
    <w:semiHidden/>
    <w:unhideWhenUsed/>
    <w:rsid w:val="007A6E48"/>
    <w:rPr>
      <w:sz w:val="16"/>
      <w:szCs w:val="16"/>
    </w:rPr>
  </w:style>
  <w:style w:type="paragraph" w:styleId="CommentText">
    <w:name w:val="annotation text"/>
    <w:basedOn w:val="Normal"/>
    <w:link w:val="CommentTextChar"/>
    <w:uiPriority w:val="99"/>
    <w:unhideWhenUsed/>
    <w:rsid w:val="007A6E48"/>
    <w:rPr>
      <w:sz w:val="20"/>
      <w:szCs w:val="20"/>
    </w:rPr>
  </w:style>
  <w:style w:type="character" w:customStyle="1" w:styleId="CommentTextChar">
    <w:name w:val="Comment Text Char"/>
    <w:basedOn w:val="DefaultParagraphFont"/>
    <w:link w:val="CommentText"/>
    <w:uiPriority w:val="99"/>
    <w:rsid w:val="007A6E48"/>
    <w:rPr>
      <w:sz w:val="20"/>
      <w:szCs w:val="20"/>
    </w:rPr>
  </w:style>
  <w:style w:type="paragraph" w:styleId="FootnoteText">
    <w:name w:val="footnote text"/>
    <w:basedOn w:val="Normal"/>
    <w:link w:val="FootnoteTextChar"/>
    <w:uiPriority w:val="99"/>
    <w:semiHidden/>
    <w:unhideWhenUsed/>
    <w:rsid w:val="008337F8"/>
    <w:rPr>
      <w:sz w:val="20"/>
      <w:szCs w:val="20"/>
    </w:rPr>
  </w:style>
  <w:style w:type="character" w:customStyle="1" w:styleId="FootnoteTextChar">
    <w:name w:val="Footnote Text Char"/>
    <w:basedOn w:val="DefaultParagraphFont"/>
    <w:link w:val="FootnoteText"/>
    <w:uiPriority w:val="99"/>
    <w:semiHidden/>
    <w:rsid w:val="008337F8"/>
    <w:rPr>
      <w:sz w:val="20"/>
      <w:szCs w:val="20"/>
    </w:rPr>
  </w:style>
  <w:style w:type="character" w:styleId="FootnoteReference">
    <w:name w:val="footnote reference"/>
    <w:basedOn w:val="DefaultParagraphFont"/>
    <w:uiPriority w:val="99"/>
    <w:semiHidden/>
    <w:unhideWhenUsed/>
    <w:rsid w:val="008337F8"/>
    <w:rPr>
      <w:vertAlign w:val="superscript"/>
    </w:rPr>
  </w:style>
  <w:style w:type="character" w:styleId="FollowedHyperlink">
    <w:name w:val="FollowedHyperlink"/>
    <w:basedOn w:val="DefaultParagraphFont"/>
    <w:uiPriority w:val="99"/>
    <w:semiHidden/>
    <w:unhideWhenUsed/>
    <w:rsid w:val="00FA612E"/>
    <w:rPr>
      <w:color w:val="954F72" w:themeColor="followedHyperlink"/>
      <w:u w:val="single"/>
    </w:rPr>
  </w:style>
  <w:style w:type="character" w:styleId="UnresolvedMention">
    <w:name w:val="Unresolved Mention"/>
    <w:basedOn w:val="DefaultParagraphFont"/>
    <w:uiPriority w:val="99"/>
    <w:semiHidden/>
    <w:unhideWhenUsed/>
    <w:rsid w:val="007D72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987021">
      <w:bodyDiv w:val="1"/>
      <w:marLeft w:val="0"/>
      <w:marRight w:val="0"/>
      <w:marTop w:val="0"/>
      <w:marBottom w:val="0"/>
      <w:divBdr>
        <w:top w:val="none" w:sz="0" w:space="0" w:color="auto"/>
        <w:left w:val="none" w:sz="0" w:space="0" w:color="auto"/>
        <w:bottom w:val="none" w:sz="0" w:space="0" w:color="auto"/>
        <w:right w:val="none" w:sz="0" w:space="0" w:color="auto"/>
      </w:divBdr>
    </w:div>
    <w:div w:id="371270325">
      <w:bodyDiv w:val="1"/>
      <w:marLeft w:val="0"/>
      <w:marRight w:val="0"/>
      <w:marTop w:val="0"/>
      <w:marBottom w:val="0"/>
      <w:divBdr>
        <w:top w:val="none" w:sz="0" w:space="0" w:color="auto"/>
        <w:left w:val="none" w:sz="0" w:space="0" w:color="auto"/>
        <w:bottom w:val="none" w:sz="0" w:space="0" w:color="auto"/>
        <w:right w:val="none" w:sz="0" w:space="0" w:color="auto"/>
      </w:divBdr>
    </w:div>
    <w:div w:id="748622736">
      <w:bodyDiv w:val="1"/>
      <w:marLeft w:val="0"/>
      <w:marRight w:val="0"/>
      <w:marTop w:val="0"/>
      <w:marBottom w:val="0"/>
      <w:divBdr>
        <w:top w:val="none" w:sz="0" w:space="0" w:color="auto"/>
        <w:left w:val="none" w:sz="0" w:space="0" w:color="auto"/>
        <w:bottom w:val="none" w:sz="0" w:space="0" w:color="auto"/>
        <w:right w:val="none" w:sz="0" w:space="0" w:color="auto"/>
      </w:divBdr>
    </w:div>
    <w:div w:id="1078938475">
      <w:bodyDiv w:val="1"/>
      <w:marLeft w:val="0"/>
      <w:marRight w:val="0"/>
      <w:marTop w:val="0"/>
      <w:marBottom w:val="0"/>
      <w:divBdr>
        <w:top w:val="none" w:sz="0" w:space="0" w:color="auto"/>
        <w:left w:val="none" w:sz="0" w:space="0" w:color="auto"/>
        <w:bottom w:val="none" w:sz="0" w:space="0" w:color="auto"/>
        <w:right w:val="none" w:sz="0" w:space="0" w:color="auto"/>
      </w:divBdr>
    </w:div>
    <w:div w:id="1139763898">
      <w:bodyDiv w:val="1"/>
      <w:marLeft w:val="0"/>
      <w:marRight w:val="0"/>
      <w:marTop w:val="0"/>
      <w:marBottom w:val="0"/>
      <w:divBdr>
        <w:top w:val="none" w:sz="0" w:space="0" w:color="auto"/>
        <w:left w:val="none" w:sz="0" w:space="0" w:color="auto"/>
        <w:bottom w:val="none" w:sz="0" w:space="0" w:color="auto"/>
        <w:right w:val="none" w:sz="0" w:space="0" w:color="auto"/>
      </w:divBdr>
    </w:div>
    <w:div w:id="1224367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networkforphl.org/wp-content/uploads/2020/01/Legal-Liability-Protections-for-Emergency-Medical-and-Public-Health-Responses.pdf" TargetMode="External"/><Relationship Id="rId3" Type="http://schemas.openxmlformats.org/officeDocument/2006/relationships/hyperlink" Target="https://www.phe.gov/Preparedness/legal/Pages/phe-qa.aspx" TargetMode="External"/><Relationship Id="rId7" Type="http://schemas.openxmlformats.org/officeDocument/2006/relationships/hyperlink" Target="http://doi.org/10.1089/hs.2018.0126" TargetMode="External"/><Relationship Id="rId2" Type="http://schemas.openxmlformats.org/officeDocument/2006/relationships/hyperlink" Target="https://www.ihs.gov/riskmanagement/ftca/" TargetMode="External"/><Relationship Id="rId1" Type="http://schemas.openxmlformats.org/officeDocument/2006/relationships/hyperlink" Target="http://digitalcommons.law.ou.edu/ailr/vol39/iss1/1" TargetMode="External"/><Relationship Id="rId6" Type="http://schemas.openxmlformats.org/officeDocument/2006/relationships/hyperlink" Target="https://www.networkforphl.org/wp-content/uploads/2020/01/Emergency-Declaration-Authorities.pdf" TargetMode="External"/><Relationship Id="rId11" Type="http://schemas.openxmlformats.org/officeDocument/2006/relationships/hyperlink" Target="https://www.networkforphl.org/wp-content/uploads/2020/01/Legal-Liability-Protections-for-Emergency-Medical-and-Public-Health-Responses.pdf" TargetMode="External"/><Relationship Id="rId5" Type="http://schemas.openxmlformats.org/officeDocument/2006/relationships/hyperlink" Target="https://www.mwl-law.com/wp-content/uploads/2013/03/MUNICIPAL-COUNTY-LOCAL-GOVERNMENTAL-LIABILITY-CHART-00212510.pdf" TargetMode="External"/><Relationship Id="rId10" Type="http://schemas.openxmlformats.org/officeDocument/2006/relationships/hyperlink" Target="https://www.uniformlaws.org/committees/community-home?CommunityKey=565933ce-965f-4d3c-9c90-b00246f30f2d" TargetMode="External"/><Relationship Id="rId4" Type="http://schemas.openxmlformats.org/officeDocument/2006/relationships/hyperlink" Target="https://www.mwl-law.com/wp-content/uploads/2013/03/MUNICIPAL-COUNTY-LOCAL-GOVERNMENTAL-LIABILITY-CHART-00212510.pdf" TargetMode="External"/><Relationship Id="rId9" Type="http://schemas.openxmlformats.org/officeDocument/2006/relationships/hyperlink" Target="https://www.networkforphl.org/wp-content/uploads/2020/01/Legal-Liability-Protections-for-Emergency-Medical-and-Public-Health-Respons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1D4A6-9DD0-4406-A8B1-096922002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4511</TotalTime>
  <Pages>10</Pages>
  <Words>3040</Words>
  <Characters>17331</Characters>
  <Application>Microsoft Office Word</Application>
  <DocSecurity>0</DocSecurity>
  <Lines>144</Lines>
  <Paragraphs>40</Paragraphs>
  <ScaleCrop>false</ScaleCrop>
  <Company/>
  <LinksUpToDate>false</LinksUpToDate>
  <CharactersWithSpaces>20331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236</cp:revision>
  <dcterms:created xsi:type="dcterms:W3CDTF">2019-09-11T15:34:00Z</dcterms:created>
  <dcterms:modified xsi:type="dcterms:W3CDTF">2020-03-06T17:34:00Z</dcterms:modified>
</cp:coreProperties>
</file>