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D2569B" w14:textId="5AD5A4F0" w:rsidR="00865882" w:rsidRDefault="00DB5E24" w:rsidP="00865882">
      <w:pPr>
        <w:spacing w:after="120"/>
        <w:jc w:val="center"/>
        <w:rPr>
          <w:rFonts w:asciiTheme="minorHAnsi" w:eastAsiaTheme="minorHAnsi" w:hAnsiTheme="minorHAnsi" w:cstheme="minorBidi"/>
          <w:b/>
          <w:bCs/>
          <w:sz w:val="24"/>
          <w:szCs w:val="24"/>
        </w:rPr>
      </w:pPr>
      <w:r w:rsidRPr="00DB5E24">
        <w:rPr>
          <w:rFonts w:asciiTheme="minorHAnsi" w:hAnsiTheme="minorHAnsi" w:cstheme="minorHAnsi"/>
          <w:b/>
          <w:sz w:val="24"/>
          <w:szCs w:val="24"/>
        </w:rPr>
        <w:t>PUBLIC HEALTH COLLECTION, USE, SHARING AND PROTECTION OF INFORMATION</w:t>
      </w:r>
    </w:p>
    <w:p w14:paraId="10514D6E" w14:textId="77777777" w:rsidR="00865882" w:rsidRPr="00052A34" w:rsidRDefault="00865882" w:rsidP="00865882">
      <w:pPr>
        <w:jc w:val="center"/>
        <w:rPr>
          <w:rFonts w:asciiTheme="minorHAnsi" w:eastAsiaTheme="minorHAnsi" w:hAnsiTheme="minorHAnsi" w:cstheme="minorBidi"/>
          <w:b/>
          <w:bCs/>
          <w:sz w:val="24"/>
          <w:szCs w:val="24"/>
        </w:rPr>
      </w:pPr>
      <w:r w:rsidRPr="00052A34">
        <w:rPr>
          <w:rFonts w:asciiTheme="minorHAnsi" w:eastAsiaTheme="minorHAnsi" w:hAnsiTheme="minorHAnsi" w:cstheme="minorBidi"/>
          <w:b/>
          <w:bCs/>
          <w:sz w:val="24"/>
          <w:szCs w:val="24"/>
        </w:rPr>
        <w:t>PRACTICE GUIDE</w:t>
      </w:r>
    </w:p>
    <w:p w14:paraId="1A1435A0" w14:textId="77777777" w:rsidR="00865882" w:rsidRPr="00052A34" w:rsidRDefault="00865882" w:rsidP="00865882">
      <w:pPr>
        <w:rPr>
          <w:rFonts w:asciiTheme="minorHAnsi" w:eastAsiaTheme="minorHAnsi" w:hAnsiTheme="minorHAnsi" w:cstheme="minorBidi"/>
        </w:rPr>
      </w:pPr>
    </w:p>
    <w:p w14:paraId="145A0B9A" w14:textId="77777777" w:rsidR="00865882" w:rsidRPr="00052A34" w:rsidRDefault="00865882" w:rsidP="00865882">
      <w:pPr>
        <w:rPr>
          <w:rFonts w:asciiTheme="minorHAnsi" w:eastAsiaTheme="minorHAnsi" w:hAnsiTheme="minorHAnsi" w:cstheme="minorBidi"/>
        </w:rPr>
      </w:pPr>
      <w:bookmarkStart w:id="0" w:name="_GoBack"/>
      <w:bookmarkEnd w:id="0"/>
    </w:p>
    <w:p w14:paraId="5D7BC991" w14:textId="77777777" w:rsidR="00865882" w:rsidRPr="00052A34" w:rsidRDefault="00865882" w:rsidP="00865882">
      <w:pPr>
        <w:spacing w:after="120"/>
        <w:rPr>
          <w:rFonts w:asciiTheme="minorHAnsi" w:eastAsiaTheme="minorHAnsi" w:hAnsiTheme="minorHAnsi" w:cstheme="minorBidi"/>
        </w:rPr>
      </w:pPr>
      <w:r w:rsidRPr="00052A34">
        <w:rPr>
          <w:rFonts w:asciiTheme="minorHAnsi" w:eastAsiaTheme="minorHAnsi" w:hAnsiTheme="minorHAnsi" w:cstheme="minorBidi"/>
        </w:rPr>
        <w:t>This Practice Guide is intended to:</w:t>
      </w:r>
    </w:p>
    <w:p w14:paraId="70F0A979" w14:textId="77777777" w:rsidR="00865882" w:rsidRPr="00DB5E24" w:rsidRDefault="00865882" w:rsidP="00865882">
      <w:pPr>
        <w:numPr>
          <w:ilvl w:val="0"/>
          <w:numId w:val="1"/>
        </w:numPr>
        <w:spacing w:after="120"/>
        <w:rPr>
          <w:rFonts w:asciiTheme="minorHAnsi" w:eastAsiaTheme="minorHAnsi" w:hAnsiTheme="minorHAnsi" w:cstheme="minorBidi"/>
        </w:rPr>
      </w:pPr>
      <w:r w:rsidRPr="00DB5E24">
        <w:rPr>
          <w:rFonts w:asciiTheme="minorHAnsi" w:eastAsiaTheme="minorHAnsi" w:hAnsiTheme="minorHAnsi" w:cstheme="minorBidi"/>
        </w:rPr>
        <w:t>Provide practice notes and tips gathered from public health emergency preparedness professionals in state, tribal, local, and territorial (STLT) governments and their legal counsel</w:t>
      </w:r>
    </w:p>
    <w:p w14:paraId="5BA27314" w14:textId="2CC6D196" w:rsidR="00865882" w:rsidRPr="00DB5E24" w:rsidRDefault="00865882" w:rsidP="00865882">
      <w:pPr>
        <w:numPr>
          <w:ilvl w:val="0"/>
          <w:numId w:val="1"/>
        </w:numPr>
        <w:spacing w:after="120"/>
        <w:rPr>
          <w:rFonts w:asciiTheme="minorHAnsi" w:eastAsiaTheme="minorHAnsi" w:hAnsiTheme="minorHAnsi" w:cstheme="minorBidi"/>
        </w:rPr>
      </w:pPr>
      <w:r w:rsidRPr="00DB5E24">
        <w:rPr>
          <w:rFonts w:asciiTheme="minorHAnsi" w:eastAsiaTheme="minorHAnsi" w:hAnsiTheme="minorHAnsi" w:cstheme="minorBidi"/>
        </w:rPr>
        <w:t xml:space="preserve">Assist STLT health agency staff and legal counsel to identify and analyze their jurisdiction’s laws, rules, policies, and implementation plans that </w:t>
      </w:r>
      <w:r w:rsidR="00DB5E24" w:rsidRPr="00DB5E24">
        <w:rPr>
          <w:rFonts w:asciiTheme="minorHAnsi" w:hAnsiTheme="minorHAnsi" w:cs="Arial"/>
        </w:rPr>
        <w:t>the public health collection, use, sharing, and protection of information for emergency preparedness and response.</w:t>
      </w:r>
    </w:p>
    <w:p w14:paraId="0225A44E" w14:textId="77777777" w:rsidR="00865882" w:rsidRPr="00DB5E24" w:rsidRDefault="00865882" w:rsidP="00865882">
      <w:pPr>
        <w:numPr>
          <w:ilvl w:val="0"/>
          <w:numId w:val="1"/>
        </w:numPr>
        <w:contextualSpacing/>
        <w:rPr>
          <w:rFonts w:asciiTheme="minorHAnsi" w:eastAsiaTheme="minorHAnsi" w:hAnsiTheme="minorHAnsi" w:cstheme="minorBidi"/>
        </w:rPr>
      </w:pPr>
      <w:r w:rsidRPr="00DB5E24">
        <w:rPr>
          <w:rFonts w:asciiTheme="minorHAnsi" w:eastAsiaTheme="minorHAnsi" w:hAnsiTheme="minorHAnsi" w:cstheme="minorBidi"/>
        </w:rPr>
        <w:t>Highlight examples and templates from other jurisdictions</w:t>
      </w:r>
    </w:p>
    <w:p w14:paraId="791CF63C" w14:textId="77777777" w:rsidR="00865882" w:rsidRPr="00052A34" w:rsidRDefault="00865882" w:rsidP="00865882">
      <w:pPr>
        <w:rPr>
          <w:rFonts w:asciiTheme="minorHAnsi" w:eastAsiaTheme="minorHAnsi" w:hAnsiTheme="minorHAnsi" w:cstheme="minorBidi"/>
        </w:rPr>
      </w:pPr>
    </w:p>
    <w:p w14:paraId="671F5AF3" w14:textId="0C74DC8E" w:rsidR="00865882" w:rsidRPr="00052A34" w:rsidRDefault="00865882" w:rsidP="00865882">
      <w:pPr>
        <w:spacing w:after="120"/>
        <w:rPr>
          <w:rFonts w:asciiTheme="minorHAnsi" w:eastAsiaTheme="minorHAnsi" w:hAnsiTheme="minorHAnsi" w:cstheme="minorBidi"/>
        </w:rPr>
      </w:pPr>
      <w:r w:rsidRPr="00052A34">
        <w:rPr>
          <w:rFonts w:asciiTheme="minorHAnsi" w:eastAsiaTheme="minorHAnsi" w:hAnsiTheme="minorHAnsi" w:cstheme="minorBidi"/>
        </w:rPr>
        <w:t>It</w:t>
      </w:r>
      <w:r w:rsidRPr="008A343A">
        <w:rPr>
          <w:rFonts w:asciiTheme="minorHAnsi" w:eastAsiaTheme="minorHAnsi" w:hAnsiTheme="minorHAnsi" w:cstheme="minorBidi"/>
        </w:rPr>
        <w:t xml:space="preserve"> includes checklists in </w:t>
      </w:r>
      <w:r w:rsidR="007D6CAD">
        <w:rPr>
          <w:rFonts w:asciiTheme="minorHAnsi" w:eastAsiaTheme="minorHAnsi" w:hAnsiTheme="minorHAnsi" w:cstheme="minorBidi"/>
        </w:rPr>
        <w:t>four</w:t>
      </w:r>
      <w:r w:rsidRPr="008A343A">
        <w:rPr>
          <w:rFonts w:asciiTheme="minorHAnsi" w:eastAsiaTheme="minorHAnsi" w:hAnsiTheme="minorHAnsi" w:cstheme="minorBidi"/>
        </w:rPr>
        <w:t xml:space="preserve"> areas</w:t>
      </w:r>
      <w:r w:rsidRPr="00052A34">
        <w:rPr>
          <w:rFonts w:asciiTheme="minorHAnsi" w:eastAsiaTheme="minorHAnsi" w:hAnsiTheme="minorHAnsi" w:cstheme="minorBidi"/>
        </w:rPr>
        <w:t>:</w:t>
      </w:r>
    </w:p>
    <w:p w14:paraId="38F1167C" w14:textId="2705979D" w:rsidR="00865882" w:rsidRPr="007D6CAD" w:rsidRDefault="00BB2B02" w:rsidP="00865882">
      <w:pPr>
        <w:numPr>
          <w:ilvl w:val="0"/>
          <w:numId w:val="2"/>
        </w:numPr>
        <w:spacing w:after="120"/>
        <w:rPr>
          <w:rFonts w:asciiTheme="minorHAnsi" w:eastAsiaTheme="minorHAnsi" w:hAnsiTheme="minorHAnsi" w:cstheme="minorBidi"/>
        </w:rPr>
      </w:pPr>
      <w:r w:rsidRPr="007D6CAD">
        <w:rPr>
          <w:rFonts w:asciiTheme="minorHAnsi" w:eastAsiaTheme="minorHAnsi" w:hAnsiTheme="minorHAnsi" w:cstheme="minorBidi"/>
        </w:rPr>
        <w:t>Collection and use of information</w:t>
      </w:r>
    </w:p>
    <w:p w14:paraId="13F876B4" w14:textId="7451283C" w:rsidR="00865882" w:rsidRPr="007D6CAD" w:rsidRDefault="00BB2B02" w:rsidP="00865882">
      <w:pPr>
        <w:numPr>
          <w:ilvl w:val="0"/>
          <w:numId w:val="2"/>
        </w:numPr>
        <w:spacing w:after="120"/>
        <w:rPr>
          <w:rFonts w:asciiTheme="minorHAnsi" w:eastAsiaTheme="minorHAnsi" w:hAnsiTheme="minorHAnsi" w:cstheme="minorBidi"/>
        </w:rPr>
      </w:pPr>
      <w:r w:rsidRPr="007D6CAD">
        <w:rPr>
          <w:rFonts w:asciiTheme="minorHAnsi" w:eastAsiaTheme="minorHAnsi" w:hAnsiTheme="minorHAnsi" w:cstheme="minorBidi"/>
        </w:rPr>
        <w:t>Sharing information</w:t>
      </w:r>
    </w:p>
    <w:p w14:paraId="3DEEA132" w14:textId="39052B8C" w:rsidR="00865882" w:rsidRPr="007D6CAD" w:rsidRDefault="007D6CAD" w:rsidP="007D6CAD">
      <w:pPr>
        <w:numPr>
          <w:ilvl w:val="0"/>
          <w:numId w:val="2"/>
        </w:numPr>
        <w:spacing w:after="120"/>
        <w:rPr>
          <w:rFonts w:asciiTheme="minorHAnsi" w:eastAsiaTheme="minorHAnsi" w:hAnsiTheme="minorHAnsi" w:cstheme="minorBidi"/>
        </w:rPr>
      </w:pPr>
      <w:r w:rsidRPr="007D6CAD">
        <w:rPr>
          <w:rFonts w:asciiTheme="minorHAnsi" w:eastAsiaTheme="minorHAnsi" w:hAnsiTheme="minorHAnsi" w:cstheme="minorBidi"/>
        </w:rPr>
        <w:t>Emergency declarations</w:t>
      </w:r>
    </w:p>
    <w:p w14:paraId="1A27A782" w14:textId="65B02737" w:rsidR="007D6CAD" w:rsidRPr="007D6CAD" w:rsidRDefault="007D6CAD" w:rsidP="00865882">
      <w:pPr>
        <w:numPr>
          <w:ilvl w:val="0"/>
          <w:numId w:val="2"/>
        </w:numPr>
        <w:contextualSpacing/>
        <w:rPr>
          <w:rFonts w:asciiTheme="minorHAnsi" w:eastAsiaTheme="minorHAnsi" w:hAnsiTheme="minorHAnsi" w:cstheme="minorBidi"/>
        </w:rPr>
      </w:pPr>
      <w:r w:rsidRPr="007D6CAD">
        <w:rPr>
          <w:rFonts w:asciiTheme="minorHAnsi" w:eastAsiaTheme="minorHAnsi" w:hAnsiTheme="minorHAnsi" w:cstheme="minorBidi"/>
        </w:rPr>
        <w:t>Protection of information</w:t>
      </w:r>
    </w:p>
    <w:p w14:paraId="06AAD1C9" w14:textId="77777777" w:rsidR="00865882" w:rsidRPr="00052A34" w:rsidRDefault="00865882" w:rsidP="00865882">
      <w:pPr>
        <w:rPr>
          <w:rFonts w:asciiTheme="minorHAnsi" w:eastAsiaTheme="minorHAnsi" w:hAnsiTheme="minorHAnsi" w:cstheme="minorBidi"/>
        </w:rPr>
      </w:pPr>
    </w:p>
    <w:p w14:paraId="623EBE98" w14:textId="77777777" w:rsidR="00865882" w:rsidRPr="00052A34" w:rsidRDefault="00865882" w:rsidP="00865882">
      <w:pPr>
        <w:rPr>
          <w:rFonts w:asciiTheme="minorHAnsi" w:eastAsiaTheme="minorHAnsi" w:hAnsiTheme="minorHAnsi" w:cstheme="minorBidi"/>
        </w:rPr>
      </w:pPr>
      <w:r w:rsidRPr="00052A34">
        <w:rPr>
          <w:rFonts w:asciiTheme="minorHAnsi" w:eastAsiaTheme="minorHAnsi" w:hAnsiTheme="minorHAnsi" w:cstheme="minorBidi"/>
        </w:rPr>
        <w:t xml:space="preserve">Because each jurisdiction’s law is unique, this guide may not identify all issues that arise </w:t>
      </w:r>
      <w:proofErr w:type="gramStart"/>
      <w:r w:rsidRPr="00052A34">
        <w:rPr>
          <w:rFonts w:asciiTheme="minorHAnsi" w:eastAsiaTheme="minorHAnsi" w:hAnsiTheme="minorHAnsi" w:cstheme="minorBidi"/>
        </w:rPr>
        <w:t>in the course of</w:t>
      </w:r>
      <w:proofErr w:type="gramEnd"/>
      <w:r w:rsidRPr="00052A34">
        <w:rPr>
          <w:rFonts w:asciiTheme="minorHAnsi" w:eastAsiaTheme="minorHAnsi" w:hAnsiTheme="minorHAnsi" w:cstheme="minorBidi"/>
        </w:rPr>
        <w:t xml:space="preserve"> analyzing a law. In all instances the language and requirements of the specific jurisdiction’s laws, regulations, treaties, ordinances, rules, policies, guidance, case law, and other sources of legal authority overrule this general analysis guide. </w:t>
      </w:r>
    </w:p>
    <w:p w14:paraId="1C22BE5D" w14:textId="77777777" w:rsidR="00865882" w:rsidRPr="00052A34" w:rsidRDefault="00865882" w:rsidP="00865882">
      <w:pPr>
        <w:rPr>
          <w:rFonts w:asciiTheme="minorHAnsi" w:eastAsiaTheme="minorHAnsi" w:hAnsiTheme="minorHAnsi" w:cstheme="minorBidi"/>
        </w:rPr>
      </w:pPr>
    </w:p>
    <w:p w14:paraId="7BEDB3E6" w14:textId="77777777" w:rsidR="00865882" w:rsidRPr="00052A34" w:rsidRDefault="00865882" w:rsidP="00865882">
      <w:pPr>
        <w:rPr>
          <w:rFonts w:asciiTheme="minorHAnsi" w:eastAsiaTheme="minorHAnsi" w:hAnsiTheme="minorHAnsi" w:cstheme="minorBidi"/>
          <w:b/>
          <w:bCs/>
        </w:rPr>
      </w:pPr>
      <w:r w:rsidRPr="00052A34">
        <w:rPr>
          <w:rFonts w:asciiTheme="minorHAnsi" w:eastAsiaTheme="minorHAnsi" w:hAnsiTheme="minorHAnsi" w:cstheme="minorBidi"/>
          <w:b/>
          <w:bCs/>
        </w:rPr>
        <w:t>This resource is for informational purposes only and is not intended as a substitute for professional legal or other advice.</w:t>
      </w:r>
    </w:p>
    <w:p w14:paraId="691B6EA5" w14:textId="77777777" w:rsidR="00865882" w:rsidRDefault="00865882" w:rsidP="00865882">
      <w:pPr>
        <w:rPr>
          <w:rFonts w:asciiTheme="minorHAnsi" w:eastAsiaTheme="minorHAnsi" w:hAnsiTheme="minorHAnsi" w:cstheme="minorBidi"/>
        </w:rPr>
      </w:pPr>
    </w:p>
    <w:p w14:paraId="5C70A5F4" w14:textId="77777777" w:rsidR="00865882" w:rsidRDefault="00865882" w:rsidP="00865882">
      <w:pPr>
        <w:rPr>
          <w:rFonts w:asciiTheme="minorHAnsi" w:eastAsiaTheme="minorHAnsi" w:hAnsiTheme="minorHAnsi" w:cstheme="minorBidi"/>
        </w:rPr>
      </w:pPr>
    </w:p>
    <w:p w14:paraId="0CF1493F" w14:textId="77777777" w:rsidR="00BD20D1" w:rsidRPr="00BD20D1" w:rsidRDefault="00865882" w:rsidP="00BD20D1">
      <w:pPr>
        <w:spacing w:after="120"/>
        <w:rPr>
          <w:rFonts w:asciiTheme="minorHAnsi" w:hAnsiTheme="minorHAnsi" w:cstheme="minorHAnsi"/>
          <w:b/>
          <w:bCs/>
          <w:sz w:val="24"/>
          <w:szCs w:val="24"/>
        </w:rPr>
      </w:pPr>
      <w:r w:rsidRPr="00E50B89">
        <w:rPr>
          <w:rFonts w:asciiTheme="minorHAnsi" w:eastAsiaTheme="minorHAnsi" w:hAnsiTheme="minorHAnsi" w:cstheme="minorBidi"/>
          <w:b/>
          <w:sz w:val="24"/>
          <w:szCs w:val="24"/>
        </w:rPr>
        <w:t>Checklist</w:t>
      </w:r>
      <w:r w:rsidRPr="00E50B89">
        <w:rPr>
          <w:rFonts w:asciiTheme="minorHAnsi" w:eastAsia="Times New Roman" w:hAnsiTheme="minorHAnsi" w:cs="Arial"/>
          <w:b/>
          <w:color w:val="3C3030"/>
          <w:sz w:val="24"/>
          <w:szCs w:val="24"/>
        </w:rPr>
        <w:t xml:space="preserve"> – </w:t>
      </w:r>
      <w:r w:rsidR="00BD20D1" w:rsidRPr="00BD20D1">
        <w:rPr>
          <w:rFonts w:asciiTheme="minorHAnsi" w:hAnsiTheme="minorHAnsi" w:cstheme="minorHAnsi"/>
          <w:b/>
          <w:bCs/>
          <w:sz w:val="24"/>
          <w:szCs w:val="24"/>
        </w:rPr>
        <w:t>Collection and Use of Information</w:t>
      </w:r>
    </w:p>
    <w:p w14:paraId="2637B6BB" w14:textId="6CCA428C" w:rsidR="001D61BF" w:rsidRDefault="001D61BF" w:rsidP="00BD20D1">
      <w:pPr>
        <w:pStyle w:val="ListParagraph"/>
        <w:numPr>
          <w:ilvl w:val="0"/>
          <w:numId w:val="4"/>
        </w:numPr>
        <w:spacing w:after="120"/>
        <w:contextualSpacing w:val="0"/>
      </w:pPr>
      <w:r>
        <w:t xml:space="preserve">Identify </w:t>
      </w:r>
      <w:r w:rsidR="00C73668">
        <w:t xml:space="preserve">legal </w:t>
      </w:r>
      <w:r>
        <w:t>authorit</w:t>
      </w:r>
      <w:r w:rsidR="00C73668">
        <w:t>ies</w:t>
      </w:r>
      <w:r>
        <w:t xml:space="preserve"> for collection and use of information; for each area identify any prerequisites, conditions, or limitations:</w:t>
      </w:r>
    </w:p>
    <w:p w14:paraId="4269E7BE" w14:textId="5B093039" w:rsidR="001D61BF" w:rsidRDefault="001D61BF" w:rsidP="00BD20D1">
      <w:pPr>
        <w:pStyle w:val="ListParagraph"/>
        <w:numPr>
          <w:ilvl w:val="0"/>
          <w:numId w:val="5"/>
        </w:numPr>
        <w:spacing w:after="120"/>
        <w:contextualSpacing w:val="0"/>
      </w:pPr>
      <w:r>
        <w:t>General authority</w:t>
      </w:r>
    </w:p>
    <w:p w14:paraId="73EC4C9F" w14:textId="319C6E13" w:rsidR="001D61BF" w:rsidRDefault="001D61BF" w:rsidP="00BD20D1">
      <w:pPr>
        <w:pStyle w:val="ListParagraph"/>
        <w:numPr>
          <w:ilvl w:val="0"/>
          <w:numId w:val="5"/>
        </w:numPr>
        <w:spacing w:after="120"/>
        <w:contextualSpacing w:val="0"/>
      </w:pPr>
      <w:r>
        <w:t>Disease specific</w:t>
      </w:r>
    </w:p>
    <w:p w14:paraId="4B445F7B" w14:textId="4703B630" w:rsidR="001D61BF" w:rsidRDefault="001D61BF" w:rsidP="00BD20D1">
      <w:pPr>
        <w:pStyle w:val="ListParagraph"/>
        <w:numPr>
          <w:ilvl w:val="0"/>
          <w:numId w:val="5"/>
        </w:numPr>
        <w:spacing w:after="120"/>
        <w:contextualSpacing w:val="0"/>
      </w:pPr>
      <w:r>
        <w:t>Other conditions (e.g., poisonings, radiologic events, suspected acts of bioterrorism)</w:t>
      </w:r>
    </w:p>
    <w:p w14:paraId="190FC4EE" w14:textId="33A581D6" w:rsidR="001D61BF" w:rsidRDefault="001D61BF" w:rsidP="00BD20D1">
      <w:pPr>
        <w:pStyle w:val="ListParagraph"/>
        <w:numPr>
          <w:ilvl w:val="0"/>
          <w:numId w:val="5"/>
        </w:numPr>
        <w:spacing w:after="120"/>
        <w:contextualSpacing w:val="0"/>
      </w:pPr>
      <w:r>
        <w:t>Catch-all (e.g., unusual occurrence of a disease, infection, or condition)</w:t>
      </w:r>
    </w:p>
    <w:p w14:paraId="0D02B0BC" w14:textId="222C864D" w:rsidR="001D61BF" w:rsidRDefault="001D61BF" w:rsidP="00BD20D1">
      <w:pPr>
        <w:pStyle w:val="ListParagraph"/>
        <w:numPr>
          <w:ilvl w:val="0"/>
          <w:numId w:val="5"/>
        </w:numPr>
        <w:spacing w:after="120"/>
        <w:contextualSpacing w:val="0"/>
      </w:pPr>
      <w:r>
        <w:t>Syndromic surveillance</w:t>
      </w:r>
    </w:p>
    <w:p w14:paraId="3B42E0B5" w14:textId="3E38BA45" w:rsidR="001D61BF" w:rsidRDefault="001D61BF" w:rsidP="00BD20D1">
      <w:pPr>
        <w:pStyle w:val="ListParagraph"/>
        <w:numPr>
          <w:ilvl w:val="0"/>
          <w:numId w:val="5"/>
        </w:numPr>
        <w:spacing w:after="120"/>
        <w:contextualSpacing w:val="0"/>
      </w:pPr>
      <w:r>
        <w:t>Public health workforce</w:t>
      </w:r>
    </w:p>
    <w:p w14:paraId="0FB35361" w14:textId="675E3B84" w:rsidR="001D61BF" w:rsidRDefault="001D61BF" w:rsidP="00BD20D1">
      <w:pPr>
        <w:pStyle w:val="ListParagraph"/>
        <w:numPr>
          <w:ilvl w:val="0"/>
          <w:numId w:val="5"/>
        </w:numPr>
      </w:pPr>
      <w:r>
        <w:t>Other</w:t>
      </w:r>
    </w:p>
    <w:p w14:paraId="3A64A044" w14:textId="77777777" w:rsidR="00BD20D1" w:rsidRDefault="00BD20D1" w:rsidP="001D61BF"/>
    <w:p w14:paraId="6D92589F" w14:textId="1B8DC70C" w:rsidR="001D61BF" w:rsidRDefault="001D61BF" w:rsidP="00BD20D1">
      <w:pPr>
        <w:pStyle w:val="ListParagraph"/>
        <w:numPr>
          <w:ilvl w:val="0"/>
          <w:numId w:val="4"/>
        </w:numPr>
      </w:pPr>
      <w:r>
        <w:t>Identify authority and procedures to conduct investigations and collect evidence; identify any prerequisites, conditions, or limitations.</w:t>
      </w:r>
    </w:p>
    <w:p w14:paraId="225EC84B" w14:textId="41651364" w:rsidR="001D61BF" w:rsidRDefault="001D61BF" w:rsidP="001D61BF"/>
    <w:p w14:paraId="5DA5B021" w14:textId="77777777" w:rsidR="00BD20D1" w:rsidRDefault="00BD20D1" w:rsidP="001D61BF"/>
    <w:p w14:paraId="02F82E23" w14:textId="55A6062E" w:rsidR="00CF4724" w:rsidRPr="00BD20D1" w:rsidRDefault="00CF4724" w:rsidP="00CF4724">
      <w:pPr>
        <w:spacing w:after="120"/>
        <w:rPr>
          <w:rFonts w:asciiTheme="minorHAnsi" w:hAnsiTheme="minorHAnsi" w:cstheme="minorHAnsi"/>
          <w:b/>
          <w:bCs/>
          <w:sz w:val="24"/>
          <w:szCs w:val="24"/>
        </w:rPr>
      </w:pPr>
      <w:r w:rsidRPr="00E50B89">
        <w:rPr>
          <w:rFonts w:asciiTheme="minorHAnsi" w:eastAsiaTheme="minorHAnsi" w:hAnsiTheme="minorHAnsi" w:cstheme="minorBidi"/>
          <w:b/>
          <w:sz w:val="24"/>
          <w:szCs w:val="24"/>
        </w:rPr>
        <w:t>Checklist</w:t>
      </w:r>
      <w:r w:rsidRPr="00E50B89">
        <w:rPr>
          <w:rFonts w:asciiTheme="minorHAnsi" w:eastAsia="Times New Roman" w:hAnsiTheme="minorHAnsi" w:cs="Arial"/>
          <w:b/>
          <w:color w:val="3C3030"/>
          <w:sz w:val="24"/>
          <w:szCs w:val="24"/>
        </w:rPr>
        <w:t xml:space="preserve"> – </w:t>
      </w:r>
      <w:r>
        <w:rPr>
          <w:rFonts w:asciiTheme="minorHAnsi" w:hAnsiTheme="minorHAnsi" w:cstheme="minorHAnsi"/>
          <w:b/>
          <w:bCs/>
          <w:sz w:val="24"/>
          <w:szCs w:val="24"/>
        </w:rPr>
        <w:t>Sharing</w:t>
      </w:r>
      <w:r w:rsidRPr="00BD20D1">
        <w:rPr>
          <w:rFonts w:asciiTheme="minorHAnsi" w:hAnsiTheme="minorHAnsi" w:cstheme="minorHAnsi"/>
          <w:b/>
          <w:bCs/>
          <w:sz w:val="24"/>
          <w:szCs w:val="24"/>
        </w:rPr>
        <w:t xml:space="preserve"> Information</w:t>
      </w:r>
    </w:p>
    <w:p w14:paraId="33AC87E8" w14:textId="033B9FD9" w:rsidR="001D61BF" w:rsidRDefault="001D61BF" w:rsidP="00A72800">
      <w:pPr>
        <w:pStyle w:val="ListParagraph"/>
        <w:numPr>
          <w:ilvl w:val="0"/>
          <w:numId w:val="4"/>
        </w:numPr>
        <w:spacing w:after="120"/>
        <w:contextualSpacing w:val="0"/>
      </w:pPr>
      <w:r>
        <w:t xml:space="preserve">Identify </w:t>
      </w:r>
      <w:r w:rsidR="009C2D1C">
        <w:t xml:space="preserve">legal </w:t>
      </w:r>
      <w:r>
        <w:t>authorit</w:t>
      </w:r>
      <w:r w:rsidR="009C2D1C">
        <w:t>ies</w:t>
      </w:r>
      <w:r>
        <w:t xml:space="preserve"> that allow, require, or limit sharing of information by public health agencies</w:t>
      </w:r>
      <w:r w:rsidR="009C2D1C">
        <w:t>:</w:t>
      </w:r>
    </w:p>
    <w:p w14:paraId="7CE6A944" w14:textId="5EB88681" w:rsidR="001D61BF" w:rsidRDefault="001D61BF" w:rsidP="00A72800">
      <w:pPr>
        <w:pStyle w:val="ListParagraph"/>
        <w:numPr>
          <w:ilvl w:val="0"/>
          <w:numId w:val="6"/>
        </w:numPr>
        <w:spacing w:after="120"/>
        <w:contextualSpacing w:val="0"/>
      </w:pPr>
      <w:r>
        <w:t>General authority</w:t>
      </w:r>
    </w:p>
    <w:p w14:paraId="37F89BAD" w14:textId="5161ACB7" w:rsidR="001D61BF" w:rsidRDefault="001D61BF" w:rsidP="00A72800">
      <w:pPr>
        <w:pStyle w:val="ListParagraph"/>
        <w:numPr>
          <w:ilvl w:val="0"/>
          <w:numId w:val="6"/>
        </w:numPr>
        <w:spacing w:after="120"/>
        <w:contextualSpacing w:val="0"/>
      </w:pPr>
      <w:r>
        <w:t>Data practices laws</w:t>
      </w:r>
    </w:p>
    <w:p w14:paraId="57790CFE" w14:textId="4B0F3B56" w:rsidR="001D61BF" w:rsidRDefault="001D61BF" w:rsidP="00A72800">
      <w:pPr>
        <w:pStyle w:val="ListParagraph"/>
        <w:numPr>
          <w:ilvl w:val="0"/>
          <w:numId w:val="6"/>
        </w:numPr>
        <w:spacing w:after="120"/>
        <w:contextualSpacing w:val="0"/>
      </w:pPr>
      <w:r>
        <w:t>Health information privacy laws</w:t>
      </w:r>
    </w:p>
    <w:p w14:paraId="59F4619C" w14:textId="79A56028" w:rsidR="001D61BF" w:rsidRDefault="001D61BF" w:rsidP="00A72800">
      <w:pPr>
        <w:pStyle w:val="ListParagraph"/>
        <w:numPr>
          <w:ilvl w:val="0"/>
          <w:numId w:val="6"/>
        </w:numPr>
        <w:spacing w:after="120"/>
        <w:contextualSpacing w:val="0"/>
      </w:pPr>
      <w:r>
        <w:t>Right to privacy statutory or common law</w:t>
      </w:r>
    </w:p>
    <w:p w14:paraId="0F5188BF" w14:textId="7DFFDE17" w:rsidR="001D61BF" w:rsidRDefault="001D61BF" w:rsidP="00A72800">
      <w:pPr>
        <w:pStyle w:val="ListParagraph"/>
        <w:numPr>
          <w:ilvl w:val="0"/>
          <w:numId w:val="6"/>
        </w:numPr>
        <w:spacing w:after="120"/>
        <w:contextualSpacing w:val="0"/>
      </w:pPr>
      <w:r>
        <w:t>With other public health agencies (federal, state, local)</w:t>
      </w:r>
    </w:p>
    <w:p w14:paraId="45F7D084" w14:textId="1D546A69" w:rsidR="001D61BF" w:rsidRDefault="001D61BF" w:rsidP="00A72800">
      <w:pPr>
        <w:pStyle w:val="ListParagraph"/>
        <w:numPr>
          <w:ilvl w:val="0"/>
          <w:numId w:val="6"/>
        </w:numPr>
        <w:spacing w:after="120"/>
        <w:contextualSpacing w:val="0"/>
      </w:pPr>
      <w:r>
        <w:t>With law enforcement</w:t>
      </w:r>
      <w:r w:rsidR="009C2D1C">
        <w:t>*</w:t>
      </w:r>
    </w:p>
    <w:p w14:paraId="4F073C95" w14:textId="1D902605" w:rsidR="001D61BF" w:rsidRDefault="001D61BF" w:rsidP="00A72800">
      <w:pPr>
        <w:pStyle w:val="ListParagraph"/>
        <w:numPr>
          <w:ilvl w:val="0"/>
          <w:numId w:val="6"/>
        </w:numPr>
        <w:spacing w:after="120"/>
        <w:contextualSpacing w:val="0"/>
      </w:pPr>
      <w:r>
        <w:t>With public</w:t>
      </w:r>
    </w:p>
    <w:p w14:paraId="63ABF7CB" w14:textId="6E2B3F2B" w:rsidR="001D61BF" w:rsidRDefault="001D61BF" w:rsidP="009C2D1C">
      <w:pPr>
        <w:pStyle w:val="ListParagraph"/>
        <w:numPr>
          <w:ilvl w:val="0"/>
          <w:numId w:val="6"/>
        </w:numPr>
      </w:pPr>
      <w:r>
        <w:t>Other</w:t>
      </w:r>
    </w:p>
    <w:p w14:paraId="301292CF" w14:textId="77777777" w:rsidR="009C2D1C" w:rsidRDefault="009C2D1C" w:rsidP="001D61BF"/>
    <w:p w14:paraId="574E1484" w14:textId="030C56E0" w:rsidR="001D61BF" w:rsidRDefault="001D61BF" w:rsidP="009C2D1C">
      <w:pPr>
        <w:pStyle w:val="ListParagraph"/>
        <w:numPr>
          <w:ilvl w:val="0"/>
          <w:numId w:val="4"/>
        </w:numPr>
      </w:pPr>
      <w:r>
        <w:t xml:space="preserve">If </w:t>
      </w:r>
      <w:r w:rsidR="00A72800">
        <w:t>STLT</w:t>
      </w:r>
      <w:r>
        <w:t xml:space="preserve"> law does not sufficiently allow information to be shared when necessary to protect the public, identify options to address rare but compelling circumstances where disclosure is indicated.</w:t>
      </w:r>
    </w:p>
    <w:p w14:paraId="6975E9C3" w14:textId="0C234DEF" w:rsidR="001D61BF" w:rsidRDefault="001D61BF" w:rsidP="001D61BF"/>
    <w:p w14:paraId="3A53BF79" w14:textId="046EC068" w:rsidR="009C2D1C" w:rsidRPr="005E3334" w:rsidRDefault="00506769" w:rsidP="00DE004F">
      <w:pPr>
        <w:rPr>
          <w:i/>
          <w:iCs/>
        </w:rPr>
      </w:pPr>
      <w:r w:rsidRPr="005E3334">
        <w:rPr>
          <w:i/>
          <w:iCs/>
        </w:rPr>
        <w:t xml:space="preserve">*Also see the Practice Guide: </w:t>
      </w:r>
      <w:r w:rsidR="009C2D1C" w:rsidRPr="005E3334">
        <w:rPr>
          <w:i/>
          <w:iCs/>
        </w:rPr>
        <w:t xml:space="preserve">Sharing Information between Public Health and Law Enforcement </w:t>
      </w:r>
      <w:r w:rsidRPr="005E3334">
        <w:rPr>
          <w:i/>
          <w:iCs/>
        </w:rPr>
        <w:t>document in this series.</w:t>
      </w:r>
    </w:p>
    <w:p w14:paraId="4171804C" w14:textId="77777777" w:rsidR="009C2D1C" w:rsidRDefault="009C2D1C" w:rsidP="001D61BF"/>
    <w:p w14:paraId="5F7CB60B" w14:textId="5CD44ACA" w:rsidR="009C2D1C" w:rsidRDefault="009C2D1C" w:rsidP="001D61BF"/>
    <w:p w14:paraId="47F6020B" w14:textId="77777777" w:rsidR="009C7E1E" w:rsidRPr="009C7E1E" w:rsidRDefault="009362A8" w:rsidP="009C7E1E">
      <w:pPr>
        <w:spacing w:after="120"/>
        <w:rPr>
          <w:rFonts w:asciiTheme="minorHAnsi" w:hAnsiTheme="minorHAnsi" w:cstheme="minorHAnsi"/>
          <w:b/>
          <w:bCs/>
          <w:sz w:val="24"/>
          <w:szCs w:val="24"/>
        </w:rPr>
      </w:pPr>
      <w:r w:rsidRPr="00E50B89">
        <w:rPr>
          <w:rFonts w:asciiTheme="minorHAnsi" w:eastAsiaTheme="minorHAnsi" w:hAnsiTheme="minorHAnsi" w:cstheme="minorBidi"/>
          <w:b/>
          <w:sz w:val="24"/>
          <w:szCs w:val="24"/>
        </w:rPr>
        <w:t>Checklist</w:t>
      </w:r>
      <w:r w:rsidRPr="00E50B89">
        <w:rPr>
          <w:rFonts w:asciiTheme="minorHAnsi" w:eastAsia="Times New Roman" w:hAnsiTheme="minorHAnsi" w:cs="Arial"/>
          <w:b/>
          <w:color w:val="3C3030"/>
          <w:sz w:val="24"/>
          <w:szCs w:val="24"/>
        </w:rPr>
        <w:t xml:space="preserve"> – </w:t>
      </w:r>
      <w:r w:rsidR="009C7E1E" w:rsidRPr="009C7E1E">
        <w:rPr>
          <w:rFonts w:asciiTheme="minorHAnsi" w:hAnsiTheme="minorHAnsi" w:cstheme="minorHAnsi"/>
          <w:b/>
          <w:bCs/>
          <w:sz w:val="24"/>
          <w:szCs w:val="24"/>
        </w:rPr>
        <w:t>Emergency Declarations</w:t>
      </w:r>
    </w:p>
    <w:p w14:paraId="6B3D4F37" w14:textId="77777777" w:rsidR="009C7E1E" w:rsidRDefault="001D61BF" w:rsidP="00963C3E">
      <w:pPr>
        <w:pStyle w:val="ListParagraph"/>
        <w:numPr>
          <w:ilvl w:val="0"/>
          <w:numId w:val="4"/>
        </w:numPr>
        <w:spacing w:after="120"/>
        <w:contextualSpacing w:val="0"/>
      </w:pPr>
      <w:r>
        <w:t xml:space="preserve">Identify the </w:t>
      </w:r>
      <w:r w:rsidR="009C7E1E">
        <w:t>jurisdiction</w:t>
      </w:r>
      <w:r>
        <w:t xml:space="preserve">'s statute(s) regarding emergency declarations and powers. </w:t>
      </w:r>
    </w:p>
    <w:p w14:paraId="6C15C477" w14:textId="0128C8B5" w:rsidR="001D61BF" w:rsidRDefault="001D61BF" w:rsidP="009C7E1E">
      <w:pPr>
        <w:pStyle w:val="ListParagraph"/>
        <w:numPr>
          <w:ilvl w:val="0"/>
          <w:numId w:val="4"/>
        </w:numPr>
      </w:pPr>
      <w:r>
        <w:t>Identify any provisions that apply to authority to share information or might be used to allow sharing as necessary to respond to an emergency</w:t>
      </w:r>
      <w:r w:rsidR="00963C3E">
        <w:t>.</w:t>
      </w:r>
    </w:p>
    <w:p w14:paraId="1A1EEB77" w14:textId="6BFA4335" w:rsidR="001D61BF" w:rsidRDefault="001D61BF" w:rsidP="001D61BF"/>
    <w:p w14:paraId="7AF12ED4" w14:textId="77777777" w:rsidR="00963C3E" w:rsidRDefault="00963C3E" w:rsidP="001D61BF"/>
    <w:p w14:paraId="2CCE585E" w14:textId="77777777" w:rsidR="00436B49" w:rsidRPr="00436B49" w:rsidRDefault="00436B49" w:rsidP="00436B49">
      <w:pPr>
        <w:spacing w:after="120"/>
        <w:rPr>
          <w:rFonts w:asciiTheme="minorHAnsi" w:hAnsiTheme="minorHAnsi" w:cstheme="minorHAnsi"/>
          <w:b/>
          <w:bCs/>
          <w:sz w:val="24"/>
          <w:szCs w:val="24"/>
        </w:rPr>
      </w:pPr>
      <w:r w:rsidRPr="00E50B89">
        <w:rPr>
          <w:rFonts w:asciiTheme="minorHAnsi" w:eastAsiaTheme="minorHAnsi" w:hAnsiTheme="minorHAnsi" w:cstheme="minorBidi"/>
          <w:b/>
          <w:sz w:val="24"/>
          <w:szCs w:val="24"/>
        </w:rPr>
        <w:t>Checklist</w:t>
      </w:r>
      <w:r w:rsidRPr="00E50B89">
        <w:rPr>
          <w:rFonts w:asciiTheme="minorHAnsi" w:eastAsia="Times New Roman" w:hAnsiTheme="minorHAnsi" w:cs="Arial"/>
          <w:b/>
          <w:color w:val="3C3030"/>
          <w:sz w:val="24"/>
          <w:szCs w:val="24"/>
        </w:rPr>
        <w:t xml:space="preserve"> – </w:t>
      </w:r>
      <w:r w:rsidRPr="00436B49">
        <w:rPr>
          <w:rFonts w:asciiTheme="minorHAnsi" w:hAnsiTheme="minorHAnsi" w:cstheme="minorHAnsi"/>
          <w:b/>
          <w:bCs/>
          <w:sz w:val="24"/>
          <w:szCs w:val="24"/>
        </w:rPr>
        <w:t>Protection of Information</w:t>
      </w:r>
    </w:p>
    <w:p w14:paraId="28F853A2" w14:textId="088DAEEF" w:rsidR="001D61BF" w:rsidRDefault="001D61BF" w:rsidP="00083C9D">
      <w:pPr>
        <w:pStyle w:val="ListParagraph"/>
        <w:numPr>
          <w:ilvl w:val="0"/>
          <w:numId w:val="7"/>
        </w:numPr>
        <w:spacing w:after="120"/>
        <w:contextualSpacing w:val="0"/>
      </w:pPr>
      <w:r>
        <w:t xml:space="preserve">Identify </w:t>
      </w:r>
      <w:r w:rsidR="00436B49">
        <w:t>legal</w:t>
      </w:r>
      <w:r>
        <w:t xml:space="preserve"> authorit</w:t>
      </w:r>
      <w:r w:rsidR="00436B49">
        <w:t>ies</w:t>
      </w:r>
      <w:r>
        <w:t xml:space="preserve"> for protecting information</w:t>
      </w:r>
      <w:r w:rsidR="00436B49">
        <w:t xml:space="preserve">. </w:t>
      </w:r>
      <w:r w:rsidR="006767BC">
        <w:t>F</w:t>
      </w:r>
      <w:r>
        <w:t>or each area identify any perquisites, conditions, or limitations:</w:t>
      </w:r>
      <w:r>
        <w:tab/>
      </w:r>
    </w:p>
    <w:p w14:paraId="59AD3B8D" w14:textId="092ADF66" w:rsidR="001D61BF" w:rsidRDefault="001D61BF" w:rsidP="00083C9D">
      <w:pPr>
        <w:pStyle w:val="ListParagraph"/>
        <w:numPr>
          <w:ilvl w:val="0"/>
          <w:numId w:val="8"/>
        </w:numPr>
        <w:spacing w:after="120"/>
        <w:contextualSpacing w:val="0"/>
      </w:pPr>
      <w:r>
        <w:t>Freedom of information laws</w:t>
      </w:r>
    </w:p>
    <w:p w14:paraId="65D277EC" w14:textId="3B874D6A" w:rsidR="001D61BF" w:rsidRDefault="001D61BF" w:rsidP="00083C9D">
      <w:pPr>
        <w:pStyle w:val="ListParagraph"/>
        <w:numPr>
          <w:ilvl w:val="1"/>
          <w:numId w:val="8"/>
        </w:numPr>
        <w:spacing w:after="120"/>
        <w:contextualSpacing w:val="0"/>
      </w:pPr>
      <w:r>
        <w:t xml:space="preserve">Information excluded from </w:t>
      </w:r>
      <w:r w:rsidR="00083C9D">
        <w:t xml:space="preserve">the </w:t>
      </w:r>
      <w:r>
        <w:t>definition of public records</w:t>
      </w:r>
    </w:p>
    <w:p w14:paraId="564F818F" w14:textId="33F1C627" w:rsidR="001D61BF" w:rsidRDefault="001D61BF" w:rsidP="00083C9D">
      <w:pPr>
        <w:pStyle w:val="ListParagraph"/>
        <w:numPr>
          <w:ilvl w:val="1"/>
          <w:numId w:val="8"/>
        </w:numPr>
        <w:spacing w:after="120"/>
        <w:contextualSpacing w:val="0"/>
      </w:pPr>
      <w:r>
        <w:t>Permitted exceptions to disclosure</w:t>
      </w:r>
      <w:r w:rsidR="00532398">
        <w:t>:</w:t>
      </w:r>
    </w:p>
    <w:p w14:paraId="432A2936" w14:textId="369FDCEC" w:rsidR="001D61BF" w:rsidRDefault="001D61BF" w:rsidP="00083C9D">
      <w:pPr>
        <w:pStyle w:val="ListParagraph"/>
        <w:numPr>
          <w:ilvl w:val="2"/>
          <w:numId w:val="8"/>
        </w:numPr>
        <w:spacing w:after="120"/>
        <w:contextualSpacing w:val="0"/>
      </w:pPr>
      <w:r>
        <w:t>Information not subject to disclosure under another law</w:t>
      </w:r>
    </w:p>
    <w:p w14:paraId="437BC36D" w14:textId="2CF4FBCA" w:rsidR="001D61BF" w:rsidRDefault="001D61BF" w:rsidP="00083C9D">
      <w:pPr>
        <w:pStyle w:val="ListParagraph"/>
        <w:numPr>
          <w:ilvl w:val="2"/>
          <w:numId w:val="8"/>
        </w:numPr>
        <w:spacing w:after="120"/>
        <w:contextualSpacing w:val="0"/>
      </w:pPr>
      <w:r>
        <w:t>Personal privacy</w:t>
      </w:r>
    </w:p>
    <w:p w14:paraId="7E04F905" w14:textId="4AF6E0F0" w:rsidR="001D61BF" w:rsidRDefault="001D61BF" w:rsidP="00083C9D">
      <w:pPr>
        <w:pStyle w:val="ListParagraph"/>
        <w:numPr>
          <w:ilvl w:val="2"/>
          <w:numId w:val="8"/>
        </w:numPr>
        <w:spacing w:after="120"/>
        <w:contextualSpacing w:val="0"/>
      </w:pPr>
      <w:r>
        <w:t>Investigatory records</w:t>
      </w:r>
    </w:p>
    <w:p w14:paraId="1FD23F83" w14:textId="781181B7" w:rsidR="001D61BF" w:rsidRDefault="001D61BF" w:rsidP="00083C9D">
      <w:pPr>
        <w:pStyle w:val="ListParagraph"/>
        <w:numPr>
          <w:ilvl w:val="2"/>
          <w:numId w:val="8"/>
        </w:numPr>
        <w:spacing w:after="120"/>
        <w:contextualSpacing w:val="0"/>
      </w:pPr>
      <w:r>
        <w:t>Health information or medical records</w:t>
      </w:r>
    </w:p>
    <w:p w14:paraId="5FDB4075" w14:textId="68022587" w:rsidR="001D61BF" w:rsidRDefault="001D61BF" w:rsidP="00083C9D">
      <w:pPr>
        <w:pStyle w:val="ListParagraph"/>
        <w:numPr>
          <w:ilvl w:val="2"/>
          <w:numId w:val="8"/>
        </w:numPr>
        <w:spacing w:after="120"/>
        <w:contextualSpacing w:val="0"/>
      </w:pPr>
      <w:r>
        <w:t>Business information</w:t>
      </w:r>
    </w:p>
    <w:p w14:paraId="7944A75C" w14:textId="6A42E5BA" w:rsidR="001D61BF" w:rsidRDefault="001D61BF" w:rsidP="00083C9D">
      <w:pPr>
        <w:pStyle w:val="ListParagraph"/>
        <w:numPr>
          <w:ilvl w:val="2"/>
          <w:numId w:val="8"/>
        </w:numPr>
        <w:spacing w:after="120"/>
        <w:contextualSpacing w:val="0"/>
      </w:pPr>
      <w:r>
        <w:lastRenderedPageBreak/>
        <w:t>National</w:t>
      </w:r>
      <w:r w:rsidR="0058722E">
        <w:t xml:space="preserve">, </w:t>
      </w:r>
      <w:r>
        <w:t>state</w:t>
      </w:r>
      <w:r w:rsidR="0058722E">
        <w:t>, tribal or territorial</w:t>
      </w:r>
      <w:r>
        <w:t xml:space="preserve"> security</w:t>
      </w:r>
    </w:p>
    <w:p w14:paraId="59D572F9" w14:textId="350800DF" w:rsidR="001D61BF" w:rsidRDefault="001D61BF" w:rsidP="00083C9D">
      <w:pPr>
        <w:pStyle w:val="ListParagraph"/>
        <w:numPr>
          <w:ilvl w:val="2"/>
          <w:numId w:val="8"/>
        </w:numPr>
        <w:spacing w:after="120"/>
        <w:contextualSpacing w:val="0"/>
      </w:pPr>
      <w:r>
        <w:t>Other</w:t>
      </w:r>
    </w:p>
    <w:p w14:paraId="2985D84C" w14:textId="64539141" w:rsidR="001D61BF" w:rsidRDefault="001D61BF" w:rsidP="00083C9D">
      <w:pPr>
        <w:pStyle w:val="ListParagraph"/>
        <w:numPr>
          <w:ilvl w:val="0"/>
          <w:numId w:val="8"/>
        </w:numPr>
      </w:pPr>
      <w:r>
        <w:t>Other laws</w:t>
      </w:r>
    </w:p>
    <w:p w14:paraId="200D0828" w14:textId="2EFEB369" w:rsidR="001D61BF" w:rsidRDefault="001D61BF" w:rsidP="001D61BF"/>
    <w:p w14:paraId="0EFDBF41" w14:textId="74C68A8F" w:rsidR="00DA32B6" w:rsidRDefault="00DA32B6" w:rsidP="001D61BF"/>
    <w:p w14:paraId="7FBE8FC6" w14:textId="77777777" w:rsidR="00AA4368" w:rsidRDefault="00AA4368" w:rsidP="001D61BF"/>
    <w:p w14:paraId="177BFFF1" w14:textId="363AFC2E" w:rsidR="00DA32B6" w:rsidRPr="00FB252B" w:rsidRDefault="00DA32B6" w:rsidP="00BA45C9">
      <w:pPr>
        <w:spacing w:after="120"/>
        <w:rPr>
          <w:b/>
          <w:bCs/>
          <w:sz w:val="24"/>
          <w:szCs w:val="24"/>
        </w:rPr>
      </w:pPr>
      <w:r w:rsidRPr="00FB252B">
        <w:rPr>
          <w:b/>
          <w:bCs/>
          <w:sz w:val="24"/>
          <w:szCs w:val="24"/>
        </w:rPr>
        <w:t>Practice Notes</w:t>
      </w:r>
      <w:r w:rsidRPr="00FB252B">
        <w:rPr>
          <w:rFonts w:asciiTheme="minorHAnsi" w:eastAsia="Times New Roman" w:hAnsiTheme="minorHAnsi" w:cs="Arial"/>
          <w:b/>
          <w:color w:val="3C3030"/>
          <w:sz w:val="24"/>
          <w:szCs w:val="24"/>
        </w:rPr>
        <w:t xml:space="preserve"> – </w:t>
      </w:r>
      <w:r w:rsidR="00BA45C9">
        <w:rPr>
          <w:rFonts w:asciiTheme="minorHAnsi" w:eastAsia="Times New Roman" w:hAnsiTheme="minorHAnsi" w:cs="Arial"/>
          <w:b/>
          <w:color w:val="3C3030"/>
          <w:sz w:val="24"/>
          <w:szCs w:val="24"/>
        </w:rPr>
        <w:t>HIPAA Privacy Rule</w:t>
      </w:r>
      <w:r w:rsidRPr="00FB252B">
        <w:rPr>
          <w:rFonts w:asciiTheme="minorHAnsi" w:eastAsia="Times New Roman" w:hAnsiTheme="minorHAnsi" w:cs="Arial"/>
          <w:b/>
          <w:color w:val="3C3030"/>
          <w:sz w:val="24"/>
          <w:szCs w:val="24"/>
        </w:rPr>
        <w:t xml:space="preserve"> </w:t>
      </w:r>
    </w:p>
    <w:p w14:paraId="68349BAC" w14:textId="5C497973" w:rsidR="00BA45C9" w:rsidRPr="00BA45C9" w:rsidRDefault="00BA45C9" w:rsidP="00BA45C9">
      <w:pPr>
        <w:numPr>
          <w:ilvl w:val="0"/>
          <w:numId w:val="9"/>
        </w:numPr>
        <w:tabs>
          <w:tab w:val="num" w:pos="360"/>
        </w:tabs>
        <w:spacing w:after="120"/>
        <w:ind w:left="360"/>
        <w:textAlignment w:val="baseline"/>
        <w:rPr>
          <w:rFonts w:eastAsia="Times New Roman" w:cs="Calibri"/>
          <w:color w:val="000000" w:themeColor="text1"/>
          <w:szCs w:val="20"/>
        </w:rPr>
      </w:pPr>
      <w:r w:rsidRPr="00BA45C9">
        <w:rPr>
          <w:rFonts w:eastAsia="Times New Roman" w:cs="Calibri"/>
          <w:color w:val="000000" w:themeColor="text1"/>
          <w:szCs w:val="20"/>
        </w:rPr>
        <w:t xml:space="preserve">Identify the health data needed and if it involves </w:t>
      </w:r>
      <w:r>
        <w:rPr>
          <w:rFonts w:eastAsia="Times New Roman" w:cs="Calibri"/>
          <w:color w:val="000000" w:themeColor="text1"/>
          <w:szCs w:val="20"/>
        </w:rPr>
        <w:t>protected health information.</w:t>
      </w:r>
    </w:p>
    <w:p w14:paraId="45450294" w14:textId="384BF9D6" w:rsidR="00BA45C9" w:rsidRPr="00BA45C9" w:rsidRDefault="00BA45C9" w:rsidP="00BA45C9">
      <w:pPr>
        <w:numPr>
          <w:ilvl w:val="0"/>
          <w:numId w:val="9"/>
        </w:numPr>
        <w:tabs>
          <w:tab w:val="num" w:pos="360"/>
        </w:tabs>
        <w:spacing w:after="120"/>
        <w:ind w:left="360"/>
        <w:textAlignment w:val="baseline"/>
        <w:rPr>
          <w:rFonts w:eastAsia="Times New Roman" w:cs="Calibri"/>
          <w:color w:val="000000" w:themeColor="text1"/>
          <w:szCs w:val="20"/>
        </w:rPr>
      </w:pPr>
      <w:r w:rsidRPr="00BA45C9">
        <w:rPr>
          <w:rFonts w:eastAsia="Times New Roman" w:cs="Calibri"/>
          <w:color w:val="000000" w:themeColor="text1"/>
          <w:szCs w:val="20"/>
        </w:rPr>
        <w:t>Identify sources for the data</w:t>
      </w:r>
      <w:r w:rsidR="00705623">
        <w:rPr>
          <w:rFonts w:eastAsia="Times New Roman" w:cs="Calibri"/>
          <w:color w:val="000000" w:themeColor="text1"/>
          <w:szCs w:val="20"/>
        </w:rPr>
        <w:t>.</w:t>
      </w:r>
    </w:p>
    <w:p w14:paraId="0380D397" w14:textId="55E01D94" w:rsidR="00BA45C9" w:rsidRPr="00BA45C9" w:rsidRDefault="00BA45C9" w:rsidP="00BA45C9">
      <w:pPr>
        <w:numPr>
          <w:ilvl w:val="0"/>
          <w:numId w:val="9"/>
        </w:numPr>
        <w:tabs>
          <w:tab w:val="num" w:pos="360"/>
        </w:tabs>
        <w:spacing w:after="120"/>
        <w:ind w:left="360"/>
        <w:textAlignment w:val="baseline"/>
        <w:rPr>
          <w:rFonts w:eastAsia="Times New Roman" w:cs="Calibri"/>
          <w:color w:val="000000" w:themeColor="text1"/>
          <w:szCs w:val="20"/>
        </w:rPr>
      </w:pPr>
      <w:r w:rsidRPr="00BA45C9">
        <w:rPr>
          <w:rFonts w:eastAsia="Times New Roman" w:cs="Calibri"/>
          <w:color w:val="000000" w:themeColor="text1"/>
          <w:szCs w:val="20"/>
        </w:rPr>
        <w:t xml:space="preserve">Determine if the data is covered by HIPAA or other federal and </w:t>
      </w:r>
      <w:r w:rsidR="00C17BF2">
        <w:rPr>
          <w:rFonts w:eastAsia="Times New Roman" w:cs="Calibri"/>
          <w:color w:val="000000" w:themeColor="text1"/>
          <w:szCs w:val="20"/>
        </w:rPr>
        <w:t>STLT</w:t>
      </w:r>
      <w:r w:rsidRPr="00BA45C9">
        <w:rPr>
          <w:rFonts w:eastAsia="Times New Roman" w:cs="Calibri"/>
          <w:color w:val="000000" w:themeColor="text1"/>
          <w:szCs w:val="20"/>
        </w:rPr>
        <w:t xml:space="preserve"> privacy laws.</w:t>
      </w:r>
    </w:p>
    <w:p w14:paraId="004209F2" w14:textId="11DBAA4F" w:rsidR="00BA45C9" w:rsidRPr="00BA45C9" w:rsidRDefault="00BA45C9" w:rsidP="00BA45C9">
      <w:pPr>
        <w:numPr>
          <w:ilvl w:val="0"/>
          <w:numId w:val="9"/>
        </w:numPr>
        <w:tabs>
          <w:tab w:val="num" w:pos="360"/>
        </w:tabs>
        <w:spacing w:after="120"/>
        <w:ind w:left="360"/>
        <w:textAlignment w:val="baseline"/>
        <w:rPr>
          <w:rFonts w:eastAsia="Times New Roman" w:cs="Calibri"/>
          <w:color w:val="000000" w:themeColor="text1"/>
          <w:szCs w:val="20"/>
        </w:rPr>
      </w:pPr>
      <w:r w:rsidRPr="00BA45C9">
        <w:rPr>
          <w:rFonts w:eastAsia="Times New Roman" w:cs="Calibri"/>
          <w:color w:val="000000" w:themeColor="text1"/>
          <w:szCs w:val="20"/>
        </w:rPr>
        <w:t>If HIPAA or other laws apply, determine if any exception applies.</w:t>
      </w:r>
    </w:p>
    <w:p w14:paraId="00844456" w14:textId="77777777" w:rsidR="00BA45C9" w:rsidRPr="00BA45C9" w:rsidRDefault="00BA45C9" w:rsidP="00827F1D">
      <w:pPr>
        <w:numPr>
          <w:ilvl w:val="1"/>
          <w:numId w:val="9"/>
        </w:numPr>
        <w:tabs>
          <w:tab w:val="clear" w:pos="1440"/>
          <w:tab w:val="num" w:pos="1080"/>
        </w:tabs>
        <w:spacing w:after="120"/>
        <w:ind w:hanging="720"/>
        <w:textAlignment w:val="baseline"/>
        <w:rPr>
          <w:rFonts w:eastAsia="Times New Roman" w:cs="Calibri"/>
          <w:color w:val="000000" w:themeColor="text1"/>
          <w:szCs w:val="20"/>
        </w:rPr>
      </w:pPr>
      <w:r w:rsidRPr="00BA45C9">
        <w:rPr>
          <w:rFonts w:eastAsia="Times New Roman" w:cs="Calibri"/>
          <w:color w:val="000000" w:themeColor="text1"/>
          <w:szCs w:val="20"/>
        </w:rPr>
        <w:t>If not, identify and obtain required consents, or use limited data sets or de-identified data.</w:t>
      </w:r>
    </w:p>
    <w:p w14:paraId="5D59472D" w14:textId="450C75D8" w:rsidR="005475AF" w:rsidRDefault="005475AF" w:rsidP="005475AF"/>
    <w:p w14:paraId="0A11B9E9" w14:textId="6515DC56" w:rsidR="005475AF" w:rsidRDefault="005475AF" w:rsidP="005475AF"/>
    <w:p w14:paraId="12B2AE08" w14:textId="77777777" w:rsidR="005475AF" w:rsidRDefault="005475AF" w:rsidP="005475AF"/>
    <w:p w14:paraId="2B8113B8" w14:textId="77777777" w:rsidR="005475AF" w:rsidRPr="00FB252B" w:rsidRDefault="005475AF" w:rsidP="005475AF">
      <w:pPr>
        <w:rPr>
          <w:b/>
          <w:bCs/>
          <w:sz w:val="24"/>
          <w:szCs w:val="24"/>
        </w:rPr>
      </w:pPr>
      <w:r w:rsidRPr="00FB252B">
        <w:rPr>
          <w:b/>
          <w:bCs/>
          <w:sz w:val="24"/>
          <w:szCs w:val="24"/>
        </w:rPr>
        <w:t>Examples and Templates</w:t>
      </w:r>
    </w:p>
    <w:p w14:paraId="11DE3D22" w14:textId="77777777" w:rsidR="005475AF" w:rsidRDefault="005475AF" w:rsidP="005475AF">
      <w:pPr>
        <w:pStyle w:val="ListParagraph"/>
        <w:numPr>
          <w:ilvl w:val="0"/>
          <w:numId w:val="3"/>
        </w:numPr>
      </w:pPr>
      <w:bookmarkStart w:id="1" w:name="_Hlk34999048"/>
      <w:r>
        <w:t>[insert here]</w:t>
      </w:r>
    </w:p>
    <w:bookmarkEnd w:id="1"/>
    <w:p w14:paraId="15DBF92D" w14:textId="77777777" w:rsidR="005475AF" w:rsidRPr="0036464D" w:rsidRDefault="005475AF" w:rsidP="005475AF">
      <w:pPr>
        <w:rPr>
          <w:rFonts w:asciiTheme="minorHAnsi" w:hAnsiTheme="minorHAnsi" w:cstheme="minorHAnsi"/>
        </w:rPr>
      </w:pPr>
    </w:p>
    <w:p w14:paraId="64AB3779" w14:textId="77777777" w:rsidR="00DA32B6" w:rsidRDefault="00DA32B6" w:rsidP="001D61BF"/>
    <w:sectPr w:rsidR="00DA32B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5D43FF" w14:textId="77777777" w:rsidR="00BA33B3" w:rsidRDefault="00BA33B3" w:rsidP="00E164F7">
      <w:r>
        <w:separator/>
      </w:r>
    </w:p>
  </w:endnote>
  <w:endnote w:type="continuationSeparator" w:id="0">
    <w:p w14:paraId="62A09FD5" w14:textId="77777777" w:rsidR="00BA33B3" w:rsidRDefault="00BA33B3" w:rsidP="00E16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36361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8954C2" w14:textId="76825B94" w:rsidR="00E164F7" w:rsidRDefault="00E164F7" w:rsidP="00E164F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C11ED9" w14:textId="77777777" w:rsidR="00BA33B3" w:rsidRDefault="00BA33B3" w:rsidP="00E164F7">
      <w:r>
        <w:separator/>
      </w:r>
    </w:p>
  </w:footnote>
  <w:footnote w:type="continuationSeparator" w:id="0">
    <w:p w14:paraId="73C16A28" w14:textId="77777777" w:rsidR="00BA33B3" w:rsidRDefault="00BA33B3" w:rsidP="00E164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FDCDB4" w14:textId="66DBE983" w:rsidR="00E164F7" w:rsidRPr="0074462E" w:rsidRDefault="00E164F7" w:rsidP="0074462E">
    <w:pPr>
      <w:pStyle w:val="Header"/>
      <w:jc w:val="center"/>
      <w:rPr>
        <w:b/>
        <w:bCs/>
      </w:rPr>
    </w:pPr>
    <w:r w:rsidRPr="0074462E">
      <w:rPr>
        <w:b/>
        <w:bCs/>
        <w:highlight w:val="yellow"/>
      </w:rPr>
      <w:t>DRAFT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85677"/>
    <w:multiLevelType w:val="hybridMultilevel"/>
    <w:tmpl w:val="D57C7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97864"/>
    <w:multiLevelType w:val="hybridMultilevel"/>
    <w:tmpl w:val="65C0F130"/>
    <w:lvl w:ilvl="0" w:tplc="7A963908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1F3306"/>
    <w:multiLevelType w:val="hybridMultilevel"/>
    <w:tmpl w:val="39189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5559E"/>
    <w:multiLevelType w:val="multilevel"/>
    <w:tmpl w:val="20E40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804E2B"/>
    <w:multiLevelType w:val="hybridMultilevel"/>
    <w:tmpl w:val="F508E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122CC"/>
    <w:multiLevelType w:val="hybridMultilevel"/>
    <w:tmpl w:val="6436E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A377EB"/>
    <w:multiLevelType w:val="hybridMultilevel"/>
    <w:tmpl w:val="7B0E6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603767"/>
    <w:multiLevelType w:val="hybridMultilevel"/>
    <w:tmpl w:val="69B82006"/>
    <w:lvl w:ilvl="0" w:tplc="7A963908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CAF1BD9"/>
    <w:multiLevelType w:val="hybridMultilevel"/>
    <w:tmpl w:val="14EA9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8"/>
  </w:num>
  <w:num w:numId="6">
    <w:abstractNumId w:val="2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1BF"/>
    <w:rsid w:val="00083C9D"/>
    <w:rsid w:val="00151278"/>
    <w:rsid w:val="001D61BF"/>
    <w:rsid w:val="002A7421"/>
    <w:rsid w:val="002E662C"/>
    <w:rsid w:val="004175A2"/>
    <w:rsid w:val="00436B49"/>
    <w:rsid w:val="00476446"/>
    <w:rsid w:val="00506769"/>
    <w:rsid w:val="00532398"/>
    <w:rsid w:val="005475AF"/>
    <w:rsid w:val="0058722E"/>
    <w:rsid w:val="005E3334"/>
    <w:rsid w:val="006767BC"/>
    <w:rsid w:val="00705623"/>
    <w:rsid w:val="0074462E"/>
    <w:rsid w:val="007D6CAD"/>
    <w:rsid w:val="00827F1D"/>
    <w:rsid w:val="00865882"/>
    <w:rsid w:val="0092349B"/>
    <w:rsid w:val="009362A8"/>
    <w:rsid w:val="00963C3E"/>
    <w:rsid w:val="009C2D1C"/>
    <w:rsid w:val="009C7E1E"/>
    <w:rsid w:val="00A72800"/>
    <w:rsid w:val="00AA4368"/>
    <w:rsid w:val="00B75B7F"/>
    <w:rsid w:val="00BA33B3"/>
    <w:rsid w:val="00BA45C9"/>
    <w:rsid w:val="00BB2B02"/>
    <w:rsid w:val="00BD20D1"/>
    <w:rsid w:val="00C007B4"/>
    <w:rsid w:val="00C17BF2"/>
    <w:rsid w:val="00C73668"/>
    <w:rsid w:val="00CF4724"/>
    <w:rsid w:val="00D766FB"/>
    <w:rsid w:val="00DA32B6"/>
    <w:rsid w:val="00DB5E24"/>
    <w:rsid w:val="00DE004F"/>
    <w:rsid w:val="00E1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1AD40"/>
  <w15:chartTrackingRefBased/>
  <w15:docId w15:val="{410AEEC2-3789-4FD6-A1E9-C624180E7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1B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15">
    <w:name w:val="norm 1.5"/>
    <w:basedOn w:val="Normal"/>
    <w:qFormat/>
    <w:rsid w:val="00C007B4"/>
    <w:pPr>
      <w:spacing w:line="360" w:lineRule="auto"/>
    </w:pPr>
    <w:rPr>
      <w:rFonts w:asciiTheme="minorHAnsi" w:eastAsiaTheme="minorHAnsi" w:hAnsiTheme="minorHAnsi" w:cstheme="minorBidi"/>
    </w:rPr>
  </w:style>
  <w:style w:type="paragraph" w:customStyle="1" w:styleId="15para">
    <w:name w:val="1.5 para"/>
    <w:basedOn w:val="Normal"/>
    <w:qFormat/>
    <w:rsid w:val="00D766FB"/>
    <w:pPr>
      <w:spacing w:line="360" w:lineRule="auto"/>
    </w:pPr>
    <w:rPr>
      <w:rFonts w:eastAsia="Times New Roman" w:cs="Calibri"/>
      <w:szCs w:val="20"/>
    </w:rPr>
  </w:style>
  <w:style w:type="paragraph" w:styleId="ListParagraph">
    <w:name w:val="List Paragraph"/>
    <w:basedOn w:val="Normal"/>
    <w:uiPriority w:val="34"/>
    <w:qFormat/>
    <w:rsid w:val="005475A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E164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64F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164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64F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552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Elliott</dc:creator>
  <cp:keywords/>
  <dc:description/>
  <cp:lastModifiedBy>Patricia Elliott</cp:lastModifiedBy>
  <cp:revision>34</cp:revision>
  <dcterms:created xsi:type="dcterms:W3CDTF">2020-03-10T23:45:00Z</dcterms:created>
  <dcterms:modified xsi:type="dcterms:W3CDTF">2020-03-14T00:18:00Z</dcterms:modified>
</cp:coreProperties>
</file>