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D3487" w14:textId="77777777" w:rsidR="00375DDA" w:rsidRDefault="00A5256E" w:rsidP="0072096E">
      <w:pPr>
        <w:spacing w:after="120" w:line="360" w:lineRule="auto"/>
        <w:jc w:val="center"/>
        <w:rPr>
          <w:rFonts w:ascii="Calibri" w:eastAsia="Times New Roman" w:hAnsi="Calibri" w:cs="Calibri"/>
          <w:b/>
          <w:bCs/>
          <w:spacing w:val="15"/>
          <w:kern w:val="36"/>
          <w:sz w:val="24"/>
          <w:szCs w:val="24"/>
        </w:rPr>
      </w:pPr>
      <w:r w:rsidRPr="00732EE0">
        <w:rPr>
          <w:rFonts w:ascii="Calibri" w:eastAsia="Times New Roman" w:hAnsi="Calibri" w:cs="Calibri"/>
          <w:b/>
          <w:bCs/>
          <w:spacing w:val="15"/>
          <w:kern w:val="36"/>
          <w:sz w:val="24"/>
          <w:szCs w:val="24"/>
        </w:rPr>
        <w:t>HEALTH INSURANCE PORTABILITY AND ACCOUNTABILITY ACT</w:t>
      </w:r>
    </w:p>
    <w:p w14:paraId="4FCE6BE6" w14:textId="6F451EDE" w:rsidR="00A5256E" w:rsidRPr="00732EE0" w:rsidRDefault="00A5256E" w:rsidP="0072096E">
      <w:pPr>
        <w:spacing w:after="120" w:line="360" w:lineRule="auto"/>
        <w:jc w:val="center"/>
        <w:rPr>
          <w:rFonts w:ascii="Calibri" w:eastAsia="Times New Roman" w:hAnsi="Calibri" w:cs="Calibri"/>
          <w:b/>
          <w:bCs/>
          <w:spacing w:val="15"/>
          <w:kern w:val="36"/>
          <w:sz w:val="24"/>
          <w:szCs w:val="24"/>
        </w:rPr>
      </w:pPr>
      <w:r w:rsidRPr="00732EE0">
        <w:rPr>
          <w:rFonts w:ascii="Calibri" w:eastAsia="Times New Roman" w:hAnsi="Calibri" w:cs="Calibri"/>
          <w:b/>
          <w:bCs/>
          <w:spacing w:val="15"/>
          <w:kern w:val="36"/>
          <w:sz w:val="24"/>
          <w:szCs w:val="24"/>
        </w:rPr>
        <w:t>PRIVACY RULE</w:t>
      </w:r>
    </w:p>
    <w:p w14:paraId="3D0E4706" w14:textId="77777777" w:rsidR="00A5256E" w:rsidRDefault="00A5256E" w:rsidP="0072096E">
      <w:pPr>
        <w:spacing w:line="360" w:lineRule="auto"/>
        <w:rPr>
          <w:rFonts w:ascii="Calibri" w:eastAsia="Times New Roman" w:hAnsi="Calibri" w:cs="Calibri"/>
          <w:b/>
          <w:bCs/>
          <w:sz w:val="24"/>
          <w:szCs w:val="24"/>
        </w:rPr>
      </w:pPr>
    </w:p>
    <w:p w14:paraId="7F1A0A86" w14:textId="77777777" w:rsidR="00C66A91" w:rsidRDefault="00A5256E" w:rsidP="00C66A91">
      <w:pPr>
        <w:spacing w:line="360" w:lineRule="auto"/>
        <w:rPr>
          <w:rFonts w:ascii="Calibri" w:eastAsia="Times New Roman" w:hAnsi="Calibri" w:cs="Calibri"/>
          <w:b/>
          <w:bCs/>
          <w:sz w:val="24"/>
          <w:szCs w:val="24"/>
        </w:rPr>
      </w:pPr>
      <w:r w:rsidRPr="00732EE0">
        <w:rPr>
          <w:rFonts w:ascii="Calibri" w:eastAsia="Times New Roman" w:hAnsi="Calibri" w:cs="Calibri"/>
          <w:b/>
          <w:bCs/>
          <w:sz w:val="24"/>
          <w:szCs w:val="24"/>
        </w:rPr>
        <w:t>Overview</w:t>
      </w:r>
    </w:p>
    <w:p w14:paraId="1E019BC6" w14:textId="729BD57E" w:rsidR="00C66A91" w:rsidRPr="00364893" w:rsidRDefault="0020452F" w:rsidP="00C66A91">
      <w:pPr>
        <w:spacing w:line="360" w:lineRule="auto"/>
        <w:rPr>
          <w:rFonts w:ascii="Calibri" w:eastAsia="Times New Roman" w:hAnsi="Calibri" w:cs="Calibri"/>
          <w:b/>
          <w:bCs/>
          <w:sz w:val="24"/>
          <w:szCs w:val="24"/>
        </w:rPr>
      </w:pPr>
      <w:r w:rsidRPr="00F23BDC">
        <w:rPr>
          <w:rFonts w:eastAsia="Times New Roman" w:cstheme="minorHAnsi"/>
          <w:color w:val="000000" w:themeColor="text1"/>
        </w:rPr>
        <w:t>The Health Insurance Portability and Accountability Act of 1996 (HIPAA)</w:t>
      </w:r>
      <w:r w:rsidR="00406B3B">
        <w:rPr>
          <w:rStyle w:val="FootnoteReference"/>
          <w:rFonts w:eastAsia="Times New Roman" w:cstheme="minorHAnsi"/>
          <w:color w:val="000000" w:themeColor="text1"/>
        </w:rPr>
        <w:footnoteReference w:id="1"/>
      </w:r>
      <w:r w:rsidR="00406B3B">
        <w:rPr>
          <w:rFonts w:eastAsia="Times New Roman" w:cstheme="minorHAnsi"/>
          <w:color w:val="000000" w:themeColor="text1"/>
        </w:rPr>
        <w:t xml:space="preserve"> </w:t>
      </w:r>
      <w:r w:rsidRPr="00F23BDC">
        <w:rPr>
          <w:rFonts w:eastAsia="Times New Roman" w:cstheme="minorHAnsi"/>
          <w:color w:val="000000" w:themeColor="text1"/>
        </w:rPr>
        <w:t>and subsequent amendments enacted changes in the health insurance market and addressed the electronic transmission of health information and the protection of personal health information, among other things. Title II of HIPAA contained a number of administrative simplification and privacy provisions that instructed the Secretary of Health and Human Services (HHS) to issue standards addressing, among other things, the electronic transmission of health information and the privacy of personally identifiable medical information.</w:t>
      </w:r>
      <w:r w:rsidR="00C959C6">
        <w:rPr>
          <w:rStyle w:val="FootnoteReference"/>
          <w:rFonts w:eastAsia="Times New Roman" w:cstheme="minorHAnsi"/>
          <w:color w:val="000000" w:themeColor="text1"/>
        </w:rPr>
        <w:footnoteReference w:id="2"/>
      </w:r>
      <w:r w:rsidR="00C959C6">
        <w:rPr>
          <w:rFonts w:eastAsia="Times New Roman" w:cstheme="minorHAnsi"/>
          <w:color w:val="000000" w:themeColor="text1"/>
        </w:rPr>
        <w:t xml:space="preserve"> </w:t>
      </w:r>
      <w:r w:rsidRPr="00F23BDC">
        <w:rPr>
          <w:rFonts w:eastAsia="Times New Roman" w:cstheme="minorHAnsi"/>
          <w:color w:val="000000" w:themeColor="text1"/>
        </w:rPr>
        <w:t>In 2000, HHS promulgated rules, Standards for Privacy of Individually Identifiable Health Information (the “Privacy Rule”), which set national standards for the protection of certain health information</w:t>
      </w:r>
      <w:r w:rsidR="00364893">
        <w:rPr>
          <w:rFonts w:eastAsia="Times New Roman" w:cstheme="minorHAnsi"/>
          <w:color w:val="000000" w:themeColor="text1"/>
        </w:rPr>
        <w:t xml:space="preserve"> </w:t>
      </w:r>
      <w:r w:rsidRPr="00F23BDC">
        <w:rPr>
          <w:rFonts w:eastAsia="Times New Roman" w:cstheme="minorHAnsi"/>
          <w:color w:val="000000" w:themeColor="text1"/>
        </w:rPr>
        <w:t>and has issued subsequent modifications to the rule.</w:t>
      </w:r>
      <w:r w:rsidR="00364893">
        <w:rPr>
          <w:rStyle w:val="FootnoteReference"/>
          <w:rFonts w:eastAsia="Times New Roman" w:cstheme="minorHAnsi"/>
          <w:color w:val="000000" w:themeColor="text1"/>
        </w:rPr>
        <w:footnoteReference w:id="3"/>
      </w:r>
      <w:r w:rsidRPr="00F23BDC">
        <w:rPr>
          <w:rFonts w:eastAsia="Times New Roman" w:cstheme="minorHAnsi"/>
          <w:color w:val="000000" w:themeColor="text1"/>
        </w:rPr>
        <w:t xml:space="preserve"> The HIPAA Privacy Rule creates a set of basic consumer protections and a series of regulatory permissions for uses and disclosures of protected health information.</w:t>
      </w:r>
      <w:r w:rsidR="00364893">
        <w:rPr>
          <w:rStyle w:val="FootnoteReference"/>
          <w:rFonts w:eastAsia="Times New Roman" w:cstheme="minorHAnsi"/>
          <w:color w:val="000000" w:themeColor="text1"/>
        </w:rPr>
        <w:footnoteReference w:id="4"/>
      </w:r>
    </w:p>
    <w:p w14:paraId="2777BB84" w14:textId="28C7F6AD" w:rsidR="00C66A91" w:rsidRDefault="00C66A91" w:rsidP="00C66A91">
      <w:pPr>
        <w:spacing w:line="360" w:lineRule="auto"/>
        <w:rPr>
          <w:rFonts w:ascii="Calibri" w:eastAsia="Times New Roman" w:hAnsi="Calibri" w:cs="Calibri"/>
          <w:b/>
          <w:bCs/>
          <w:sz w:val="24"/>
          <w:szCs w:val="24"/>
        </w:rPr>
      </w:pPr>
    </w:p>
    <w:p w14:paraId="4764BA68" w14:textId="77777777" w:rsidR="00C66A91" w:rsidRPr="00F919FF" w:rsidRDefault="0020452F" w:rsidP="00C66A91">
      <w:pPr>
        <w:spacing w:line="360" w:lineRule="auto"/>
        <w:rPr>
          <w:rFonts w:eastAsia="Times New Roman" w:cstheme="minorHAnsi"/>
          <w:b/>
          <w:color w:val="000000" w:themeColor="text1"/>
          <w:sz w:val="24"/>
          <w:szCs w:val="24"/>
          <w:bdr w:val="none" w:sz="0" w:space="0" w:color="auto" w:frame="1"/>
        </w:rPr>
      </w:pPr>
      <w:r w:rsidRPr="00F919FF">
        <w:rPr>
          <w:rFonts w:eastAsia="Times New Roman" w:cstheme="minorHAnsi"/>
          <w:b/>
          <w:color w:val="000000" w:themeColor="text1"/>
          <w:sz w:val="24"/>
          <w:szCs w:val="24"/>
          <w:bdr w:val="none" w:sz="0" w:space="0" w:color="auto" w:frame="1"/>
        </w:rPr>
        <w:t>HIPAA Privacy Rul</w:t>
      </w:r>
      <w:r w:rsidR="00C66A91" w:rsidRPr="00F919FF">
        <w:rPr>
          <w:rFonts w:eastAsia="Times New Roman" w:cstheme="minorHAnsi"/>
          <w:b/>
          <w:color w:val="000000" w:themeColor="text1"/>
          <w:sz w:val="24"/>
          <w:szCs w:val="24"/>
          <w:bdr w:val="none" w:sz="0" w:space="0" w:color="auto" w:frame="1"/>
        </w:rPr>
        <w:t>e</w:t>
      </w:r>
    </w:p>
    <w:p w14:paraId="04A8829C" w14:textId="1F13D280" w:rsidR="00C66A91" w:rsidRDefault="0020452F" w:rsidP="00C66A91">
      <w:pPr>
        <w:spacing w:line="360" w:lineRule="auto"/>
        <w:rPr>
          <w:rFonts w:eastAsia="Times New Roman" w:cstheme="minorHAnsi"/>
          <w:b/>
          <w:i/>
          <w:iCs/>
          <w:color w:val="000000" w:themeColor="text1"/>
          <w:bdr w:val="none" w:sz="0" w:space="0" w:color="auto" w:frame="1"/>
        </w:rPr>
      </w:pPr>
      <w:r w:rsidRPr="00F23BDC">
        <w:rPr>
          <w:rFonts w:eastAsia="Times New Roman" w:cstheme="minorHAnsi"/>
          <w:color w:val="000000" w:themeColor="text1"/>
        </w:rPr>
        <w:t>The HIPAA Privacy Rule prohibits covered entities from disclosing protected health information to any third parties, unless the rule otherwise permits the disclosure</w:t>
      </w:r>
      <w:r w:rsidR="00364893">
        <w:rPr>
          <w:rFonts w:eastAsia="Times New Roman" w:cstheme="minorHAnsi"/>
          <w:color w:val="000000" w:themeColor="text1"/>
        </w:rPr>
        <w:t>.</w:t>
      </w:r>
    </w:p>
    <w:p w14:paraId="60C9D556" w14:textId="77777777" w:rsidR="00C66A91" w:rsidRDefault="00C66A91" w:rsidP="00C66A91">
      <w:pPr>
        <w:spacing w:line="360" w:lineRule="auto"/>
        <w:rPr>
          <w:rFonts w:eastAsia="Times New Roman" w:cstheme="minorHAnsi"/>
          <w:b/>
          <w:i/>
          <w:iCs/>
          <w:color w:val="000000" w:themeColor="text1"/>
          <w:bdr w:val="none" w:sz="0" w:space="0" w:color="auto" w:frame="1"/>
        </w:rPr>
      </w:pPr>
    </w:p>
    <w:p w14:paraId="66036B0E" w14:textId="77777777" w:rsidR="00F919FF" w:rsidRPr="00F919FF" w:rsidRDefault="0020452F" w:rsidP="00C66A91">
      <w:pPr>
        <w:spacing w:line="360" w:lineRule="auto"/>
        <w:rPr>
          <w:rFonts w:eastAsia="Times New Roman" w:cstheme="minorHAnsi"/>
          <w:b/>
          <w:color w:val="000000" w:themeColor="text1"/>
          <w:bdr w:val="none" w:sz="0" w:space="0" w:color="auto" w:frame="1"/>
        </w:rPr>
      </w:pPr>
      <w:r w:rsidRPr="00F919FF">
        <w:rPr>
          <w:rFonts w:eastAsia="Times New Roman" w:cstheme="minorHAnsi"/>
          <w:b/>
          <w:color w:val="000000" w:themeColor="text1"/>
          <w:bdr w:val="none" w:sz="0" w:space="0" w:color="auto" w:frame="1"/>
        </w:rPr>
        <w:t>Covered Entities</w:t>
      </w:r>
    </w:p>
    <w:p w14:paraId="0105B3DB" w14:textId="20B72108" w:rsidR="00C66A91" w:rsidRDefault="0020452F" w:rsidP="00C66A91">
      <w:pPr>
        <w:spacing w:line="360" w:lineRule="auto"/>
        <w:rPr>
          <w:rFonts w:eastAsia="Times New Roman" w:cstheme="minorHAnsi"/>
          <w:b/>
          <w:i/>
          <w:iCs/>
          <w:color w:val="000000" w:themeColor="text1"/>
          <w:bdr w:val="none" w:sz="0" w:space="0" w:color="auto" w:frame="1"/>
        </w:rPr>
      </w:pPr>
      <w:r w:rsidRPr="00F23BDC">
        <w:rPr>
          <w:rFonts w:eastAsia="Times New Roman" w:cstheme="minorHAnsi"/>
          <w:color w:val="000000" w:themeColor="text1"/>
        </w:rPr>
        <w:t xml:space="preserve">The Privacy Rule applies to covered entities and their business associates. “Covered entities” are defined as health plans, healthcare clearinghouses, and any healthcare provider that transmits health information in electronic form in connection with transactions for which the Secretary of HHS has adopted standards under HIPAA. A “business associate” is a person or organization not employed by the </w:t>
      </w:r>
      <w:r w:rsidRPr="00F23BDC">
        <w:rPr>
          <w:rFonts w:eastAsia="Times New Roman" w:cstheme="minorHAnsi"/>
          <w:color w:val="000000" w:themeColor="text1"/>
        </w:rPr>
        <w:lastRenderedPageBreak/>
        <w:t>covered entity that performs certain activities for a covered entity involving the use or disclosure of individually identifiable health information. A “hybrid entity” is a single legal entity that conducts both covered and noncovered activities under the Privacy Rule.</w:t>
      </w:r>
      <w:r w:rsidR="00364893">
        <w:rPr>
          <w:rStyle w:val="FootnoteReference"/>
          <w:rFonts w:eastAsia="Times New Roman" w:cstheme="minorHAnsi"/>
          <w:color w:val="000000" w:themeColor="text1"/>
        </w:rPr>
        <w:footnoteReference w:id="5"/>
      </w:r>
      <w:r w:rsidR="00364893">
        <w:rPr>
          <w:rFonts w:eastAsia="Times New Roman" w:cstheme="minorHAnsi"/>
          <w:color w:val="000000" w:themeColor="text1"/>
        </w:rPr>
        <w:t xml:space="preserve"> </w:t>
      </w:r>
      <w:r w:rsidRPr="00F23BDC">
        <w:rPr>
          <w:rFonts w:eastAsia="Times New Roman" w:cstheme="minorHAnsi"/>
          <w:color w:val="000000" w:themeColor="text1"/>
        </w:rPr>
        <w:t xml:space="preserve">State and local health departments, for instance, can be hybrid entities if they provide healthcare services to patients for which the agencies transmit health information electronically in addition to conducting their other public health functions. If a state or local health department does not perform these activities, then it would not be a covered entity under the HIPAA Privacy Rule. A hybrid entity must designate in writing its activities that are covered under the Privacy Rule. Thus, if a health agency qualifies as a hybrid entity and it makes the required list of covered activities, then only its healthcare services would be covered under the Privacy Rule; otherwise, </w:t>
      </w:r>
      <w:proofErr w:type="gramStart"/>
      <w:r w:rsidRPr="00F23BDC">
        <w:rPr>
          <w:rFonts w:eastAsia="Times New Roman" w:cstheme="minorHAnsi"/>
          <w:color w:val="000000" w:themeColor="text1"/>
        </w:rPr>
        <w:t>all of</w:t>
      </w:r>
      <w:proofErr w:type="gramEnd"/>
      <w:r w:rsidRPr="00F23BDC">
        <w:rPr>
          <w:rFonts w:eastAsia="Times New Roman" w:cstheme="minorHAnsi"/>
          <w:color w:val="000000" w:themeColor="text1"/>
        </w:rPr>
        <w:t xml:space="preserve"> the hybrid’s activities would be deemed covered under the rule.</w:t>
      </w:r>
    </w:p>
    <w:p w14:paraId="4E6B8A9F" w14:textId="77777777" w:rsidR="00C66A91" w:rsidRDefault="00C66A91" w:rsidP="00C66A91">
      <w:pPr>
        <w:spacing w:line="360" w:lineRule="auto"/>
        <w:rPr>
          <w:rFonts w:eastAsia="Times New Roman" w:cstheme="minorHAnsi"/>
          <w:b/>
          <w:i/>
          <w:iCs/>
          <w:color w:val="000000" w:themeColor="text1"/>
          <w:bdr w:val="none" w:sz="0" w:space="0" w:color="auto" w:frame="1"/>
        </w:rPr>
      </w:pPr>
    </w:p>
    <w:p w14:paraId="0499B3F0" w14:textId="77777777" w:rsidR="00F919FF" w:rsidRPr="00F919FF" w:rsidRDefault="0020452F" w:rsidP="00C66A91">
      <w:pPr>
        <w:spacing w:line="360" w:lineRule="auto"/>
        <w:rPr>
          <w:rFonts w:eastAsia="Times New Roman" w:cstheme="minorHAnsi"/>
          <w:b/>
          <w:color w:val="000000" w:themeColor="text1"/>
          <w:bdr w:val="none" w:sz="0" w:space="0" w:color="auto" w:frame="1"/>
        </w:rPr>
      </w:pPr>
      <w:r w:rsidRPr="00F919FF">
        <w:rPr>
          <w:rFonts w:eastAsia="Times New Roman" w:cstheme="minorHAnsi"/>
          <w:b/>
          <w:color w:val="000000" w:themeColor="text1"/>
          <w:bdr w:val="none" w:sz="0" w:space="0" w:color="auto" w:frame="1"/>
        </w:rPr>
        <w:t>Protected Health Information</w:t>
      </w:r>
    </w:p>
    <w:p w14:paraId="3E26F7DE" w14:textId="75F0C664" w:rsidR="0020452F" w:rsidRPr="00C66A91" w:rsidRDefault="0020452F" w:rsidP="00C66A91">
      <w:pPr>
        <w:spacing w:line="360" w:lineRule="auto"/>
        <w:rPr>
          <w:rFonts w:eastAsia="Times New Roman" w:cstheme="minorHAnsi"/>
          <w:b/>
          <w:i/>
          <w:iCs/>
          <w:color w:val="000000" w:themeColor="text1"/>
          <w:bdr w:val="none" w:sz="0" w:space="0" w:color="auto" w:frame="1"/>
        </w:rPr>
      </w:pPr>
      <w:r w:rsidRPr="00F23BDC">
        <w:rPr>
          <w:rFonts w:eastAsia="Times New Roman" w:cstheme="minorHAnsi"/>
          <w:color w:val="000000" w:themeColor="text1"/>
        </w:rPr>
        <w:t>The Privacy Rule applies to protected health information (“PHI”). PHI is individually identifiable health information held or transmitted by a covered entity or its business associate in any form or media—electronic, paper, or oral. “Individually identifiable health information” is defined to include the types of data listed below that identify the individual or that could be reasonably used to identify the individual:</w:t>
      </w:r>
      <w:r w:rsidR="00980AFB">
        <w:rPr>
          <w:rStyle w:val="FootnoteReference"/>
          <w:rFonts w:eastAsia="Times New Roman" w:cstheme="minorHAnsi"/>
          <w:color w:val="000000" w:themeColor="text1"/>
        </w:rPr>
        <w:footnoteReference w:id="6"/>
      </w:r>
    </w:p>
    <w:p w14:paraId="77FFCB3F" w14:textId="2D470940" w:rsidR="0020452F" w:rsidRPr="0096329A" w:rsidRDefault="0020452F" w:rsidP="0072096E">
      <w:pPr>
        <w:pStyle w:val="ListParagraph"/>
        <w:numPr>
          <w:ilvl w:val="0"/>
          <w:numId w:val="2"/>
        </w:numPr>
        <w:spacing w:after="120" w:line="360" w:lineRule="auto"/>
        <w:contextualSpacing w:val="0"/>
        <w:textAlignment w:val="baseline"/>
        <w:rPr>
          <w:rFonts w:eastAsia="Times New Roman" w:cstheme="minorHAnsi"/>
          <w:color w:val="000000" w:themeColor="text1"/>
        </w:rPr>
      </w:pPr>
      <w:r w:rsidRPr="0096329A">
        <w:rPr>
          <w:rFonts w:eastAsia="Times New Roman" w:cstheme="minorHAnsi"/>
          <w:color w:val="000000" w:themeColor="text1"/>
        </w:rPr>
        <w:t>Demographic data.</w:t>
      </w:r>
    </w:p>
    <w:p w14:paraId="2B253AA8" w14:textId="193AB63E" w:rsidR="0020452F" w:rsidRPr="0096329A" w:rsidRDefault="0020452F" w:rsidP="0072096E">
      <w:pPr>
        <w:pStyle w:val="ListParagraph"/>
        <w:numPr>
          <w:ilvl w:val="0"/>
          <w:numId w:val="2"/>
        </w:numPr>
        <w:spacing w:after="120" w:line="360" w:lineRule="auto"/>
        <w:contextualSpacing w:val="0"/>
        <w:textAlignment w:val="baseline"/>
        <w:rPr>
          <w:rFonts w:eastAsia="Times New Roman" w:cstheme="minorHAnsi"/>
          <w:color w:val="000000" w:themeColor="text1"/>
        </w:rPr>
      </w:pPr>
      <w:r w:rsidRPr="0096329A">
        <w:rPr>
          <w:rFonts w:eastAsia="Times New Roman" w:cstheme="minorHAnsi"/>
          <w:color w:val="000000" w:themeColor="text1"/>
        </w:rPr>
        <w:t>Common identifiers (e.g., name, address, birth date, Social Security number).</w:t>
      </w:r>
    </w:p>
    <w:p w14:paraId="4E4801CB" w14:textId="7C6E21C4" w:rsidR="0020452F" w:rsidRPr="0096329A" w:rsidRDefault="0020452F" w:rsidP="0072096E">
      <w:pPr>
        <w:pStyle w:val="ListParagraph"/>
        <w:numPr>
          <w:ilvl w:val="0"/>
          <w:numId w:val="2"/>
        </w:numPr>
        <w:spacing w:after="120" w:line="360" w:lineRule="auto"/>
        <w:contextualSpacing w:val="0"/>
        <w:textAlignment w:val="baseline"/>
        <w:rPr>
          <w:rFonts w:eastAsia="Times New Roman" w:cstheme="minorHAnsi"/>
          <w:color w:val="000000" w:themeColor="text1"/>
        </w:rPr>
      </w:pPr>
      <w:r w:rsidRPr="0096329A">
        <w:rPr>
          <w:rFonts w:eastAsia="Times New Roman" w:cstheme="minorHAnsi"/>
          <w:color w:val="000000" w:themeColor="text1"/>
        </w:rPr>
        <w:t>Information relating to the individual’s past, present, or future physical or mental health condition and healthcare provided to the person.</w:t>
      </w:r>
    </w:p>
    <w:p w14:paraId="515F36AF" w14:textId="77777777" w:rsidR="00C66A91" w:rsidRDefault="0020452F" w:rsidP="006E5183">
      <w:pPr>
        <w:pStyle w:val="ListParagraph"/>
        <w:numPr>
          <w:ilvl w:val="0"/>
          <w:numId w:val="2"/>
        </w:numPr>
        <w:spacing w:after="120" w:line="360" w:lineRule="auto"/>
        <w:contextualSpacing w:val="0"/>
        <w:textAlignment w:val="baseline"/>
        <w:rPr>
          <w:rFonts w:eastAsia="Times New Roman" w:cstheme="minorHAnsi"/>
          <w:color w:val="000000" w:themeColor="text1"/>
        </w:rPr>
      </w:pPr>
      <w:r w:rsidRPr="0096329A">
        <w:rPr>
          <w:rFonts w:eastAsia="Times New Roman" w:cstheme="minorHAnsi"/>
          <w:color w:val="000000" w:themeColor="text1"/>
        </w:rPr>
        <w:t>Payment for healthcare.</w:t>
      </w:r>
    </w:p>
    <w:p w14:paraId="78CEFFA2" w14:textId="77777777" w:rsidR="005062CB" w:rsidRDefault="0020452F" w:rsidP="00D65000">
      <w:pPr>
        <w:spacing w:line="360" w:lineRule="auto"/>
        <w:textAlignment w:val="baseline"/>
        <w:rPr>
          <w:rFonts w:eastAsia="Times New Roman" w:cstheme="minorHAnsi"/>
          <w:color w:val="000000" w:themeColor="text1"/>
          <w:bdr w:val="none" w:sz="0" w:space="0" w:color="auto" w:frame="1"/>
        </w:rPr>
      </w:pPr>
      <w:r w:rsidRPr="00C66A91">
        <w:rPr>
          <w:rFonts w:eastAsia="Times New Roman" w:cstheme="minorHAnsi"/>
          <w:color w:val="000000" w:themeColor="text1"/>
        </w:rPr>
        <w:t>Employment records maintained by a covered entity for its own employees and education records covered by FERPA are specifically excluded from the definition of PHI in the Privacy Rule.</w:t>
      </w:r>
      <w:r w:rsidR="00980AFB">
        <w:rPr>
          <w:rStyle w:val="FootnoteReference"/>
          <w:rFonts w:eastAsia="Times New Roman" w:cstheme="minorHAnsi"/>
          <w:color w:val="000000" w:themeColor="text1"/>
        </w:rPr>
        <w:footnoteReference w:id="7"/>
      </w:r>
      <w:r w:rsidR="00980AFB">
        <w:rPr>
          <w:rFonts w:eastAsia="Times New Roman" w:cstheme="minorHAnsi"/>
          <w:color w:val="000000" w:themeColor="text1"/>
          <w:bdr w:val="none" w:sz="0" w:space="0" w:color="auto" w:frame="1"/>
        </w:rPr>
        <w:t xml:space="preserve"> </w:t>
      </w:r>
    </w:p>
    <w:p w14:paraId="6A3297C4" w14:textId="77777777" w:rsidR="005062CB" w:rsidRDefault="005062CB" w:rsidP="00D65000">
      <w:pPr>
        <w:spacing w:line="360" w:lineRule="auto"/>
        <w:textAlignment w:val="baseline"/>
        <w:rPr>
          <w:rFonts w:eastAsia="Times New Roman" w:cstheme="minorHAnsi"/>
          <w:color w:val="000000" w:themeColor="text1"/>
          <w:bdr w:val="none" w:sz="0" w:space="0" w:color="auto" w:frame="1"/>
        </w:rPr>
      </w:pPr>
    </w:p>
    <w:p w14:paraId="50ED04F9" w14:textId="141A4E7E" w:rsidR="00A71C1F" w:rsidRDefault="0020452F" w:rsidP="00A71C1F">
      <w:pPr>
        <w:spacing w:line="360" w:lineRule="auto"/>
        <w:rPr>
          <w:rFonts w:ascii="Calibri" w:eastAsia="Times New Roman" w:hAnsi="Calibri" w:cs="Calibri"/>
          <w:b/>
          <w:bCs/>
        </w:rPr>
      </w:pPr>
      <w:r w:rsidRPr="00C66A91">
        <w:rPr>
          <w:rFonts w:eastAsia="Times New Roman" w:cstheme="minorHAnsi"/>
          <w:color w:val="000000" w:themeColor="text1"/>
        </w:rPr>
        <w:t xml:space="preserve">There are no restrictions on the use or disclosure of de-identified health </w:t>
      </w:r>
      <w:r w:rsidRPr="00A71C1F">
        <w:rPr>
          <w:rFonts w:eastAsia="Times New Roman" w:cstheme="minorHAnsi"/>
          <w:color w:val="000000" w:themeColor="text1"/>
        </w:rPr>
        <w:t>information.</w:t>
      </w:r>
      <w:r w:rsidR="00A71C1F">
        <w:rPr>
          <w:rFonts w:eastAsia="Times New Roman" w:cstheme="minorHAnsi"/>
          <w:color w:val="000000" w:themeColor="text1"/>
        </w:rPr>
        <w:t xml:space="preserve"> </w:t>
      </w:r>
      <w:r w:rsidR="00A71C1F" w:rsidRPr="006C2493">
        <w:rPr>
          <w:rFonts w:ascii="Calibri" w:eastAsia="Times New Roman" w:hAnsi="Calibri" w:cs="Calibri"/>
        </w:rPr>
        <w:t xml:space="preserve">Information may be de-identified using either the safe harbor method or the statistical de-identification method. For the safe harbor method, the covered entity de-identifies data by removing 18 identifiers specified in the </w:t>
      </w:r>
      <w:r w:rsidR="00A71C1F" w:rsidRPr="006C2493">
        <w:rPr>
          <w:rFonts w:ascii="Calibri" w:eastAsia="Times New Roman" w:hAnsi="Calibri" w:cs="Calibri"/>
        </w:rPr>
        <w:lastRenderedPageBreak/>
        <w:t>Privacy Rule.</w:t>
      </w:r>
      <w:r w:rsidR="00A71C1F">
        <w:rPr>
          <w:rStyle w:val="FootnoteReference"/>
          <w:rFonts w:ascii="Calibri" w:eastAsia="Times New Roman" w:hAnsi="Calibri" w:cs="Calibri"/>
        </w:rPr>
        <w:footnoteReference w:id="8"/>
      </w:r>
      <w:r w:rsidR="00A71C1F">
        <w:rPr>
          <w:rFonts w:ascii="Calibri" w:eastAsia="Times New Roman" w:hAnsi="Calibri" w:cs="Calibri"/>
          <w:bdr w:val="none" w:sz="0" w:space="0" w:color="auto" w:frame="1"/>
        </w:rPr>
        <w:t xml:space="preserve"> </w:t>
      </w:r>
      <w:r w:rsidR="00A71C1F" w:rsidRPr="006C2493">
        <w:rPr>
          <w:rFonts w:ascii="Calibri" w:eastAsia="Times New Roman" w:hAnsi="Calibri" w:cs="Calibri"/>
        </w:rPr>
        <w:t>The information is deemed de-identified provided that the covered entity does not have actual knowledge that the remaining information can be used alone or in combination with other reasonably available information to identify a subject. These identifiers include personal identifiers (such as name, address, telephone number, birth date, and social security number) and non-personal identifiers (such as geographic information smaller than a state and dates directly associated with an individual). Alternatively, a covered entity can rely on a determination by a properly qualified statistician using accepted analytic techniques who concludes the risk of re-identification is substantially limited.</w:t>
      </w:r>
      <w:r w:rsidR="0002780E">
        <w:rPr>
          <w:rStyle w:val="FootnoteReference"/>
          <w:rFonts w:ascii="Calibri" w:eastAsia="Times New Roman" w:hAnsi="Calibri" w:cs="Calibri"/>
        </w:rPr>
        <w:footnoteReference w:id="9"/>
      </w:r>
    </w:p>
    <w:p w14:paraId="542EB11A" w14:textId="77777777" w:rsidR="00C66A91" w:rsidRDefault="00C66A91" w:rsidP="00D65000">
      <w:pPr>
        <w:spacing w:line="360" w:lineRule="auto"/>
        <w:textAlignment w:val="baseline"/>
        <w:rPr>
          <w:rFonts w:eastAsia="Times New Roman" w:cstheme="minorHAnsi"/>
          <w:color w:val="000000" w:themeColor="text1"/>
        </w:rPr>
      </w:pPr>
    </w:p>
    <w:p w14:paraId="79A0DE6E" w14:textId="77777777" w:rsidR="00D65000" w:rsidRPr="00D65000" w:rsidRDefault="0020452F" w:rsidP="00D758BE">
      <w:pPr>
        <w:spacing w:line="360" w:lineRule="auto"/>
        <w:textAlignment w:val="baseline"/>
        <w:rPr>
          <w:rFonts w:eastAsia="Times New Roman" w:cstheme="minorHAnsi"/>
          <w:b/>
          <w:color w:val="000000" w:themeColor="text1"/>
          <w:bdr w:val="none" w:sz="0" w:space="0" w:color="auto" w:frame="1"/>
        </w:rPr>
      </w:pPr>
      <w:r w:rsidRPr="00D65000">
        <w:rPr>
          <w:rFonts w:eastAsia="Times New Roman" w:cstheme="minorHAnsi"/>
          <w:b/>
          <w:color w:val="000000" w:themeColor="text1"/>
          <w:bdr w:val="none" w:sz="0" w:space="0" w:color="auto" w:frame="1"/>
        </w:rPr>
        <w:t>General Disclosure Rule</w:t>
      </w:r>
    </w:p>
    <w:p w14:paraId="54809F24" w14:textId="5C1CCFBE" w:rsidR="00C66A91" w:rsidRPr="00980AFB" w:rsidRDefault="0020452F" w:rsidP="00C66A91">
      <w:pPr>
        <w:spacing w:after="120" w:line="360" w:lineRule="auto"/>
        <w:textAlignment w:val="baseline"/>
        <w:rPr>
          <w:rFonts w:eastAsia="Times New Roman" w:cstheme="minorHAnsi"/>
          <w:color w:val="000000" w:themeColor="text1"/>
        </w:rPr>
      </w:pPr>
      <w:r w:rsidRPr="00F23BDC">
        <w:rPr>
          <w:rFonts w:eastAsia="Times New Roman" w:cstheme="minorHAnsi"/>
          <w:color w:val="000000" w:themeColor="text1"/>
        </w:rPr>
        <w:t>The Privacy Rule states that a covered entity may not use or disclose PHI except as permitted by the Privacy Rule or as authorized in writing by the person who is the subject of the PHI (or their personal representative).</w:t>
      </w:r>
      <w:r w:rsidR="00980AFB">
        <w:rPr>
          <w:rStyle w:val="FootnoteReference"/>
          <w:rFonts w:eastAsia="Times New Roman" w:cstheme="minorHAnsi"/>
          <w:color w:val="000000" w:themeColor="text1"/>
        </w:rPr>
        <w:footnoteReference w:id="10"/>
      </w:r>
      <w:r w:rsidRPr="00F23BDC">
        <w:rPr>
          <w:rFonts w:eastAsia="Times New Roman" w:cstheme="minorHAnsi"/>
          <w:color w:val="000000" w:themeColor="text1"/>
        </w:rPr>
        <w:t xml:space="preserve"> The rule also requires disclosure to the person/representative or to HHS as part of an enforcement action.</w:t>
      </w:r>
      <w:r w:rsidR="00980AFB">
        <w:rPr>
          <w:rStyle w:val="FootnoteReference"/>
          <w:rFonts w:eastAsia="Times New Roman" w:cstheme="minorHAnsi"/>
          <w:color w:val="000000" w:themeColor="text1"/>
        </w:rPr>
        <w:footnoteReference w:id="11"/>
      </w:r>
    </w:p>
    <w:p w14:paraId="33E84045" w14:textId="41A8C2ED" w:rsidR="0020452F" w:rsidRPr="0029307E" w:rsidRDefault="0020452F" w:rsidP="0029307E">
      <w:pPr>
        <w:spacing w:after="120" w:line="360" w:lineRule="auto"/>
        <w:textAlignment w:val="baseline"/>
        <w:rPr>
          <w:rFonts w:eastAsia="Times New Roman" w:cstheme="minorHAnsi"/>
          <w:color w:val="000000" w:themeColor="text1"/>
        </w:rPr>
      </w:pPr>
      <w:r w:rsidRPr="0029307E">
        <w:rPr>
          <w:rFonts w:eastAsia="Times New Roman" w:cstheme="minorHAnsi"/>
          <w:b/>
          <w:i/>
          <w:iCs/>
          <w:color w:val="000000" w:themeColor="text1"/>
          <w:bdr w:val="none" w:sz="0" w:space="0" w:color="auto" w:frame="1"/>
        </w:rPr>
        <w:t>Permitted Uses and Disclosures</w:t>
      </w:r>
      <w:r w:rsidR="00980AFB" w:rsidRPr="0029307E">
        <w:rPr>
          <w:rFonts w:eastAsia="Times New Roman" w:cstheme="minorHAnsi"/>
          <w:b/>
          <w:i/>
          <w:iCs/>
          <w:color w:val="000000" w:themeColor="text1"/>
          <w:bdr w:val="none" w:sz="0" w:space="0" w:color="auto" w:frame="1"/>
        </w:rPr>
        <w:t xml:space="preserve"> – </w:t>
      </w:r>
      <w:r w:rsidRPr="0029307E">
        <w:rPr>
          <w:rFonts w:eastAsia="Times New Roman" w:cstheme="minorHAnsi"/>
          <w:color w:val="000000" w:themeColor="text1"/>
        </w:rPr>
        <w:t xml:space="preserve">The Privacy Rule identifies </w:t>
      </w:r>
      <w:proofErr w:type="gramStart"/>
      <w:r w:rsidRPr="0029307E">
        <w:rPr>
          <w:rFonts w:eastAsia="Times New Roman" w:cstheme="minorHAnsi"/>
          <w:color w:val="000000" w:themeColor="text1"/>
        </w:rPr>
        <w:t>a number of</w:t>
      </w:r>
      <w:proofErr w:type="gramEnd"/>
      <w:r w:rsidRPr="0029307E">
        <w:rPr>
          <w:rFonts w:eastAsia="Times New Roman" w:cstheme="minorHAnsi"/>
          <w:color w:val="000000" w:themeColor="text1"/>
        </w:rPr>
        <w:t xml:space="preserve"> circumstances in which use or disclosure of PHI is specifically permitted. A covered entity is permitted, but not required, to use and disclose PHI without an individual’s authorization for the following purposes or situations</w:t>
      </w:r>
      <w:r w:rsidR="00980AFB">
        <w:rPr>
          <w:rStyle w:val="FootnoteReference"/>
          <w:rFonts w:eastAsia="Times New Roman" w:cstheme="minorHAnsi"/>
          <w:color w:val="000000" w:themeColor="text1"/>
        </w:rPr>
        <w:footnoteReference w:id="12"/>
      </w:r>
      <w:r w:rsidRPr="0029307E">
        <w:rPr>
          <w:rFonts w:eastAsia="Times New Roman" w:cstheme="minorHAnsi"/>
          <w:color w:val="000000" w:themeColor="text1"/>
        </w:rPr>
        <w:t>:</w:t>
      </w:r>
    </w:p>
    <w:p w14:paraId="6FF67673" w14:textId="1A2B3829" w:rsidR="0020452F" w:rsidRPr="00F23BDC" w:rsidRDefault="0020452F" w:rsidP="0072096E">
      <w:pPr>
        <w:numPr>
          <w:ilvl w:val="0"/>
          <w:numId w:val="3"/>
        </w:numPr>
        <w:spacing w:after="120" w:line="360" w:lineRule="auto"/>
        <w:textAlignment w:val="baseline"/>
        <w:rPr>
          <w:rFonts w:eastAsia="Times New Roman" w:cstheme="minorHAnsi"/>
          <w:color w:val="000000" w:themeColor="text1"/>
        </w:rPr>
      </w:pPr>
      <w:r w:rsidRPr="00F23BDC">
        <w:rPr>
          <w:rFonts w:eastAsia="Times New Roman" w:cstheme="minorHAnsi"/>
          <w:i/>
          <w:color w:val="000000" w:themeColor="text1"/>
        </w:rPr>
        <w:t>To the Individual</w:t>
      </w:r>
      <w:r w:rsidRPr="00F23BDC">
        <w:rPr>
          <w:rFonts w:eastAsia="Times New Roman" w:cstheme="minorHAnsi"/>
          <w:color w:val="000000" w:themeColor="text1"/>
        </w:rPr>
        <w:t>—To the person who is the subject of the PHI.</w:t>
      </w:r>
    </w:p>
    <w:p w14:paraId="5D2AFC62" w14:textId="07164DB5" w:rsidR="0020452F" w:rsidRPr="00F23BDC" w:rsidRDefault="0020452F" w:rsidP="0072096E">
      <w:pPr>
        <w:numPr>
          <w:ilvl w:val="0"/>
          <w:numId w:val="3"/>
        </w:numPr>
        <w:spacing w:after="120" w:line="360" w:lineRule="auto"/>
        <w:textAlignment w:val="baseline"/>
        <w:rPr>
          <w:rFonts w:eastAsia="Times New Roman" w:cstheme="minorHAnsi"/>
          <w:color w:val="000000" w:themeColor="text1"/>
        </w:rPr>
      </w:pPr>
      <w:r w:rsidRPr="00F23BDC">
        <w:rPr>
          <w:rFonts w:eastAsia="Times New Roman" w:cstheme="minorHAnsi"/>
          <w:i/>
          <w:color w:val="000000" w:themeColor="text1"/>
        </w:rPr>
        <w:t>Treatment, Payment, and Healthcare Operations</w:t>
      </w:r>
      <w:r w:rsidRPr="00F23BDC">
        <w:rPr>
          <w:rFonts w:eastAsia="Times New Roman" w:cstheme="minorHAnsi"/>
          <w:color w:val="000000" w:themeColor="text1"/>
        </w:rPr>
        <w:t>—A covered entity may use PHI for its own treatment, payment, and healthcare activities like quality assessment or evaluations. Obtaining patient consent for disclosure of PHI for treatment, payment, and healthcare operations activities is optional under the Privacy Rule.</w:t>
      </w:r>
    </w:p>
    <w:p w14:paraId="552116F0" w14:textId="7DAFDB8D" w:rsidR="0020452F" w:rsidRPr="00F23BDC" w:rsidRDefault="0020452F" w:rsidP="0072096E">
      <w:pPr>
        <w:numPr>
          <w:ilvl w:val="0"/>
          <w:numId w:val="3"/>
        </w:numPr>
        <w:spacing w:after="120" w:line="360" w:lineRule="auto"/>
        <w:textAlignment w:val="baseline"/>
        <w:rPr>
          <w:rFonts w:eastAsia="Times New Roman" w:cstheme="minorHAnsi"/>
          <w:color w:val="000000" w:themeColor="text1"/>
        </w:rPr>
      </w:pPr>
      <w:r w:rsidRPr="00F23BDC">
        <w:rPr>
          <w:rFonts w:eastAsia="Times New Roman" w:cstheme="minorHAnsi"/>
          <w:i/>
          <w:color w:val="000000" w:themeColor="text1"/>
        </w:rPr>
        <w:t>Uses and Disclosures with Opportunity to Agree or Object</w:t>
      </w:r>
      <w:r w:rsidRPr="00F23BDC">
        <w:rPr>
          <w:rFonts w:eastAsia="Times New Roman" w:cstheme="minorHAnsi"/>
          <w:color w:val="000000" w:themeColor="text1"/>
        </w:rPr>
        <w:t xml:space="preserve">—The Privacy Rule allows covered entities to obtain informal permissions by giving persons opportunities to agree or object to the use and disclosure of PHI. Such instances include providing information for hospital directories or notifications to family members. If a person is incapacitated or unavailable to give </w:t>
      </w:r>
      <w:r w:rsidRPr="00F23BDC">
        <w:rPr>
          <w:rFonts w:eastAsia="Times New Roman" w:cstheme="minorHAnsi"/>
          <w:color w:val="000000" w:themeColor="text1"/>
        </w:rPr>
        <w:lastRenderedPageBreak/>
        <w:t xml:space="preserve">permission, the covered entity </w:t>
      </w:r>
      <w:proofErr w:type="gramStart"/>
      <w:r w:rsidRPr="00F23BDC">
        <w:rPr>
          <w:rFonts w:eastAsia="Times New Roman" w:cstheme="minorHAnsi"/>
          <w:color w:val="000000" w:themeColor="text1"/>
        </w:rPr>
        <w:t>is allowed to</w:t>
      </w:r>
      <w:proofErr w:type="gramEnd"/>
      <w:r w:rsidRPr="00F23BDC">
        <w:rPr>
          <w:rFonts w:eastAsia="Times New Roman" w:cstheme="minorHAnsi"/>
          <w:color w:val="000000" w:themeColor="text1"/>
        </w:rPr>
        <w:t xml:space="preserve"> exercise its professional judgment in deciding whether the use or disclosure is in the person’s best interest.</w:t>
      </w:r>
    </w:p>
    <w:p w14:paraId="7179DF22" w14:textId="5E869AA8" w:rsidR="0020452F" w:rsidRPr="00F23BDC" w:rsidRDefault="0020452F" w:rsidP="0072096E">
      <w:pPr>
        <w:numPr>
          <w:ilvl w:val="0"/>
          <w:numId w:val="3"/>
        </w:numPr>
        <w:spacing w:after="120" w:line="360" w:lineRule="auto"/>
        <w:textAlignment w:val="baseline"/>
        <w:rPr>
          <w:rFonts w:eastAsia="Times New Roman" w:cstheme="minorHAnsi"/>
          <w:color w:val="000000" w:themeColor="text1"/>
        </w:rPr>
      </w:pPr>
      <w:r w:rsidRPr="00F23BDC">
        <w:rPr>
          <w:rFonts w:eastAsia="Times New Roman" w:cstheme="minorHAnsi"/>
          <w:i/>
          <w:color w:val="000000" w:themeColor="text1"/>
        </w:rPr>
        <w:t>Incidental Use and Disclosure</w:t>
      </w:r>
      <w:r w:rsidRPr="00F23BDC">
        <w:rPr>
          <w:rFonts w:eastAsia="Times New Roman" w:cstheme="minorHAnsi"/>
          <w:color w:val="000000" w:themeColor="text1"/>
        </w:rPr>
        <w:t>—The Privacy Rule does not require covered entities to guarantee that all incidental disclosures of PHI made during an otherwise permitted use and disclosure are eliminated. Such incidental disclosures are permitted under the rule so long as the covered entity has taken reasonable steps to safeguard against disclosures and that information shared is the minimum necessary under the rule.</w:t>
      </w:r>
    </w:p>
    <w:p w14:paraId="6B721568" w14:textId="38DA060A" w:rsidR="0020452F" w:rsidRPr="00F23BDC" w:rsidRDefault="0020452F" w:rsidP="0072096E">
      <w:pPr>
        <w:numPr>
          <w:ilvl w:val="0"/>
          <w:numId w:val="3"/>
        </w:numPr>
        <w:spacing w:after="120" w:line="360" w:lineRule="auto"/>
        <w:textAlignment w:val="baseline"/>
        <w:rPr>
          <w:rFonts w:eastAsia="Times New Roman" w:cstheme="minorHAnsi"/>
          <w:color w:val="000000" w:themeColor="text1"/>
        </w:rPr>
      </w:pPr>
      <w:r w:rsidRPr="00F23BDC">
        <w:rPr>
          <w:rFonts w:eastAsia="Times New Roman" w:cstheme="minorHAnsi"/>
          <w:i/>
          <w:color w:val="000000" w:themeColor="text1"/>
        </w:rPr>
        <w:t>Public Interest and Benefit Activities</w:t>
      </w:r>
      <w:r w:rsidRPr="00F23BDC">
        <w:rPr>
          <w:rFonts w:eastAsia="Times New Roman" w:cstheme="minorHAnsi"/>
          <w:color w:val="000000" w:themeColor="text1"/>
        </w:rPr>
        <w:t xml:space="preserve">—The Privacy Rule permits the use and disclosure of PHI without a person’s consent in </w:t>
      </w:r>
      <w:proofErr w:type="gramStart"/>
      <w:r w:rsidRPr="00F23BDC">
        <w:rPr>
          <w:rFonts w:eastAsia="Times New Roman" w:cstheme="minorHAnsi"/>
          <w:color w:val="000000" w:themeColor="text1"/>
        </w:rPr>
        <w:t>a number of</w:t>
      </w:r>
      <w:proofErr w:type="gramEnd"/>
      <w:r w:rsidRPr="00F23BDC">
        <w:rPr>
          <w:rFonts w:eastAsia="Times New Roman" w:cstheme="minorHAnsi"/>
          <w:color w:val="000000" w:themeColor="text1"/>
        </w:rPr>
        <w:t xml:space="preserve"> specific situations identified in the rule as “public purposes.”</w:t>
      </w:r>
      <w:r w:rsidR="00980AFB">
        <w:rPr>
          <w:rFonts w:eastAsia="Times New Roman" w:cstheme="minorHAnsi"/>
          <w:color w:val="000000" w:themeColor="text1"/>
        </w:rPr>
        <w:t xml:space="preserve"> </w:t>
      </w:r>
    </w:p>
    <w:p w14:paraId="3536667A" w14:textId="20E7048C" w:rsidR="00C66A91" w:rsidRDefault="0020452F" w:rsidP="00C66A91">
      <w:pPr>
        <w:numPr>
          <w:ilvl w:val="0"/>
          <w:numId w:val="3"/>
        </w:numPr>
        <w:spacing w:after="120" w:line="360" w:lineRule="auto"/>
        <w:textAlignment w:val="baseline"/>
        <w:rPr>
          <w:rFonts w:eastAsia="Times New Roman" w:cstheme="minorHAnsi"/>
          <w:color w:val="000000" w:themeColor="text1"/>
        </w:rPr>
      </w:pPr>
      <w:r w:rsidRPr="00F23BDC">
        <w:rPr>
          <w:rFonts w:eastAsia="Times New Roman" w:cstheme="minorHAnsi"/>
          <w:i/>
          <w:color w:val="000000" w:themeColor="text1"/>
        </w:rPr>
        <w:t>Limited Data Set</w:t>
      </w:r>
      <w:r w:rsidRPr="00F23BDC">
        <w:rPr>
          <w:rFonts w:eastAsia="Times New Roman" w:cstheme="minorHAnsi"/>
          <w:color w:val="000000" w:themeColor="text1"/>
        </w:rPr>
        <w:t>—The Privacy Rule allows the use or disclosure of limited data sets for the purposes of research, public health, or healthcare operations.</w:t>
      </w:r>
      <w:r w:rsidR="00980AFB">
        <w:rPr>
          <w:rFonts w:eastAsia="Times New Roman" w:cstheme="minorHAnsi"/>
          <w:color w:val="000000" w:themeColor="text1"/>
          <w:bdr w:val="none" w:sz="0" w:space="0" w:color="auto" w:frame="1"/>
          <w:vertAlign w:val="superscript"/>
        </w:rPr>
        <w:t xml:space="preserve"> </w:t>
      </w:r>
      <w:r w:rsidRPr="00F23BDC">
        <w:rPr>
          <w:rFonts w:eastAsia="Times New Roman" w:cstheme="minorHAnsi"/>
          <w:color w:val="000000" w:themeColor="text1"/>
        </w:rPr>
        <w:t>Limited data sets are those in which 16 of 18 categories of specific identifiers about persons or their households have been removed. Limited data sets may include identifiers like city, state, ZIP code, and elements of the date.</w:t>
      </w:r>
      <w:r w:rsidR="00980AFB">
        <w:rPr>
          <w:rStyle w:val="FootnoteReference"/>
          <w:rFonts w:eastAsia="Times New Roman" w:cstheme="minorHAnsi"/>
          <w:color w:val="000000" w:themeColor="text1"/>
        </w:rPr>
        <w:footnoteReference w:id="13"/>
      </w:r>
      <w:r w:rsidR="00980AFB">
        <w:rPr>
          <w:rFonts w:eastAsia="Times New Roman" w:cstheme="minorHAnsi"/>
          <w:color w:val="000000" w:themeColor="text1"/>
          <w:bdr w:val="none" w:sz="0" w:space="0" w:color="auto" w:frame="1"/>
        </w:rPr>
        <w:t xml:space="preserve"> </w:t>
      </w:r>
      <w:r w:rsidRPr="00F23BDC">
        <w:rPr>
          <w:rFonts w:eastAsia="Times New Roman" w:cstheme="minorHAnsi"/>
          <w:color w:val="000000" w:themeColor="text1"/>
        </w:rPr>
        <w:t>Limited data sets may be used for research and public health purposes so long as users of the data have entered into a data use agreement to protect the PHI in the limited data set. A limited data set is different from de-identified data because the limited data set still contains some PHI.</w:t>
      </w:r>
    </w:p>
    <w:p w14:paraId="4AD2643A" w14:textId="49727414" w:rsidR="00C66A91" w:rsidRDefault="0020452F" w:rsidP="00251477">
      <w:pPr>
        <w:spacing w:line="360" w:lineRule="auto"/>
        <w:textAlignment w:val="baseline"/>
        <w:rPr>
          <w:rFonts w:eastAsia="Times New Roman" w:cstheme="minorHAnsi"/>
          <w:color w:val="000000" w:themeColor="text1"/>
        </w:rPr>
      </w:pPr>
      <w:r w:rsidRPr="00C66A91">
        <w:rPr>
          <w:rFonts w:eastAsia="Times New Roman" w:cstheme="minorHAnsi"/>
          <w:color w:val="000000" w:themeColor="text1"/>
        </w:rPr>
        <w:t>Covered entities may rely on professional ethics and best judgment in deciding which of these permissive uses and disclosures to make.</w:t>
      </w:r>
      <w:r w:rsidR="00980AFB">
        <w:rPr>
          <w:rStyle w:val="FootnoteReference"/>
          <w:rFonts w:eastAsia="Times New Roman" w:cstheme="minorHAnsi"/>
          <w:color w:val="000000" w:themeColor="text1"/>
        </w:rPr>
        <w:footnoteReference w:id="14"/>
      </w:r>
    </w:p>
    <w:p w14:paraId="5280ADF4" w14:textId="77777777" w:rsidR="00C66A91" w:rsidRDefault="00C66A91" w:rsidP="00D65000">
      <w:pPr>
        <w:spacing w:line="360" w:lineRule="auto"/>
        <w:textAlignment w:val="baseline"/>
        <w:rPr>
          <w:rFonts w:eastAsia="Times New Roman" w:cstheme="minorHAnsi"/>
          <w:color w:val="000000" w:themeColor="text1"/>
        </w:rPr>
      </w:pPr>
    </w:p>
    <w:p w14:paraId="43EB78B6" w14:textId="7A178EE9" w:rsidR="0020452F" w:rsidRDefault="0020452F" w:rsidP="00C66A91">
      <w:pPr>
        <w:spacing w:after="120" w:line="360" w:lineRule="auto"/>
        <w:textAlignment w:val="baseline"/>
        <w:rPr>
          <w:rFonts w:eastAsia="Times New Roman" w:cstheme="minorHAnsi"/>
          <w:color w:val="000000" w:themeColor="text1"/>
        </w:rPr>
      </w:pPr>
      <w:r w:rsidRPr="00C66A91">
        <w:rPr>
          <w:rFonts w:eastAsia="Times New Roman" w:cstheme="minorHAnsi"/>
          <w:b/>
          <w:i/>
          <w:iCs/>
          <w:color w:val="000000" w:themeColor="text1"/>
          <w:bdr w:val="none" w:sz="0" w:space="0" w:color="auto" w:frame="1"/>
        </w:rPr>
        <w:t>Disclosures for Public Interest and Benefit Activities</w:t>
      </w:r>
      <w:r w:rsidR="00980AFB">
        <w:rPr>
          <w:rFonts w:eastAsia="Times New Roman" w:cstheme="minorHAnsi"/>
          <w:b/>
          <w:i/>
          <w:iCs/>
          <w:color w:val="000000" w:themeColor="text1"/>
          <w:bdr w:val="none" w:sz="0" w:space="0" w:color="auto" w:frame="1"/>
        </w:rPr>
        <w:t xml:space="preserve"> – </w:t>
      </w:r>
      <w:r w:rsidRPr="00C66A91">
        <w:rPr>
          <w:rFonts w:eastAsia="Times New Roman" w:cstheme="minorHAnsi"/>
          <w:color w:val="000000" w:themeColor="text1"/>
        </w:rPr>
        <w:t xml:space="preserve">The Privacy Rule permits use and disclosure of PHI without an individual’s authorization for public purposes. The rule allows, but does not require, these disclosures to recognize the important uses for health information beyond the realm of healthcare. Several of these exceptions are described below. (Figure 1 lists </w:t>
      </w:r>
      <w:r w:rsidR="00980AFB" w:rsidRPr="00C66A91">
        <w:rPr>
          <w:rFonts w:eastAsia="Times New Roman" w:cstheme="minorHAnsi"/>
          <w:color w:val="000000" w:themeColor="text1"/>
        </w:rPr>
        <w:t>all</w:t>
      </w:r>
      <w:r w:rsidRPr="00C66A91">
        <w:rPr>
          <w:rFonts w:eastAsia="Times New Roman" w:cstheme="minorHAnsi"/>
          <w:color w:val="000000" w:themeColor="text1"/>
        </w:rPr>
        <w:t xml:space="preserve"> </w:t>
      </w:r>
      <w:r w:rsidR="00980AFB">
        <w:rPr>
          <w:rFonts w:eastAsia="Times New Roman" w:cstheme="minorHAnsi"/>
          <w:color w:val="000000" w:themeColor="text1"/>
        </w:rPr>
        <w:t>twelve</w:t>
      </w:r>
      <w:r w:rsidRPr="00C66A91">
        <w:rPr>
          <w:rFonts w:eastAsia="Times New Roman" w:cstheme="minorHAnsi"/>
          <w:color w:val="000000" w:themeColor="text1"/>
        </w:rPr>
        <w:t xml:space="preserve"> public purposes in the Privacy Rule.)</w:t>
      </w:r>
    </w:p>
    <w:p w14:paraId="3B82A6B9" w14:textId="5E48A120" w:rsidR="0020452F" w:rsidRPr="00C624D4" w:rsidRDefault="0020452F" w:rsidP="0072096E">
      <w:pPr>
        <w:pStyle w:val="ListParagraph"/>
        <w:numPr>
          <w:ilvl w:val="0"/>
          <w:numId w:val="1"/>
        </w:numPr>
        <w:spacing w:after="120" w:line="360" w:lineRule="auto"/>
        <w:contextualSpacing w:val="0"/>
        <w:textAlignment w:val="baseline"/>
        <w:rPr>
          <w:rFonts w:eastAsia="Times New Roman" w:cstheme="minorHAnsi"/>
          <w:color w:val="000000" w:themeColor="text1"/>
        </w:rPr>
      </w:pPr>
      <w:r w:rsidRPr="00C624D4">
        <w:rPr>
          <w:rFonts w:eastAsia="Times New Roman" w:cstheme="minorHAnsi"/>
          <w:i/>
          <w:color w:val="000000" w:themeColor="text1"/>
        </w:rPr>
        <w:lastRenderedPageBreak/>
        <w:t>Public Health Activities—</w:t>
      </w:r>
      <w:r w:rsidRPr="00C624D4">
        <w:rPr>
          <w:rFonts w:eastAsia="Times New Roman" w:cstheme="minorHAnsi"/>
          <w:color w:val="000000" w:themeColor="text1"/>
        </w:rPr>
        <w:t xml:space="preserve">Covered entities </w:t>
      </w:r>
      <w:proofErr w:type="gramStart"/>
      <w:r w:rsidRPr="00C624D4">
        <w:rPr>
          <w:rFonts w:eastAsia="Times New Roman" w:cstheme="minorHAnsi"/>
          <w:color w:val="000000" w:themeColor="text1"/>
        </w:rPr>
        <w:t>are allowed to</w:t>
      </w:r>
      <w:proofErr w:type="gramEnd"/>
      <w:r w:rsidRPr="00C624D4">
        <w:rPr>
          <w:rFonts w:eastAsia="Times New Roman" w:cstheme="minorHAnsi"/>
          <w:color w:val="000000" w:themeColor="text1"/>
        </w:rPr>
        <w:t xml:space="preserve"> disclose PHI for a variety of public health activities identified in the Privacy Rule. The rule allows disclosure to</w:t>
      </w:r>
      <w:r w:rsidR="002074C9">
        <w:rPr>
          <w:rStyle w:val="FootnoteReference"/>
          <w:rFonts w:eastAsia="Times New Roman" w:cstheme="minorHAnsi"/>
          <w:color w:val="000000" w:themeColor="text1"/>
        </w:rPr>
        <w:footnoteReference w:id="15"/>
      </w:r>
      <w:r w:rsidRPr="00C624D4">
        <w:rPr>
          <w:rFonts w:eastAsia="Times New Roman" w:cstheme="minorHAnsi"/>
          <w:color w:val="000000" w:themeColor="text1"/>
        </w:rPr>
        <w:t>:</w:t>
      </w:r>
    </w:p>
    <w:p w14:paraId="1E42E16C" w14:textId="235A2E14" w:rsidR="0020452F" w:rsidRPr="00F23BDC" w:rsidRDefault="0020452F" w:rsidP="0072096E">
      <w:pPr>
        <w:numPr>
          <w:ilvl w:val="1"/>
          <w:numId w:val="1"/>
        </w:numPr>
        <w:spacing w:after="120" w:line="360" w:lineRule="auto"/>
        <w:textAlignment w:val="baseline"/>
        <w:rPr>
          <w:rFonts w:eastAsia="Times New Roman" w:cstheme="minorHAnsi"/>
          <w:color w:val="000000" w:themeColor="text1"/>
        </w:rPr>
      </w:pPr>
      <w:r w:rsidRPr="00F23BDC">
        <w:rPr>
          <w:rFonts w:eastAsia="Times New Roman" w:cstheme="minorHAnsi"/>
          <w:color w:val="000000" w:themeColor="text1"/>
        </w:rPr>
        <w:t>Public health officials authorized by law to collect or receive PHI for preventing or controlling disease, injury, or disability.</w:t>
      </w:r>
    </w:p>
    <w:p w14:paraId="06CEBA63" w14:textId="55A68CDB" w:rsidR="0020452F" w:rsidRPr="00F23BDC" w:rsidRDefault="0020452F" w:rsidP="0072096E">
      <w:pPr>
        <w:numPr>
          <w:ilvl w:val="1"/>
          <w:numId w:val="1"/>
        </w:numPr>
        <w:spacing w:after="120" w:line="360" w:lineRule="auto"/>
        <w:textAlignment w:val="baseline"/>
        <w:rPr>
          <w:rFonts w:eastAsia="Times New Roman" w:cstheme="minorHAnsi"/>
          <w:color w:val="000000" w:themeColor="text1"/>
        </w:rPr>
      </w:pPr>
      <w:r w:rsidRPr="00F23BDC">
        <w:rPr>
          <w:rFonts w:eastAsia="Times New Roman" w:cstheme="minorHAnsi"/>
          <w:color w:val="000000" w:themeColor="text1"/>
        </w:rPr>
        <w:t>Public health or other government officials authorized to receive reports of child abuse and neglect.</w:t>
      </w:r>
    </w:p>
    <w:p w14:paraId="43D12CC0" w14:textId="7176945C" w:rsidR="0020452F" w:rsidRPr="00F23BDC" w:rsidRDefault="0020452F" w:rsidP="0072096E">
      <w:pPr>
        <w:numPr>
          <w:ilvl w:val="1"/>
          <w:numId w:val="1"/>
        </w:numPr>
        <w:spacing w:after="120" w:line="360" w:lineRule="auto"/>
        <w:textAlignment w:val="baseline"/>
        <w:rPr>
          <w:rFonts w:eastAsia="Times New Roman" w:cstheme="minorHAnsi"/>
          <w:color w:val="000000" w:themeColor="text1"/>
        </w:rPr>
      </w:pPr>
      <w:r w:rsidRPr="00F23BDC">
        <w:rPr>
          <w:rFonts w:eastAsia="Times New Roman" w:cstheme="minorHAnsi"/>
          <w:color w:val="000000" w:themeColor="text1"/>
        </w:rPr>
        <w:t>Persons and entities subject to FDA regulation regarding FDA-regulated products or activities for purposes such as adverse event reporting, tracking of products, product recalls, and post-marketing surveillance.</w:t>
      </w:r>
    </w:p>
    <w:p w14:paraId="4AAE91D9" w14:textId="6D266F5A" w:rsidR="0020452F" w:rsidRPr="00F23BDC" w:rsidRDefault="0020452F" w:rsidP="0072096E">
      <w:pPr>
        <w:numPr>
          <w:ilvl w:val="1"/>
          <w:numId w:val="1"/>
        </w:numPr>
        <w:spacing w:after="120" w:line="360" w:lineRule="auto"/>
        <w:textAlignment w:val="baseline"/>
        <w:rPr>
          <w:rFonts w:eastAsia="Times New Roman" w:cstheme="minorHAnsi"/>
          <w:color w:val="000000" w:themeColor="text1"/>
        </w:rPr>
      </w:pPr>
      <w:r w:rsidRPr="00F23BDC">
        <w:rPr>
          <w:rFonts w:eastAsia="Times New Roman" w:cstheme="minorHAnsi"/>
          <w:color w:val="000000" w:themeColor="text1"/>
        </w:rPr>
        <w:t>Persons who may have contracted or been exposed to a communicable disease when notification is authorized by law.</w:t>
      </w:r>
    </w:p>
    <w:p w14:paraId="261E1257" w14:textId="768AB91E" w:rsidR="0020452F" w:rsidRPr="00F23BDC" w:rsidRDefault="0020452F" w:rsidP="00726A45">
      <w:pPr>
        <w:numPr>
          <w:ilvl w:val="1"/>
          <w:numId w:val="1"/>
        </w:numPr>
        <w:spacing w:after="120" w:line="360" w:lineRule="auto"/>
        <w:textAlignment w:val="baseline"/>
        <w:rPr>
          <w:rFonts w:eastAsia="Times New Roman" w:cstheme="minorHAnsi"/>
          <w:color w:val="000000" w:themeColor="text1"/>
        </w:rPr>
      </w:pPr>
      <w:r w:rsidRPr="00F23BDC">
        <w:rPr>
          <w:rFonts w:eastAsia="Times New Roman" w:cstheme="minorHAnsi"/>
          <w:color w:val="000000" w:themeColor="text1"/>
        </w:rPr>
        <w:t>Employers who request information about their employees’ work-related illnesses or injuries or workplace-related medical surveillance data when this information is needed by the employer to comply with the Occupational Safety and Health Administration (OSHA), the Mine Safety and Health Administration (MSHA), or similar state laws.</w:t>
      </w:r>
    </w:p>
    <w:p w14:paraId="59D88330" w14:textId="3F8B0737" w:rsidR="0020452F" w:rsidRPr="004443A8" w:rsidRDefault="0020452F" w:rsidP="00726A45">
      <w:pPr>
        <w:pStyle w:val="ListParagraph"/>
        <w:numPr>
          <w:ilvl w:val="0"/>
          <w:numId w:val="1"/>
        </w:numPr>
        <w:spacing w:after="120" w:line="360" w:lineRule="auto"/>
        <w:contextualSpacing w:val="0"/>
        <w:textAlignment w:val="baseline"/>
        <w:rPr>
          <w:rFonts w:eastAsia="Times New Roman" w:cstheme="minorHAnsi"/>
          <w:color w:val="000000" w:themeColor="text1"/>
        </w:rPr>
      </w:pPr>
      <w:r w:rsidRPr="00C624D4">
        <w:rPr>
          <w:rFonts w:eastAsia="Times New Roman" w:cstheme="minorHAnsi"/>
          <w:i/>
          <w:color w:val="000000" w:themeColor="text1"/>
        </w:rPr>
        <w:t>Serious Threat to Health or Safety—</w:t>
      </w:r>
      <w:r w:rsidRPr="00C624D4">
        <w:rPr>
          <w:rFonts w:eastAsia="Times New Roman" w:cstheme="minorHAnsi"/>
          <w:color w:val="000000" w:themeColor="text1"/>
        </w:rPr>
        <w:t>The Privacy Rule allows covered entities to disclose PHI they believe is necessary to prevent or lessen a serious and imminent threat to a person or the public when such disclosure is made to someone they believe can prevent or lessen the threat (including the target of the threat). Covered entities may also disclose to law enforcement if the information is needed to identify or apprehend an escapee or violent criminal.</w:t>
      </w:r>
      <w:r w:rsidR="002074C9">
        <w:rPr>
          <w:rStyle w:val="FootnoteReference"/>
          <w:rFonts w:eastAsia="Times New Roman" w:cstheme="minorHAnsi"/>
          <w:color w:val="000000" w:themeColor="text1"/>
        </w:rPr>
        <w:footnoteReference w:id="16"/>
      </w:r>
    </w:p>
    <w:p w14:paraId="5200A310" w14:textId="29C422E6" w:rsidR="00C66A91" w:rsidRDefault="0020452F" w:rsidP="00E648E7">
      <w:pPr>
        <w:pStyle w:val="ListParagraph"/>
        <w:numPr>
          <w:ilvl w:val="0"/>
          <w:numId w:val="1"/>
        </w:numPr>
        <w:spacing w:after="120" w:line="360" w:lineRule="auto"/>
        <w:contextualSpacing w:val="0"/>
        <w:textAlignment w:val="baseline"/>
        <w:rPr>
          <w:rFonts w:eastAsia="Times New Roman" w:cstheme="minorHAnsi"/>
          <w:color w:val="000000" w:themeColor="text1"/>
        </w:rPr>
      </w:pPr>
      <w:r w:rsidRPr="00C624D4">
        <w:rPr>
          <w:rFonts w:eastAsia="Times New Roman" w:cstheme="minorHAnsi"/>
          <w:i/>
          <w:color w:val="000000" w:themeColor="text1"/>
        </w:rPr>
        <w:t>Judicial and Administrative Proceedings—</w:t>
      </w:r>
      <w:r w:rsidRPr="00C624D4">
        <w:rPr>
          <w:rFonts w:eastAsia="Times New Roman" w:cstheme="minorHAnsi"/>
          <w:color w:val="000000" w:themeColor="text1"/>
        </w:rPr>
        <w:t>The Privacy Rule permits covered entities to disclose protected health information in a judicial or administrative proceeding if the request for the information is through an order from a court or administrative tribunal.</w:t>
      </w:r>
      <w:r w:rsidR="002074C9">
        <w:rPr>
          <w:rStyle w:val="FootnoteReference"/>
          <w:rFonts w:eastAsia="Times New Roman" w:cstheme="minorHAnsi"/>
          <w:color w:val="000000" w:themeColor="text1"/>
        </w:rPr>
        <w:footnoteReference w:id="17"/>
      </w:r>
    </w:p>
    <w:p w14:paraId="5EA5D416" w14:textId="53BE4600" w:rsidR="00922E9C" w:rsidRPr="00FF4F38" w:rsidRDefault="00FC5C03" w:rsidP="00FF4F38">
      <w:pPr>
        <w:pStyle w:val="ListParagraph"/>
        <w:numPr>
          <w:ilvl w:val="0"/>
          <w:numId w:val="1"/>
        </w:numPr>
        <w:spacing w:after="120" w:line="360" w:lineRule="auto"/>
        <w:contextualSpacing w:val="0"/>
        <w:rPr>
          <w:rFonts w:eastAsia="Times New Roman" w:cstheme="minorHAnsi"/>
          <w:b/>
          <w:bCs/>
          <w:color w:val="000000" w:themeColor="text1"/>
        </w:rPr>
      </w:pPr>
      <w:r w:rsidRPr="00FF4F38">
        <w:rPr>
          <w:rFonts w:eastAsia="Times New Roman" w:cstheme="minorHAnsi"/>
          <w:i/>
          <w:iCs/>
          <w:color w:val="000000" w:themeColor="text1"/>
        </w:rPr>
        <w:lastRenderedPageBreak/>
        <w:t xml:space="preserve">Law </w:t>
      </w:r>
      <w:r w:rsidRPr="00FF4F38">
        <w:rPr>
          <w:rFonts w:eastAsia="Times New Roman" w:cstheme="minorHAnsi"/>
          <w:i/>
          <w:iCs/>
          <w:color w:val="000000" w:themeColor="text1"/>
        </w:rPr>
        <w:t>Enforcement Purposes</w:t>
      </w:r>
      <w:r w:rsidRPr="00FF4F38">
        <w:rPr>
          <w:rFonts w:eastAsia="Times New Roman" w:cstheme="minorHAnsi"/>
          <w:color w:val="000000" w:themeColor="text1"/>
        </w:rPr>
        <w:t>—</w:t>
      </w:r>
      <w:r w:rsidR="00BF7254" w:rsidRPr="00FF4F38">
        <w:rPr>
          <w:rFonts w:eastAsia="Times New Roman" w:cstheme="minorHAnsi"/>
          <w:color w:val="000000" w:themeColor="text1"/>
        </w:rPr>
        <w:t xml:space="preserve">The Privacy Rule also permits covered entities to disclose PHI to law enforcement officials without the individual's authorization under specific circumstances </w:t>
      </w:r>
      <w:r w:rsidR="004B604B" w:rsidRPr="00FF4F38">
        <w:rPr>
          <w:rFonts w:eastAsia="Times New Roman" w:cstheme="minorHAnsi"/>
          <w:color w:val="000000" w:themeColor="text1"/>
        </w:rPr>
        <w:t>including</w:t>
      </w:r>
      <w:r w:rsidR="00EA5146" w:rsidRPr="00FF4F38">
        <w:rPr>
          <w:rFonts w:eastAsia="Times New Roman" w:cstheme="minorHAnsi"/>
          <w:color w:val="000000" w:themeColor="text1"/>
        </w:rPr>
        <w:t>:</w:t>
      </w:r>
      <w:r w:rsidR="00DA0309" w:rsidRPr="00FF4F38">
        <w:rPr>
          <w:rFonts w:eastAsia="Times New Roman" w:cstheme="minorHAnsi"/>
          <w:color w:val="000000" w:themeColor="text1"/>
        </w:rPr>
        <w:t xml:space="preserve"> </w:t>
      </w:r>
      <w:r w:rsidR="00757F54" w:rsidRPr="00DA0309">
        <w:rPr>
          <w:rFonts w:eastAsia="Times New Roman" w:cstheme="minorHAnsi"/>
          <w:color w:val="000000" w:themeColor="text1"/>
          <w:vertAlign w:val="superscript"/>
        </w:rPr>
        <w:footnoteReference w:id="18"/>
      </w:r>
      <w:r w:rsidR="00922E9C" w:rsidRPr="00FF4F38">
        <w:rPr>
          <w:rFonts w:eastAsia="Times New Roman" w:cstheme="minorHAnsi"/>
          <w:color w:val="000000" w:themeColor="text1"/>
        </w:rPr>
        <w:t xml:space="preserve"> </w:t>
      </w:r>
    </w:p>
    <w:p w14:paraId="7F007CEC" w14:textId="77777777" w:rsidR="009968B6" w:rsidRPr="009968B6" w:rsidRDefault="00EA5146" w:rsidP="00FF4F38">
      <w:pPr>
        <w:pStyle w:val="ListParagraph"/>
        <w:numPr>
          <w:ilvl w:val="1"/>
          <w:numId w:val="1"/>
        </w:numPr>
        <w:spacing w:after="120" w:line="360" w:lineRule="auto"/>
        <w:contextualSpacing w:val="0"/>
        <w:rPr>
          <w:rFonts w:eastAsia="Times New Roman" w:cstheme="minorHAnsi"/>
          <w:b/>
          <w:bCs/>
          <w:color w:val="000000" w:themeColor="text1"/>
        </w:rPr>
      </w:pPr>
      <w:r w:rsidRPr="004B604B">
        <w:rPr>
          <w:rFonts w:ascii="Calibri" w:eastAsia="Times New Roman" w:hAnsi="Calibri" w:cs="Calibri"/>
          <w:bdr w:val="none" w:sz="0" w:space="0" w:color="auto" w:frame="1"/>
        </w:rPr>
        <w:t>To report PHI to law enforcement when required by law to do so.</w:t>
      </w:r>
      <w:r w:rsidRPr="004B604B">
        <w:rPr>
          <w:rStyle w:val="FootnoteReference"/>
          <w:rFonts w:ascii="Calibri" w:eastAsia="Times New Roman" w:hAnsi="Calibri" w:cs="Calibri"/>
          <w:bdr w:val="none" w:sz="0" w:space="0" w:color="auto" w:frame="1"/>
        </w:rPr>
        <w:footnoteReference w:id="19"/>
      </w:r>
      <w:r w:rsidRPr="00922E9C">
        <w:rPr>
          <w:rFonts w:ascii="Calibri" w:eastAsia="Times New Roman" w:hAnsi="Calibri" w:cs="Calibri"/>
          <w:bdr w:val="none" w:sz="0" w:space="0" w:color="auto" w:frame="1"/>
        </w:rPr>
        <w:t xml:space="preserve"> </w:t>
      </w:r>
    </w:p>
    <w:p w14:paraId="19A64E29" w14:textId="77777777" w:rsidR="009968B6" w:rsidRPr="009968B6" w:rsidRDefault="00EA5146" w:rsidP="00FF4F38">
      <w:pPr>
        <w:pStyle w:val="ListParagraph"/>
        <w:numPr>
          <w:ilvl w:val="1"/>
          <w:numId w:val="1"/>
        </w:numPr>
        <w:spacing w:after="120" w:line="360" w:lineRule="auto"/>
        <w:contextualSpacing w:val="0"/>
        <w:rPr>
          <w:rFonts w:eastAsia="Times New Roman" w:cstheme="minorHAnsi"/>
          <w:b/>
          <w:bCs/>
          <w:color w:val="000000" w:themeColor="text1"/>
        </w:rPr>
      </w:pPr>
      <w:r w:rsidRPr="009968B6">
        <w:rPr>
          <w:rFonts w:ascii="Calibri" w:eastAsia="Times New Roman" w:hAnsi="Calibri" w:cs="Calibri"/>
          <w:bdr w:val="none" w:sz="0" w:space="0" w:color="auto" w:frame="1"/>
        </w:rPr>
        <w:t>To comply with a court order or court-ordered warrant, a subpoena or summons issued by a judicial officer, or a grand jury subpoena.</w:t>
      </w:r>
      <w:r w:rsidRPr="009968B6">
        <w:rPr>
          <w:rStyle w:val="FootnoteReference"/>
          <w:rFonts w:ascii="Calibri" w:eastAsia="Times New Roman" w:hAnsi="Calibri" w:cs="Calibri"/>
          <w:bdr w:val="none" w:sz="0" w:space="0" w:color="auto" w:frame="1"/>
        </w:rPr>
        <w:footnoteReference w:id="20"/>
      </w:r>
      <w:r w:rsidRPr="009968B6">
        <w:rPr>
          <w:rFonts w:ascii="Calibri" w:eastAsia="Times New Roman" w:hAnsi="Calibri" w:cs="Calibri"/>
          <w:bdr w:val="none" w:sz="0" w:space="0" w:color="auto" w:frame="1"/>
        </w:rPr>
        <w:t xml:space="preserve"> </w:t>
      </w:r>
    </w:p>
    <w:p w14:paraId="0FC8745A" w14:textId="77777777" w:rsidR="009968B6" w:rsidRPr="009968B6" w:rsidRDefault="00EA5146" w:rsidP="00FF4F38">
      <w:pPr>
        <w:pStyle w:val="ListParagraph"/>
        <w:numPr>
          <w:ilvl w:val="1"/>
          <w:numId w:val="1"/>
        </w:numPr>
        <w:spacing w:after="120" w:line="360" w:lineRule="auto"/>
        <w:contextualSpacing w:val="0"/>
        <w:rPr>
          <w:rFonts w:eastAsia="Times New Roman" w:cstheme="minorHAnsi"/>
          <w:color w:val="000000" w:themeColor="text1"/>
        </w:rPr>
      </w:pPr>
      <w:r w:rsidRPr="009968B6">
        <w:rPr>
          <w:rFonts w:ascii="Calibri" w:eastAsia="Times New Roman" w:hAnsi="Calibri" w:cs="Calibri"/>
          <w:bdr w:val="none" w:sz="0" w:space="0" w:color="auto" w:frame="1"/>
        </w:rPr>
        <w:t>To respond to an administrative request</w:t>
      </w:r>
      <w:r w:rsidRPr="009968B6">
        <w:rPr>
          <w:rFonts w:ascii="Calibri" w:eastAsia="Times New Roman" w:hAnsi="Calibri" w:cs="Calibri"/>
        </w:rPr>
        <w:t>, including an administrative subpoena or summons, a civil or authorized investigative demand, or similar process authorized by law.</w:t>
      </w:r>
      <w:r>
        <w:rPr>
          <w:rStyle w:val="FootnoteReference"/>
          <w:rFonts w:ascii="Calibri" w:eastAsia="Times New Roman" w:hAnsi="Calibri" w:cs="Calibri"/>
        </w:rPr>
        <w:footnoteReference w:id="21"/>
      </w:r>
      <w:r w:rsidRPr="009968B6">
        <w:rPr>
          <w:rFonts w:ascii="Calibri" w:eastAsia="Times New Roman" w:hAnsi="Calibri" w:cs="Calibri"/>
          <w:bdr w:val="none" w:sz="0" w:space="0" w:color="auto" w:frame="1"/>
        </w:rPr>
        <w:t xml:space="preserve"> </w:t>
      </w:r>
    </w:p>
    <w:p w14:paraId="4526F808" w14:textId="77777777" w:rsidR="009968B6" w:rsidRPr="009968B6" w:rsidRDefault="00EA5146" w:rsidP="00FF4F38">
      <w:pPr>
        <w:pStyle w:val="ListParagraph"/>
        <w:numPr>
          <w:ilvl w:val="1"/>
          <w:numId w:val="1"/>
        </w:numPr>
        <w:spacing w:after="120" w:line="360" w:lineRule="auto"/>
        <w:contextualSpacing w:val="0"/>
        <w:textAlignment w:val="baseline"/>
        <w:rPr>
          <w:rFonts w:ascii="Calibri" w:eastAsia="Times New Roman" w:hAnsi="Calibri" w:cs="Calibri"/>
        </w:rPr>
      </w:pPr>
      <w:r w:rsidRPr="009968B6">
        <w:rPr>
          <w:rFonts w:ascii="Calibri" w:eastAsia="Times New Roman" w:hAnsi="Calibri" w:cs="Calibri"/>
          <w:bdr w:val="none" w:sz="0" w:space="0" w:color="auto" w:frame="1"/>
        </w:rPr>
        <w:t>To respond to a request for PHI for purposes of identifying or locating a suspect, fugitive, material witness, or missing person.</w:t>
      </w:r>
      <w:r w:rsidRPr="009968B6">
        <w:rPr>
          <w:rStyle w:val="FootnoteReference"/>
          <w:rFonts w:ascii="Calibri" w:eastAsia="Times New Roman" w:hAnsi="Calibri" w:cs="Calibri"/>
          <w:bdr w:val="none" w:sz="0" w:space="0" w:color="auto" w:frame="1"/>
        </w:rPr>
        <w:footnoteReference w:id="22"/>
      </w:r>
      <w:r w:rsidRPr="009968B6">
        <w:rPr>
          <w:rFonts w:ascii="Calibri" w:eastAsia="Times New Roman" w:hAnsi="Calibri" w:cs="Calibri"/>
          <w:bdr w:val="none" w:sz="0" w:space="0" w:color="auto" w:frame="1"/>
        </w:rPr>
        <w:t xml:space="preserve"> </w:t>
      </w:r>
    </w:p>
    <w:p w14:paraId="739EC871" w14:textId="77777777" w:rsidR="009968B6" w:rsidRPr="009968B6" w:rsidRDefault="00EA5146" w:rsidP="00FF4F38">
      <w:pPr>
        <w:pStyle w:val="ListParagraph"/>
        <w:numPr>
          <w:ilvl w:val="1"/>
          <w:numId w:val="1"/>
        </w:numPr>
        <w:spacing w:after="120" w:line="360" w:lineRule="auto"/>
        <w:contextualSpacing w:val="0"/>
        <w:textAlignment w:val="baseline"/>
        <w:rPr>
          <w:rFonts w:ascii="Calibri" w:eastAsia="Times New Roman" w:hAnsi="Calibri" w:cs="Calibri"/>
        </w:rPr>
      </w:pPr>
      <w:r w:rsidRPr="009968B6">
        <w:rPr>
          <w:rFonts w:ascii="Calibri" w:eastAsia="Times New Roman" w:hAnsi="Calibri" w:cs="Calibri"/>
          <w:bdr w:val="none" w:sz="0" w:space="0" w:color="auto" w:frame="1"/>
        </w:rPr>
        <w:t>When information about a suspected perpetrator of a crime is disclosed when the report is made by the victim who is a member of the covered entity's workforce.</w:t>
      </w:r>
      <w:r w:rsidRPr="009968B6">
        <w:rPr>
          <w:rStyle w:val="FootnoteReference"/>
          <w:rFonts w:ascii="Calibri" w:eastAsia="Times New Roman" w:hAnsi="Calibri" w:cs="Calibri"/>
          <w:bdr w:val="none" w:sz="0" w:space="0" w:color="auto" w:frame="1"/>
        </w:rPr>
        <w:footnoteReference w:id="23"/>
      </w:r>
    </w:p>
    <w:p w14:paraId="4ECD8EE1" w14:textId="77777777" w:rsidR="0045077B" w:rsidRPr="0045077B" w:rsidRDefault="00EA5146" w:rsidP="00FF4F38">
      <w:pPr>
        <w:pStyle w:val="ListParagraph"/>
        <w:numPr>
          <w:ilvl w:val="1"/>
          <w:numId w:val="1"/>
        </w:numPr>
        <w:spacing w:after="120" w:line="360" w:lineRule="auto"/>
        <w:contextualSpacing w:val="0"/>
        <w:textAlignment w:val="baseline"/>
        <w:rPr>
          <w:rFonts w:ascii="Calibri" w:eastAsia="Times New Roman" w:hAnsi="Calibri" w:cs="Calibri"/>
        </w:rPr>
      </w:pPr>
      <w:r w:rsidRPr="009968B6">
        <w:rPr>
          <w:rFonts w:ascii="Calibri" w:eastAsia="Times New Roman" w:hAnsi="Calibri" w:cs="Calibri"/>
          <w:bdr w:val="none" w:sz="0" w:space="0" w:color="auto" w:frame="1"/>
        </w:rPr>
        <w:t>To respond to a request for PHI about a victim of a crime when the victim agrees.</w:t>
      </w:r>
      <w:r w:rsidRPr="001E0FCC">
        <w:rPr>
          <w:rStyle w:val="FootnoteReference"/>
          <w:rFonts w:ascii="Calibri" w:eastAsia="Times New Roman" w:hAnsi="Calibri" w:cs="Calibri"/>
          <w:bdr w:val="none" w:sz="0" w:space="0" w:color="auto" w:frame="1"/>
        </w:rPr>
        <w:footnoteReference w:id="24"/>
      </w:r>
    </w:p>
    <w:p w14:paraId="79D39328" w14:textId="77777777" w:rsidR="0045077B" w:rsidRDefault="00EA5146" w:rsidP="00FF4F38">
      <w:pPr>
        <w:pStyle w:val="ListParagraph"/>
        <w:numPr>
          <w:ilvl w:val="1"/>
          <w:numId w:val="1"/>
        </w:numPr>
        <w:spacing w:after="120" w:line="360" w:lineRule="auto"/>
        <w:contextualSpacing w:val="0"/>
        <w:textAlignment w:val="baseline"/>
        <w:rPr>
          <w:rFonts w:ascii="Calibri" w:eastAsia="Times New Roman" w:hAnsi="Calibri" w:cs="Calibri"/>
        </w:rPr>
      </w:pPr>
      <w:r w:rsidRPr="0045077B">
        <w:rPr>
          <w:rFonts w:ascii="Calibri" w:eastAsia="Times New Roman" w:hAnsi="Calibri" w:cs="Calibri"/>
          <w:bdr w:val="none" w:sz="0" w:space="0" w:color="auto" w:frame="1"/>
        </w:rPr>
        <w:lastRenderedPageBreak/>
        <w:t>To alert law enforcement to the death of an individual</w:t>
      </w:r>
      <w:r w:rsidRPr="0045077B">
        <w:rPr>
          <w:rFonts w:ascii="Calibri" w:eastAsia="Times New Roman" w:hAnsi="Calibri" w:cs="Calibri"/>
        </w:rPr>
        <w:t>,</w:t>
      </w:r>
      <w:r w:rsidRPr="00D749A4">
        <w:rPr>
          <w:rFonts w:ascii="Calibri" w:eastAsia="Times New Roman" w:hAnsi="Calibri" w:cs="Calibri"/>
        </w:rPr>
        <w:t xml:space="preserve"> when there is a suspicion that death resulted from criminal conduct.</w:t>
      </w:r>
      <w:r>
        <w:rPr>
          <w:rStyle w:val="FootnoteReference"/>
          <w:rFonts w:ascii="Calibri" w:eastAsia="Times New Roman" w:hAnsi="Calibri" w:cs="Calibri"/>
        </w:rPr>
        <w:footnoteReference w:id="25"/>
      </w:r>
    </w:p>
    <w:p w14:paraId="05376366" w14:textId="77777777" w:rsidR="0045077B" w:rsidRPr="0045077B" w:rsidRDefault="00EA5146" w:rsidP="00FF4F38">
      <w:pPr>
        <w:pStyle w:val="ListParagraph"/>
        <w:numPr>
          <w:ilvl w:val="1"/>
          <w:numId w:val="1"/>
        </w:numPr>
        <w:spacing w:after="120" w:line="360" w:lineRule="auto"/>
        <w:contextualSpacing w:val="0"/>
        <w:textAlignment w:val="baseline"/>
        <w:rPr>
          <w:rFonts w:ascii="Calibri" w:eastAsia="Times New Roman" w:hAnsi="Calibri" w:cs="Calibri"/>
        </w:rPr>
      </w:pPr>
      <w:r w:rsidRPr="0045077B">
        <w:rPr>
          <w:rFonts w:ascii="Calibri" w:eastAsia="Times New Roman" w:hAnsi="Calibri" w:cs="Calibri"/>
          <w:bdr w:val="none" w:sz="0" w:space="0" w:color="auto" w:frame="1"/>
        </w:rPr>
        <w:t>To report PHI that the covered entity in good faith believes to be evidence of a crime that occurred on the covered entity's premises.</w:t>
      </w:r>
      <w:r w:rsidRPr="0045077B">
        <w:rPr>
          <w:rStyle w:val="FootnoteReference"/>
          <w:rFonts w:ascii="Calibri" w:eastAsia="Times New Roman" w:hAnsi="Calibri" w:cs="Calibri"/>
        </w:rPr>
        <w:footnoteReference w:id="26"/>
      </w:r>
    </w:p>
    <w:p w14:paraId="2A19356B" w14:textId="5F5E75FB" w:rsidR="0045077B" w:rsidRDefault="00EA5146" w:rsidP="00FF4F38">
      <w:pPr>
        <w:pStyle w:val="ListParagraph"/>
        <w:numPr>
          <w:ilvl w:val="1"/>
          <w:numId w:val="1"/>
        </w:numPr>
        <w:spacing w:after="120" w:line="360" w:lineRule="auto"/>
        <w:contextualSpacing w:val="0"/>
        <w:textAlignment w:val="baseline"/>
        <w:rPr>
          <w:rFonts w:ascii="Calibri" w:eastAsia="Times New Roman" w:hAnsi="Calibri" w:cs="Calibri"/>
        </w:rPr>
      </w:pPr>
      <w:r w:rsidRPr="0045077B">
        <w:rPr>
          <w:rFonts w:ascii="Calibri" w:eastAsia="Times New Roman" w:hAnsi="Calibri" w:cs="Calibri"/>
          <w:bdr w:val="none" w:sz="0" w:space="0" w:color="auto" w:frame="1"/>
        </w:rPr>
        <w:t>When responding to an off-site medical emergency, as necessary to alert law enforcement about criminal activity</w:t>
      </w:r>
      <w:r w:rsidRPr="0045077B">
        <w:rPr>
          <w:rFonts w:ascii="Calibri" w:eastAsia="Times New Roman" w:hAnsi="Calibri" w:cs="Calibri"/>
        </w:rPr>
        <w:t>.</w:t>
      </w:r>
      <w:r>
        <w:rPr>
          <w:rStyle w:val="FootnoteReference"/>
          <w:rFonts w:ascii="Calibri" w:eastAsia="Times New Roman" w:hAnsi="Calibri" w:cs="Calibri"/>
        </w:rPr>
        <w:footnoteReference w:id="27"/>
      </w:r>
      <w:r w:rsidRPr="0045077B">
        <w:rPr>
          <w:rFonts w:ascii="Calibri" w:eastAsia="Times New Roman" w:hAnsi="Calibri" w:cs="Calibri"/>
        </w:rPr>
        <w:t>.</w:t>
      </w:r>
    </w:p>
    <w:p w14:paraId="2E92B0A8" w14:textId="77777777" w:rsidR="0045077B" w:rsidRPr="0045077B" w:rsidRDefault="00EA5146" w:rsidP="00FF4F38">
      <w:pPr>
        <w:pStyle w:val="ListParagraph"/>
        <w:numPr>
          <w:ilvl w:val="1"/>
          <w:numId w:val="1"/>
        </w:numPr>
        <w:spacing w:after="120" w:line="360" w:lineRule="auto"/>
        <w:contextualSpacing w:val="0"/>
        <w:textAlignment w:val="baseline"/>
        <w:rPr>
          <w:rFonts w:ascii="Calibri" w:eastAsia="Times New Roman" w:hAnsi="Calibri" w:cs="Calibri"/>
        </w:rPr>
      </w:pPr>
      <w:r w:rsidRPr="0045077B">
        <w:rPr>
          <w:rFonts w:ascii="Calibri" w:eastAsia="Times New Roman" w:hAnsi="Calibri" w:cs="Calibri"/>
          <w:bdr w:val="none" w:sz="0" w:space="0" w:color="auto" w:frame="1"/>
        </w:rPr>
        <w:t>To coroners or medical examiners to assist them in identifying the decedent, determining the cause of death, or to carry out their other authorized duties.</w:t>
      </w:r>
      <w:r w:rsidRPr="0045077B">
        <w:rPr>
          <w:rStyle w:val="FootnoteReference"/>
          <w:rFonts w:ascii="Calibri" w:eastAsia="Times New Roman" w:hAnsi="Calibri" w:cs="Calibri"/>
          <w:bdr w:val="none" w:sz="0" w:space="0" w:color="auto" w:frame="1"/>
        </w:rPr>
        <w:footnoteReference w:id="28"/>
      </w:r>
    </w:p>
    <w:p w14:paraId="08BAA45F" w14:textId="20F41BDD" w:rsidR="0045077B" w:rsidRDefault="00EA5146" w:rsidP="00FF4F38">
      <w:pPr>
        <w:pStyle w:val="ListParagraph"/>
        <w:numPr>
          <w:ilvl w:val="1"/>
          <w:numId w:val="1"/>
        </w:numPr>
        <w:spacing w:after="120" w:line="360" w:lineRule="auto"/>
        <w:contextualSpacing w:val="0"/>
        <w:textAlignment w:val="baseline"/>
        <w:rPr>
          <w:rFonts w:ascii="Calibri" w:eastAsia="Times New Roman" w:hAnsi="Calibri" w:cs="Calibri"/>
        </w:rPr>
      </w:pPr>
      <w:r w:rsidRPr="0045077B">
        <w:rPr>
          <w:rFonts w:ascii="Calibri" w:eastAsia="Times New Roman" w:hAnsi="Calibri" w:cs="Calibri"/>
          <w:bdr w:val="none" w:sz="0" w:space="0" w:color="auto" w:frame="1"/>
        </w:rPr>
        <w:t>To a law enforcement official reasonably able to</w:t>
      </w:r>
      <w:r w:rsidR="009E1F8A">
        <w:rPr>
          <w:rFonts w:ascii="Calibri" w:eastAsia="Times New Roman" w:hAnsi="Calibri" w:cs="Calibri"/>
        </w:rPr>
        <w:t xml:space="preserve"> </w:t>
      </w:r>
      <w:r w:rsidRPr="0045077B">
        <w:rPr>
          <w:rFonts w:ascii="Calibri" w:eastAsia="Times New Roman" w:hAnsi="Calibri" w:cs="Calibri"/>
          <w:bdr w:val="none" w:sz="0" w:space="0" w:color="auto" w:frame="1"/>
        </w:rPr>
        <w:t>prevent or lessen a serious and imminent threat to the health or safety of an individual or the public</w:t>
      </w:r>
      <w:r w:rsidRPr="0045077B">
        <w:rPr>
          <w:rFonts w:ascii="Calibri" w:eastAsia="Times New Roman" w:hAnsi="Calibri" w:cs="Calibri"/>
        </w:rPr>
        <w:t>.</w:t>
      </w:r>
      <w:r w:rsidRPr="0045077B">
        <w:rPr>
          <w:rStyle w:val="FootnoteReference"/>
          <w:rFonts w:ascii="Calibri" w:eastAsia="Times New Roman" w:hAnsi="Calibri" w:cs="Calibri"/>
        </w:rPr>
        <w:footnoteReference w:id="29"/>
      </w:r>
    </w:p>
    <w:p w14:paraId="5397BC8E" w14:textId="77777777" w:rsidR="0068033D" w:rsidRDefault="00EA5146" w:rsidP="00FF4F38">
      <w:pPr>
        <w:pStyle w:val="ListParagraph"/>
        <w:numPr>
          <w:ilvl w:val="1"/>
          <w:numId w:val="1"/>
        </w:numPr>
        <w:spacing w:after="120" w:line="360" w:lineRule="auto"/>
        <w:contextualSpacing w:val="0"/>
        <w:textAlignment w:val="baseline"/>
        <w:rPr>
          <w:rFonts w:ascii="Calibri" w:eastAsia="Times New Roman" w:hAnsi="Calibri" w:cs="Calibri"/>
        </w:rPr>
      </w:pPr>
      <w:r w:rsidRPr="0068033D">
        <w:rPr>
          <w:rFonts w:ascii="Calibri" w:eastAsia="Times New Roman" w:hAnsi="Calibri" w:cs="Calibri"/>
          <w:bdr w:val="none" w:sz="0" w:space="0" w:color="auto" w:frame="1"/>
        </w:rPr>
        <w:t>To identify or apprehend an individual who has admitted participation in a violent crime</w:t>
      </w:r>
      <w:r w:rsidR="0068033D">
        <w:rPr>
          <w:rFonts w:ascii="Calibri" w:eastAsia="Times New Roman" w:hAnsi="Calibri" w:cs="Calibri"/>
        </w:rPr>
        <w:t xml:space="preserve"> </w:t>
      </w:r>
      <w:r w:rsidRPr="0045077B">
        <w:rPr>
          <w:rFonts w:ascii="Calibri" w:eastAsia="Times New Roman" w:hAnsi="Calibri" w:cs="Calibri"/>
        </w:rPr>
        <w:t>that the covered entity reasonably believes may have caused serious physical harm to a victim, provided that the admission was not made in the course of or based on the individual's request for therapy, counseling, or treatment related to the propensity to commit this type of violent act.</w:t>
      </w:r>
      <w:r>
        <w:rPr>
          <w:rStyle w:val="FootnoteReference"/>
          <w:rFonts w:ascii="Calibri" w:eastAsia="Times New Roman" w:hAnsi="Calibri" w:cs="Calibri"/>
        </w:rPr>
        <w:footnoteReference w:id="30"/>
      </w:r>
    </w:p>
    <w:p w14:paraId="5D6F3341" w14:textId="77777777" w:rsidR="0068033D" w:rsidRPr="0068033D" w:rsidRDefault="00EA5146" w:rsidP="00FF4F38">
      <w:pPr>
        <w:pStyle w:val="ListParagraph"/>
        <w:numPr>
          <w:ilvl w:val="1"/>
          <w:numId w:val="1"/>
        </w:numPr>
        <w:spacing w:after="120" w:line="360" w:lineRule="auto"/>
        <w:contextualSpacing w:val="0"/>
        <w:textAlignment w:val="baseline"/>
        <w:rPr>
          <w:rFonts w:ascii="Calibri" w:eastAsia="Times New Roman" w:hAnsi="Calibri" w:cs="Calibri"/>
        </w:rPr>
      </w:pPr>
      <w:r w:rsidRPr="0068033D">
        <w:rPr>
          <w:rFonts w:ascii="Calibri" w:eastAsia="Times New Roman" w:hAnsi="Calibri" w:cs="Calibri"/>
          <w:bdr w:val="none" w:sz="0" w:space="0" w:color="auto" w:frame="1"/>
        </w:rPr>
        <w:t>To identify or apprehend an individual who appears to have escaped from lawful custody.</w:t>
      </w:r>
      <w:r w:rsidRPr="0068033D">
        <w:rPr>
          <w:rStyle w:val="FootnoteReference"/>
          <w:rFonts w:ascii="Calibri" w:eastAsia="Times New Roman" w:hAnsi="Calibri" w:cs="Calibri"/>
          <w:bdr w:val="none" w:sz="0" w:space="0" w:color="auto" w:frame="1"/>
        </w:rPr>
        <w:footnoteReference w:id="31"/>
      </w:r>
    </w:p>
    <w:p w14:paraId="4B7B2385" w14:textId="77777777" w:rsidR="0068033D" w:rsidRDefault="00EA5146" w:rsidP="00FF4F38">
      <w:pPr>
        <w:pStyle w:val="ListParagraph"/>
        <w:numPr>
          <w:ilvl w:val="1"/>
          <w:numId w:val="1"/>
        </w:numPr>
        <w:spacing w:after="120" w:line="360" w:lineRule="auto"/>
        <w:contextualSpacing w:val="0"/>
        <w:textAlignment w:val="baseline"/>
        <w:rPr>
          <w:rFonts w:ascii="Calibri" w:eastAsia="Times New Roman" w:hAnsi="Calibri" w:cs="Calibri"/>
        </w:rPr>
      </w:pPr>
      <w:r w:rsidRPr="0068033D">
        <w:rPr>
          <w:rFonts w:ascii="Calibri" w:eastAsia="Times New Roman" w:hAnsi="Calibri" w:cs="Calibri"/>
          <w:bdr w:val="none" w:sz="0" w:space="0" w:color="auto" w:frame="1"/>
        </w:rPr>
        <w:t>To federal officials authorized to conduct intelligence</w:t>
      </w:r>
      <w:r w:rsidRPr="0068033D">
        <w:rPr>
          <w:rFonts w:ascii="Calibri" w:eastAsia="Times New Roman" w:hAnsi="Calibri" w:cs="Calibri"/>
        </w:rPr>
        <w:t>, counterintelligence, and other national security activities under the National Security Act or to provide protective services to the president and others and conduct related investigations.</w:t>
      </w:r>
      <w:r>
        <w:rPr>
          <w:rStyle w:val="FootnoteReference"/>
          <w:rFonts w:ascii="Calibri" w:eastAsia="Times New Roman" w:hAnsi="Calibri" w:cs="Calibri"/>
        </w:rPr>
        <w:footnoteReference w:id="32"/>
      </w:r>
    </w:p>
    <w:p w14:paraId="68ACD719" w14:textId="59C7EB82" w:rsidR="00EA5146" w:rsidRPr="00FE4F1F" w:rsidRDefault="00EA5146" w:rsidP="00FE4F1F">
      <w:pPr>
        <w:pStyle w:val="ListParagraph"/>
        <w:numPr>
          <w:ilvl w:val="1"/>
          <w:numId w:val="1"/>
        </w:numPr>
        <w:spacing w:line="360" w:lineRule="auto"/>
        <w:textAlignment w:val="baseline"/>
        <w:rPr>
          <w:rFonts w:ascii="Calibri" w:eastAsia="Times New Roman" w:hAnsi="Calibri" w:cs="Calibri"/>
        </w:rPr>
      </w:pPr>
      <w:r w:rsidRPr="00FE4F1F">
        <w:rPr>
          <w:rFonts w:ascii="Calibri" w:eastAsia="Times New Roman" w:hAnsi="Calibri" w:cs="Calibri"/>
          <w:bdr w:val="none" w:sz="0" w:space="0" w:color="auto" w:frame="1"/>
        </w:rPr>
        <w:lastRenderedPageBreak/>
        <w:t xml:space="preserve">To respond to a request for PHI by a correctional institution or a law enforcement official having lawful </w:t>
      </w:r>
      <w:r w:rsidR="00FE4F1F" w:rsidRPr="00FE4F1F">
        <w:rPr>
          <w:rFonts w:ascii="Calibri" w:eastAsia="Times New Roman" w:hAnsi="Calibri" w:cs="Calibri"/>
          <w:bdr w:val="none" w:sz="0" w:space="0" w:color="auto" w:frame="1"/>
        </w:rPr>
        <w:t>custody</w:t>
      </w:r>
      <w:r w:rsidR="00FE4F1F" w:rsidRPr="0068033D">
        <w:rPr>
          <w:rFonts w:ascii="Calibri" w:eastAsia="Times New Roman" w:hAnsi="Calibri" w:cs="Calibri"/>
        </w:rPr>
        <w:t xml:space="preserve"> of</w:t>
      </w:r>
      <w:r w:rsidRPr="0068033D">
        <w:rPr>
          <w:rFonts w:ascii="Calibri" w:eastAsia="Times New Roman" w:hAnsi="Calibri" w:cs="Calibri"/>
        </w:rPr>
        <w:t xml:space="preserve"> an inmate or others if they represent such PHI is needed to provide healthcare to the individual; for the health and safety of the individual, other inmates, officers or employees of or others at a correctional institution or responsible for transporting or transferring inmates; or for the administration and maintenance of the safety, security, and good order of the correctional facility, including law enforcement on the premises of the facility.</w:t>
      </w:r>
      <w:r>
        <w:rPr>
          <w:rStyle w:val="FootnoteReference"/>
          <w:rFonts w:ascii="Calibri" w:eastAsia="Times New Roman" w:hAnsi="Calibri" w:cs="Calibri"/>
        </w:rPr>
        <w:footnoteReference w:id="33"/>
      </w:r>
    </w:p>
    <w:p w14:paraId="2D980536" w14:textId="77777777" w:rsidR="00FE4F1F" w:rsidRDefault="00FE4F1F" w:rsidP="00EA5146">
      <w:pPr>
        <w:spacing w:line="360" w:lineRule="auto"/>
        <w:textAlignment w:val="baseline"/>
        <w:rPr>
          <w:rFonts w:ascii="Calibri" w:eastAsia="Times New Roman" w:hAnsi="Calibri" w:cs="Calibri"/>
        </w:rPr>
      </w:pPr>
    </w:p>
    <w:p w14:paraId="08A61975" w14:textId="77777777" w:rsidR="008A26C3" w:rsidRPr="00726A45" w:rsidRDefault="0020452F" w:rsidP="00C66A91">
      <w:pPr>
        <w:spacing w:line="360" w:lineRule="auto"/>
        <w:textAlignment w:val="baseline"/>
        <w:rPr>
          <w:rFonts w:eastAsia="Times New Roman" w:cstheme="minorHAnsi"/>
          <w:b/>
          <w:color w:val="000000" w:themeColor="text1"/>
          <w:sz w:val="24"/>
          <w:szCs w:val="24"/>
          <w:bdr w:val="none" w:sz="0" w:space="0" w:color="auto" w:frame="1"/>
        </w:rPr>
      </w:pPr>
      <w:r w:rsidRPr="00726A45">
        <w:rPr>
          <w:rFonts w:eastAsia="Times New Roman" w:cstheme="minorHAnsi"/>
          <w:b/>
          <w:color w:val="000000" w:themeColor="text1"/>
          <w:sz w:val="24"/>
          <w:szCs w:val="24"/>
          <w:bdr w:val="none" w:sz="0" w:space="0" w:color="auto" w:frame="1"/>
        </w:rPr>
        <w:t>Waivers of HIPAA During Emergencies</w:t>
      </w:r>
    </w:p>
    <w:p w14:paraId="52067F69" w14:textId="05A2B7D7" w:rsidR="00C66A91" w:rsidRDefault="0020452F" w:rsidP="00C66A91">
      <w:pPr>
        <w:spacing w:line="360" w:lineRule="auto"/>
        <w:textAlignment w:val="baseline"/>
        <w:rPr>
          <w:rFonts w:eastAsia="Times New Roman" w:cstheme="minorHAnsi"/>
          <w:color w:val="000000" w:themeColor="text1"/>
        </w:rPr>
      </w:pPr>
      <w:r w:rsidRPr="00C66A91">
        <w:rPr>
          <w:rFonts w:eastAsia="Times New Roman" w:cstheme="minorHAnsi"/>
          <w:color w:val="000000" w:themeColor="text1"/>
        </w:rPr>
        <w:t>Federal law provides for the waiver or modification of certain HIPAA requirements during emergencies. Section 1135 of the Social Security Act (SSA) authorizes the HHS Secretary to temporarily modify or waive certain Medicare, Medicaid, State Children’s Health Insurance (SCHIP), and HIPAA requirements.</w:t>
      </w:r>
      <w:r w:rsidR="00974611">
        <w:rPr>
          <w:rStyle w:val="FootnoteReference"/>
          <w:rFonts w:eastAsia="Times New Roman" w:cstheme="minorHAnsi"/>
          <w:color w:val="000000" w:themeColor="text1"/>
        </w:rPr>
        <w:footnoteReference w:id="34"/>
      </w:r>
      <w:r w:rsidR="00974611">
        <w:rPr>
          <w:rFonts w:eastAsia="Times New Roman" w:cstheme="minorHAnsi"/>
          <w:color w:val="000000" w:themeColor="text1"/>
          <w:bdr w:val="none" w:sz="0" w:space="0" w:color="auto" w:frame="1"/>
        </w:rPr>
        <w:t xml:space="preserve"> </w:t>
      </w:r>
      <w:r w:rsidRPr="00C66A91">
        <w:rPr>
          <w:rFonts w:eastAsia="Times New Roman" w:cstheme="minorHAnsi"/>
          <w:color w:val="000000" w:themeColor="text1"/>
        </w:rPr>
        <w:t xml:space="preserve">The purpose of the 1135 waiver authority is to ensure that sufficient healthcare services are available to meet the needs of individuals enrolled in SSA programs when and where an emergency is experienced. Service providers who in good faith are unable to comply with certain requirements are reimbursed for the services they provide during an emergency and are exempted from sanctions for noncompliance absent fraud or abuse. Section 1135 waivers require both a declaration </w:t>
      </w:r>
      <w:r w:rsidR="00974611">
        <w:rPr>
          <w:rFonts w:eastAsia="Times New Roman" w:cstheme="minorHAnsi"/>
          <w:color w:val="000000" w:themeColor="text1"/>
        </w:rPr>
        <w:t xml:space="preserve">by the President </w:t>
      </w:r>
      <w:r w:rsidRPr="00C66A91">
        <w:rPr>
          <w:rFonts w:eastAsia="Times New Roman" w:cstheme="minorHAnsi"/>
          <w:color w:val="000000" w:themeColor="text1"/>
        </w:rPr>
        <w:t xml:space="preserve">of national emergency under the National Emergencies Act or </w:t>
      </w:r>
      <w:r w:rsidR="00974611">
        <w:rPr>
          <w:rFonts w:eastAsia="Times New Roman" w:cstheme="minorHAnsi"/>
          <w:color w:val="000000" w:themeColor="text1"/>
        </w:rPr>
        <w:t xml:space="preserve">of an </w:t>
      </w:r>
      <w:r w:rsidR="00974611" w:rsidRPr="00C66A91">
        <w:rPr>
          <w:rFonts w:eastAsia="Times New Roman" w:cstheme="minorHAnsi"/>
          <w:color w:val="000000" w:themeColor="text1"/>
        </w:rPr>
        <w:t xml:space="preserve">emergency or disaster </w:t>
      </w:r>
      <w:r w:rsidRPr="00C66A91">
        <w:rPr>
          <w:rFonts w:eastAsia="Times New Roman" w:cstheme="minorHAnsi"/>
          <w:color w:val="000000" w:themeColor="text1"/>
        </w:rPr>
        <w:t>the Stafford Act</w:t>
      </w:r>
      <w:r w:rsidR="00974611">
        <w:rPr>
          <w:rFonts w:eastAsia="Times New Roman" w:cstheme="minorHAnsi"/>
          <w:color w:val="000000" w:themeColor="text1"/>
        </w:rPr>
        <w:t>,</w:t>
      </w:r>
      <w:r w:rsidRPr="00C66A91">
        <w:rPr>
          <w:rFonts w:eastAsia="Times New Roman" w:cstheme="minorHAnsi"/>
          <w:color w:val="000000" w:themeColor="text1"/>
        </w:rPr>
        <w:t xml:space="preserve"> and a public health emergency determination by the HHS Secretary under </w:t>
      </w:r>
      <w:r w:rsidR="00974611">
        <w:rPr>
          <w:rFonts w:eastAsia="Times New Roman" w:cstheme="minorHAnsi"/>
          <w:color w:val="000000" w:themeColor="text1"/>
        </w:rPr>
        <w:t>s</w:t>
      </w:r>
      <w:r w:rsidRPr="00C66A91">
        <w:rPr>
          <w:rFonts w:eastAsia="Times New Roman" w:cstheme="minorHAnsi"/>
          <w:color w:val="000000" w:themeColor="text1"/>
        </w:rPr>
        <w:t>ection 319 of the Public Health Service Act (PHSA).</w:t>
      </w:r>
    </w:p>
    <w:p w14:paraId="2A63A11F" w14:textId="76B74D32" w:rsidR="00C66A91" w:rsidRDefault="00C66A91" w:rsidP="00C66A91">
      <w:pPr>
        <w:spacing w:line="360" w:lineRule="auto"/>
        <w:textAlignment w:val="baseline"/>
        <w:rPr>
          <w:rFonts w:eastAsia="Times New Roman" w:cstheme="minorHAnsi"/>
          <w:color w:val="000000" w:themeColor="text1"/>
        </w:rPr>
      </w:pPr>
    </w:p>
    <w:p w14:paraId="41C63E02" w14:textId="5303F0A2" w:rsidR="00C66A91" w:rsidRDefault="0020452F" w:rsidP="00C66A91">
      <w:pPr>
        <w:spacing w:line="360" w:lineRule="auto"/>
        <w:textAlignment w:val="baseline"/>
        <w:rPr>
          <w:rFonts w:eastAsia="Times New Roman" w:cstheme="minorHAnsi"/>
          <w:color w:val="000000" w:themeColor="text1"/>
        </w:rPr>
      </w:pPr>
      <w:r w:rsidRPr="00F23BDC">
        <w:rPr>
          <w:rFonts w:eastAsia="Times New Roman" w:cstheme="minorHAnsi"/>
          <w:color w:val="000000" w:themeColor="text1"/>
        </w:rPr>
        <w:t xml:space="preserve">SSA </w:t>
      </w:r>
      <w:r w:rsidR="007A53DC">
        <w:rPr>
          <w:rFonts w:eastAsia="Times New Roman" w:cstheme="minorHAnsi"/>
          <w:color w:val="000000" w:themeColor="text1"/>
        </w:rPr>
        <w:t>s</w:t>
      </w:r>
      <w:r w:rsidRPr="00F23BDC">
        <w:rPr>
          <w:rFonts w:eastAsia="Times New Roman" w:cstheme="minorHAnsi"/>
          <w:color w:val="000000" w:themeColor="text1"/>
        </w:rPr>
        <w:t>ection 1135 addresses, among other things, the waiver of sanctions arising from noncompliance with HIPAA privacy regulations relating to: (1) obtaining a patient’s agreement to speak with family or friends or honoring a patient’s request to opt out of the facility directory; (2) distributing a notice of privacy practices; or (3) the patient’s right to request confidential communications. The waiver is effective only if actions under the waiver do not discriminate as to the patient’s source of payment (e.g., Medicare, Medicaid, private insurance) or ability to pay.</w:t>
      </w:r>
    </w:p>
    <w:p w14:paraId="265E7850" w14:textId="77777777" w:rsidR="00C66A91" w:rsidRDefault="00C66A91" w:rsidP="00C66A91">
      <w:pPr>
        <w:spacing w:line="360" w:lineRule="auto"/>
        <w:textAlignment w:val="baseline"/>
        <w:rPr>
          <w:rFonts w:eastAsia="Times New Roman" w:cstheme="minorHAnsi"/>
          <w:color w:val="000000" w:themeColor="text1"/>
        </w:rPr>
      </w:pPr>
    </w:p>
    <w:p w14:paraId="410872DB" w14:textId="14A7253F" w:rsidR="00C66A91" w:rsidRPr="007A53DC" w:rsidRDefault="0020452F" w:rsidP="00C66A91">
      <w:pPr>
        <w:spacing w:line="360" w:lineRule="auto"/>
        <w:textAlignment w:val="baseline"/>
        <w:rPr>
          <w:rFonts w:eastAsia="Times New Roman" w:cstheme="minorHAnsi"/>
          <w:color w:val="000000" w:themeColor="text1"/>
        </w:rPr>
      </w:pPr>
      <w:r w:rsidRPr="00F23BDC">
        <w:rPr>
          <w:rFonts w:eastAsia="Times New Roman" w:cstheme="minorHAnsi"/>
          <w:color w:val="000000" w:themeColor="text1"/>
        </w:rPr>
        <w:t xml:space="preserve">Once the 1135 waiver has been authorized by the HHS Secretary, healthcare service providers’ requirements are not automatically waived or modified. The Centers for Medicare and Medicaid </w:t>
      </w:r>
      <w:r w:rsidRPr="00F23BDC">
        <w:rPr>
          <w:rFonts w:eastAsia="Times New Roman" w:cstheme="minorHAnsi"/>
          <w:color w:val="000000" w:themeColor="text1"/>
        </w:rPr>
        <w:lastRenderedPageBreak/>
        <w:t>Services (CMS) implements the waiver by determining on a case-by-case basis whether and the extent to which sufficient grounds exist for waiving requirements with respect to a particular provider, to a group or class of providers, or to a geographic area.</w:t>
      </w:r>
      <w:r w:rsidR="007A53DC">
        <w:rPr>
          <w:rStyle w:val="FootnoteReference"/>
          <w:rFonts w:eastAsia="Times New Roman" w:cstheme="minorHAnsi"/>
          <w:color w:val="000000" w:themeColor="text1"/>
        </w:rPr>
        <w:footnoteReference w:id="35"/>
      </w:r>
      <w:r w:rsidR="007A53DC">
        <w:rPr>
          <w:rFonts w:eastAsia="Times New Roman" w:cstheme="minorHAnsi"/>
          <w:color w:val="000000" w:themeColor="text1"/>
        </w:rPr>
        <w:t xml:space="preserve"> </w:t>
      </w:r>
      <w:r w:rsidRPr="00F23BDC">
        <w:rPr>
          <w:rFonts w:eastAsia="Times New Roman" w:cstheme="minorHAnsi"/>
          <w:color w:val="000000" w:themeColor="text1"/>
        </w:rPr>
        <w:t>Providers can submit requests to operate under the waiver authority to regional CMS offices and to CMS for other relief beyond the scope of discretion granted to CMS regional offices and state survey agencies. Section 1135 waivers generally expire when the underlying emergency/disaster declaration terminates; however, waivers related to the HIPAA privacy rule are subject to different requirements and are generally limited to a 72-hour period beginning with implementation of a hospital disaster protocol.</w:t>
      </w:r>
      <w:r w:rsidR="007A53DC">
        <w:rPr>
          <w:rStyle w:val="FootnoteReference"/>
          <w:rFonts w:eastAsia="Times New Roman" w:cstheme="minorHAnsi"/>
          <w:color w:val="000000" w:themeColor="text1"/>
        </w:rPr>
        <w:footnoteReference w:id="36"/>
      </w:r>
    </w:p>
    <w:p w14:paraId="1BB59DAB" w14:textId="77777777" w:rsidR="00C66A91" w:rsidRDefault="00C66A91" w:rsidP="00C66A91">
      <w:pPr>
        <w:spacing w:line="360" w:lineRule="auto"/>
        <w:textAlignment w:val="baseline"/>
        <w:rPr>
          <w:rFonts w:eastAsia="Times New Roman" w:cstheme="minorHAnsi"/>
          <w:color w:val="000000" w:themeColor="text1"/>
        </w:rPr>
      </w:pPr>
    </w:p>
    <w:p w14:paraId="4BF05E87" w14:textId="77777777" w:rsidR="00726A45" w:rsidRPr="00696C4A" w:rsidRDefault="0020452F" w:rsidP="00C66A91">
      <w:pPr>
        <w:spacing w:line="360" w:lineRule="auto"/>
        <w:textAlignment w:val="baseline"/>
        <w:rPr>
          <w:rFonts w:eastAsia="Times New Roman" w:cstheme="minorHAnsi"/>
          <w:b/>
          <w:color w:val="000000" w:themeColor="text1"/>
          <w:sz w:val="24"/>
          <w:szCs w:val="24"/>
          <w:bdr w:val="none" w:sz="0" w:space="0" w:color="auto" w:frame="1"/>
        </w:rPr>
      </w:pPr>
      <w:r w:rsidRPr="00696C4A">
        <w:rPr>
          <w:rFonts w:eastAsia="Times New Roman" w:cstheme="minorHAnsi"/>
          <w:b/>
          <w:color w:val="000000" w:themeColor="text1"/>
          <w:sz w:val="24"/>
          <w:szCs w:val="24"/>
          <w:bdr w:val="none" w:sz="0" w:space="0" w:color="auto" w:frame="1"/>
        </w:rPr>
        <w:t>HIPAA Liability and Enforcement</w:t>
      </w:r>
    </w:p>
    <w:p w14:paraId="374A92C3" w14:textId="54D26CCA" w:rsidR="00C66A91" w:rsidRPr="006B700C" w:rsidRDefault="0020452F" w:rsidP="00C66A91">
      <w:pPr>
        <w:spacing w:line="360" w:lineRule="auto"/>
        <w:textAlignment w:val="baseline"/>
        <w:rPr>
          <w:rFonts w:eastAsia="Times New Roman" w:cstheme="minorHAnsi"/>
          <w:color w:val="000000" w:themeColor="text1"/>
        </w:rPr>
      </w:pPr>
      <w:r w:rsidRPr="00F23BDC">
        <w:rPr>
          <w:rFonts w:eastAsia="Times New Roman" w:cstheme="minorHAnsi"/>
          <w:color w:val="000000" w:themeColor="text1"/>
        </w:rPr>
        <w:t>The Privacy Rule does not authorize individuals to sue for violations; individuals must direct their complaints to HHS’ Office for Civil Rights (OCR), which then investigates the complaint. In cases of noncompliance, the Secretary is directed to resolve the matter by informal means. If the matter cannot be resolved informally, the Secretary may issue written findings of noncompliance that may be used as a basis for initiating a civil action or a criminal referral. Covered entities that knowingly and improperly disclose identifiable health information are subject to civil monetary penalties ($100 per violation up to $25,000 per year) and criminal penalties (up to $250,000 and imprisonment up to 10 years).</w:t>
      </w:r>
      <w:r w:rsidR="006B700C">
        <w:rPr>
          <w:rStyle w:val="FootnoteReference"/>
          <w:rFonts w:eastAsia="Times New Roman" w:cstheme="minorHAnsi"/>
          <w:color w:val="000000" w:themeColor="text1"/>
        </w:rPr>
        <w:footnoteReference w:id="37"/>
      </w:r>
    </w:p>
    <w:p w14:paraId="1A899261" w14:textId="77777777" w:rsidR="00C66A91" w:rsidRDefault="00C66A91" w:rsidP="00C66A91">
      <w:pPr>
        <w:spacing w:line="360" w:lineRule="auto"/>
        <w:textAlignment w:val="baseline"/>
        <w:rPr>
          <w:rFonts w:eastAsia="Times New Roman" w:cstheme="minorHAnsi"/>
          <w:color w:val="000000" w:themeColor="text1"/>
        </w:rPr>
      </w:pPr>
    </w:p>
    <w:p w14:paraId="6658165F" w14:textId="77777777" w:rsidR="00726A45" w:rsidRPr="00726A45" w:rsidRDefault="0020452F" w:rsidP="00C66A91">
      <w:pPr>
        <w:spacing w:line="360" w:lineRule="auto"/>
        <w:textAlignment w:val="baseline"/>
        <w:rPr>
          <w:rFonts w:eastAsia="Times New Roman" w:cstheme="minorHAnsi"/>
          <w:b/>
          <w:color w:val="000000" w:themeColor="text1"/>
          <w:sz w:val="24"/>
          <w:szCs w:val="24"/>
          <w:bdr w:val="none" w:sz="0" w:space="0" w:color="auto" w:frame="1"/>
        </w:rPr>
      </w:pPr>
      <w:r w:rsidRPr="00726A45">
        <w:rPr>
          <w:rFonts w:eastAsia="Times New Roman" w:cstheme="minorHAnsi"/>
          <w:b/>
          <w:color w:val="000000" w:themeColor="text1"/>
          <w:sz w:val="24"/>
          <w:szCs w:val="24"/>
          <w:bdr w:val="none" w:sz="0" w:space="0" w:color="auto" w:frame="1"/>
        </w:rPr>
        <w:t>HIPAA and State Laws</w:t>
      </w:r>
    </w:p>
    <w:p w14:paraId="5FE710E6" w14:textId="466F34DE" w:rsidR="0020452F" w:rsidRPr="006B700C" w:rsidRDefault="0020452F" w:rsidP="00C66A91">
      <w:pPr>
        <w:spacing w:line="360" w:lineRule="auto"/>
        <w:textAlignment w:val="baseline"/>
        <w:rPr>
          <w:rFonts w:eastAsia="Times New Roman" w:cstheme="minorHAnsi"/>
          <w:color w:val="000000" w:themeColor="text1"/>
        </w:rPr>
      </w:pPr>
      <w:r w:rsidRPr="00F23BDC">
        <w:rPr>
          <w:rFonts w:eastAsia="Times New Roman" w:cstheme="minorHAnsi"/>
          <w:color w:val="000000" w:themeColor="text1"/>
        </w:rPr>
        <w:t>In general, any state laws or regulations that conflict with HIPAA and the Privacy Rule are preempted by federal law, and the federal requirements control over the state requirements. However, the Privacy Rule does contain several exceptions that allow differing state requirements to control</w:t>
      </w:r>
      <w:r w:rsidR="006B700C">
        <w:rPr>
          <w:rStyle w:val="FootnoteReference"/>
          <w:rFonts w:eastAsia="Times New Roman" w:cstheme="minorHAnsi"/>
          <w:color w:val="000000" w:themeColor="text1"/>
        </w:rPr>
        <w:footnoteReference w:id="38"/>
      </w:r>
      <w:r w:rsidR="006B700C">
        <w:rPr>
          <w:rFonts w:eastAsia="Times New Roman" w:cstheme="minorHAnsi"/>
          <w:color w:val="000000" w:themeColor="text1"/>
        </w:rPr>
        <w:t xml:space="preserve"> </w:t>
      </w:r>
      <w:r w:rsidR="006B700C">
        <w:rPr>
          <w:rStyle w:val="FootnoteReference"/>
          <w:rFonts w:eastAsia="Times New Roman" w:cstheme="minorHAnsi"/>
          <w:color w:val="000000" w:themeColor="text1"/>
        </w:rPr>
        <w:footnoteReference w:id="39"/>
      </w:r>
      <w:r w:rsidRPr="00F23BDC">
        <w:rPr>
          <w:rFonts w:eastAsia="Times New Roman" w:cstheme="minorHAnsi"/>
          <w:color w:val="000000" w:themeColor="text1"/>
        </w:rPr>
        <w:t>:</w:t>
      </w:r>
    </w:p>
    <w:p w14:paraId="3E8030FB" w14:textId="7F9E21F3" w:rsidR="0020452F" w:rsidRPr="00DD6171" w:rsidRDefault="0020452F" w:rsidP="0072096E">
      <w:pPr>
        <w:pStyle w:val="ListParagraph"/>
        <w:numPr>
          <w:ilvl w:val="0"/>
          <w:numId w:val="4"/>
        </w:numPr>
        <w:spacing w:after="120" w:line="360" w:lineRule="auto"/>
        <w:contextualSpacing w:val="0"/>
        <w:textAlignment w:val="baseline"/>
        <w:rPr>
          <w:rFonts w:eastAsia="Times New Roman" w:cstheme="minorHAnsi"/>
          <w:color w:val="000000" w:themeColor="text1"/>
        </w:rPr>
      </w:pPr>
      <w:r w:rsidRPr="00DD6171">
        <w:rPr>
          <w:rFonts w:eastAsia="Times New Roman" w:cstheme="minorHAnsi"/>
          <w:color w:val="000000" w:themeColor="text1"/>
        </w:rPr>
        <w:t>The state law relates to privacy of individually identifiable health information and provides greater privacy protections or rights than the Privacy Rule.</w:t>
      </w:r>
    </w:p>
    <w:p w14:paraId="56E3D676" w14:textId="70897244" w:rsidR="0020452F" w:rsidRPr="00DD6171" w:rsidRDefault="0020452F" w:rsidP="0072096E">
      <w:pPr>
        <w:pStyle w:val="ListParagraph"/>
        <w:numPr>
          <w:ilvl w:val="0"/>
          <w:numId w:val="4"/>
        </w:numPr>
        <w:spacing w:after="120" w:line="360" w:lineRule="auto"/>
        <w:contextualSpacing w:val="0"/>
        <w:textAlignment w:val="baseline"/>
        <w:rPr>
          <w:rFonts w:eastAsia="Times New Roman" w:cstheme="minorHAnsi"/>
          <w:color w:val="000000" w:themeColor="text1"/>
        </w:rPr>
      </w:pPr>
      <w:r w:rsidRPr="00DD6171">
        <w:rPr>
          <w:rFonts w:eastAsia="Times New Roman" w:cstheme="minorHAnsi"/>
          <w:color w:val="000000" w:themeColor="text1"/>
        </w:rPr>
        <w:lastRenderedPageBreak/>
        <w:t>The state law requires the reporting of disease or injury, child abuse, birth, or death and for public health surveillance, investigation, or intervention.</w:t>
      </w:r>
    </w:p>
    <w:p w14:paraId="14F713AC" w14:textId="77777777" w:rsidR="00C66A91" w:rsidRDefault="0020452F" w:rsidP="00EC0189">
      <w:pPr>
        <w:pStyle w:val="ListParagraph"/>
        <w:numPr>
          <w:ilvl w:val="0"/>
          <w:numId w:val="4"/>
        </w:numPr>
        <w:spacing w:line="360" w:lineRule="auto"/>
        <w:contextualSpacing w:val="0"/>
        <w:textAlignment w:val="baseline"/>
        <w:rPr>
          <w:rFonts w:eastAsia="Times New Roman" w:cstheme="minorHAnsi"/>
          <w:color w:val="000000" w:themeColor="text1"/>
        </w:rPr>
      </w:pPr>
      <w:r w:rsidRPr="00DD6171">
        <w:rPr>
          <w:rFonts w:eastAsia="Times New Roman" w:cstheme="minorHAnsi"/>
          <w:color w:val="000000" w:themeColor="text1"/>
        </w:rPr>
        <w:t>The state law requires certain reporting by health plans, such as for management or financial audits or evaluations.</w:t>
      </w:r>
    </w:p>
    <w:p w14:paraId="707D57E5" w14:textId="77777777" w:rsidR="00C66A91" w:rsidRDefault="00C66A91" w:rsidP="00EC0189">
      <w:pPr>
        <w:spacing w:line="360" w:lineRule="auto"/>
        <w:textAlignment w:val="baseline"/>
        <w:rPr>
          <w:rFonts w:eastAsia="Times New Roman" w:cstheme="minorHAnsi"/>
          <w:color w:val="000000" w:themeColor="text1"/>
        </w:rPr>
      </w:pPr>
    </w:p>
    <w:p w14:paraId="6E2E31E7" w14:textId="7EAFDFA8" w:rsidR="0020452F" w:rsidRDefault="0020452F" w:rsidP="00C66A91">
      <w:pPr>
        <w:spacing w:after="120" w:line="360" w:lineRule="auto"/>
        <w:textAlignment w:val="baseline"/>
        <w:rPr>
          <w:rFonts w:eastAsia="Times New Roman" w:cstheme="minorHAnsi"/>
          <w:color w:val="000000" w:themeColor="text1"/>
        </w:rPr>
      </w:pPr>
      <w:r w:rsidRPr="00C66A91">
        <w:rPr>
          <w:rFonts w:eastAsia="Times New Roman" w:cstheme="minorHAnsi"/>
          <w:color w:val="000000" w:themeColor="text1"/>
        </w:rPr>
        <w:t>States can also request a determination that a conflicting state law will not be preempted by HIPAA regulations if the state can demonstrate one of the conditions enumerated in the rule, including, but not limited to, that the conflicting state provision serves a compelling public health, safety, or welfare interest, and, if the conflicting state requirement relates to a privacy right, that the intrusion into privacy is warranted given the public interest being served.</w:t>
      </w:r>
      <w:r w:rsidR="0003333A">
        <w:rPr>
          <w:rStyle w:val="FootnoteReference"/>
          <w:rFonts w:eastAsia="Times New Roman" w:cstheme="minorHAnsi"/>
          <w:color w:val="000000" w:themeColor="text1"/>
        </w:rPr>
        <w:footnoteReference w:id="40"/>
      </w:r>
      <w:r w:rsidR="0003333A">
        <w:rPr>
          <w:rFonts w:eastAsia="Times New Roman" w:cstheme="minorHAnsi"/>
          <w:color w:val="000000" w:themeColor="text1"/>
        </w:rPr>
        <w:t xml:space="preserve"> </w:t>
      </w:r>
      <w:r w:rsidR="0003333A">
        <w:rPr>
          <w:rStyle w:val="FootnoteReference"/>
          <w:rFonts w:eastAsia="Times New Roman" w:cstheme="minorHAnsi"/>
          <w:color w:val="000000" w:themeColor="text1"/>
        </w:rPr>
        <w:footnoteReference w:id="41"/>
      </w:r>
    </w:p>
    <w:p w14:paraId="23858720" w14:textId="2EEA9CBA" w:rsidR="008A26C3" w:rsidRPr="0003333A" w:rsidRDefault="008A26C3" w:rsidP="00C66A91">
      <w:pPr>
        <w:spacing w:after="120" w:line="360" w:lineRule="auto"/>
        <w:textAlignment w:val="baseline"/>
        <w:rPr>
          <w:rFonts w:eastAsia="Times New Roman" w:cstheme="minorHAnsi"/>
          <w:color w:val="000000" w:themeColor="text1"/>
        </w:rPr>
      </w:pPr>
      <w:r>
        <w:rPr>
          <w:noProof/>
        </w:rPr>
        <mc:AlternateContent>
          <mc:Choice Requires="wps">
            <w:drawing>
              <wp:anchor distT="45720" distB="45720" distL="114300" distR="114300" simplePos="0" relativeHeight="251659264" behindDoc="0" locked="0" layoutInCell="1" allowOverlap="1" wp14:anchorId="798B688E" wp14:editId="1BEA5828">
                <wp:simplePos x="0" y="0"/>
                <wp:positionH relativeFrom="margin">
                  <wp:posOffset>1576070</wp:posOffset>
                </wp:positionH>
                <wp:positionV relativeFrom="paragraph">
                  <wp:posOffset>402590</wp:posOffset>
                </wp:positionV>
                <wp:extent cx="2898140" cy="3410585"/>
                <wp:effectExtent l="0" t="0" r="16510" b="1841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140" cy="3410585"/>
                        </a:xfrm>
                        <a:prstGeom prst="rect">
                          <a:avLst/>
                        </a:prstGeom>
                        <a:solidFill>
                          <a:srgbClr val="FFFFFF"/>
                        </a:solidFill>
                        <a:ln w="9525">
                          <a:solidFill>
                            <a:srgbClr val="000000"/>
                          </a:solidFill>
                          <a:miter lim="800000"/>
                          <a:headEnd/>
                          <a:tailEnd/>
                        </a:ln>
                      </wps:spPr>
                      <wps:txbx>
                        <w:txbxContent>
                          <w:p w14:paraId="3FE4071B" w14:textId="77777777" w:rsidR="008A26C3" w:rsidRPr="001203F4" w:rsidRDefault="008A26C3" w:rsidP="008A26C3">
                            <w:pPr>
                              <w:jc w:val="center"/>
                              <w:rPr>
                                <w:b/>
                                <w:sz w:val="20"/>
                              </w:rPr>
                            </w:pPr>
                            <w:bookmarkStart w:id="4" w:name="_GoBack"/>
                            <w:r w:rsidRPr="001203F4">
                              <w:rPr>
                                <w:b/>
                                <w:sz w:val="20"/>
                              </w:rPr>
                              <w:t>Figure 1</w:t>
                            </w:r>
                          </w:p>
                          <w:p w14:paraId="29F160C4" w14:textId="77777777" w:rsidR="008A26C3" w:rsidRPr="001203F4" w:rsidRDefault="008A26C3" w:rsidP="008A26C3">
                            <w:pPr>
                              <w:jc w:val="center"/>
                              <w:rPr>
                                <w:b/>
                                <w:sz w:val="20"/>
                              </w:rPr>
                            </w:pPr>
                            <w:r w:rsidRPr="001203F4">
                              <w:rPr>
                                <w:b/>
                                <w:sz w:val="20"/>
                              </w:rPr>
                              <w:t>HIPAA Privacy Rule Disclosure Exceptions for Public Interest &amp; Benefit Activities</w:t>
                            </w:r>
                          </w:p>
                          <w:p w14:paraId="2C19FD65" w14:textId="77777777" w:rsidR="008A26C3" w:rsidRPr="001203F4" w:rsidRDefault="008A26C3" w:rsidP="008A26C3">
                            <w:pPr>
                              <w:rPr>
                                <w:sz w:val="20"/>
                              </w:rPr>
                            </w:pPr>
                          </w:p>
                          <w:p w14:paraId="7C1ADC63" w14:textId="77777777" w:rsidR="008A26C3" w:rsidRPr="001203F4" w:rsidRDefault="008A26C3" w:rsidP="008A26C3">
                            <w:pPr>
                              <w:rPr>
                                <w:sz w:val="20"/>
                              </w:rPr>
                            </w:pPr>
                            <w:r w:rsidRPr="001203F4">
                              <w:rPr>
                                <w:sz w:val="20"/>
                              </w:rPr>
                              <w:t>The Privacy Rule identifies 12 public purposes in which the use and disclosure of protected health information is permitted without a person’s authorization:</w:t>
                            </w:r>
                            <w:r w:rsidRPr="001203F4">
                              <w:rPr>
                                <w:sz w:val="20"/>
                                <w:vertAlign w:val="superscript"/>
                              </w:rPr>
                              <w:t xml:space="preserve"> </w:t>
                            </w:r>
                          </w:p>
                          <w:p w14:paraId="2D85B3DB" w14:textId="77777777" w:rsidR="008A26C3" w:rsidRPr="001203F4" w:rsidRDefault="008A26C3" w:rsidP="008A26C3">
                            <w:pPr>
                              <w:pStyle w:val="ListParagraph"/>
                              <w:numPr>
                                <w:ilvl w:val="0"/>
                                <w:numId w:val="5"/>
                              </w:numPr>
                              <w:rPr>
                                <w:sz w:val="20"/>
                              </w:rPr>
                            </w:pPr>
                            <w:r w:rsidRPr="001203F4">
                              <w:rPr>
                                <w:sz w:val="20"/>
                              </w:rPr>
                              <w:t xml:space="preserve">Required by law. </w:t>
                            </w:r>
                          </w:p>
                          <w:p w14:paraId="7D51B5FE" w14:textId="77777777" w:rsidR="008A26C3" w:rsidRPr="001203F4" w:rsidRDefault="008A26C3" w:rsidP="008A26C3">
                            <w:pPr>
                              <w:pStyle w:val="ListParagraph"/>
                              <w:numPr>
                                <w:ilvl w:val="0"/>
                                <w:numId w:val="5"/>
                              </w:numPr>
                              <w:rPr>
                                <w:sz w:val="20"/>
                              </w:rPr>
                            </w:pPr>
                            <w:r w:rsidRPr="001203F4">
                              <w:rPr>
                                <w:sz w:val="20"/>
                              </w:rPr>
                              <w:t xml:space="preserve">Public health activities. </w:t>
                            </w:r>
                          </w:p>
                          <w:p w14:paraId="42BFBE85" w14:textId="77777777" w:rsidR="008A26C3" w:rsidRPr="001203F4" w:rsidRDefault="008A26C3" w:rsidP="008A26C3">
                            <w:pPr>
                              <w:pStyle w:val="ListParagraph"/>
                              <w:numPr>
                                <w:ilvl w:val="0"/>
                                <w:numId w:val="5"/>
                              </w:numPr>
                              <w:rPr>
                                <w:sz w:val="20"/>
                              </w:rPr>
                            </w:pPr>
                            <w:r w:rsidRPr="001203F4">
                              <w:rPr>
                                <w:sz w:val="20"/>
                              </w:rPr>
                              <w:t xml:space="preserve">Victims of abuse, neglect, or domestic violence. </w:t>
                            </w:r>
                          </w:p>
                          <w:p w14:paraId="50FCC7DC" w14:textId="77777777" w:rsidR="008A26C3" w:rsidRPr="001203F4" w:rsidRDefault="008A26C3" w:rsidP="008A26C3">
                            <w:pPr>
                              <w:pStyle w:val="ListParagraph"/>
                              <w:numPr>
                                <w:ilvl w:val="0"/>
                                <w:numId w:val="5"/>
                              </w:numPr>
                              <w:rPr>
                                <w:sz w:val="20"/>
                              </w:rPr>
                            </w:pPr>
                            <w:r w:rsidRPr="001203F4">
                              <w:rPr>
                                <w:sz w:val="20"/>
                              </w:rPr>
                              <w:t xml:space="preserve">Health oversight activities. </w:t>
                            </w:r>
                          </w:p>
                          <w:p w14:paraId="0C8C3112" w14:textId="77777777" w:rsidR="008A26C3" w:rsidRPr="001203F4" w:rsidRDefault="008A26C3" w:rsidP="008A26C3">
                            <w:pPr>
                              <w:pStyle w:val="ListParagraph"/>
                              <w:numPr>
                                <w:ilvl w:val="0"/>
                                <w:numId w:val="5"/>
                              </w:numPr>
                              <w:rPr>
                                <w:sz w:val="20"/>
                              </w:rPr>
                            </w:pPr>
                            <w:r w:rsidRPr="001203F4">
                              <w:rPr>
                                <w:sz w:val="20"/>
                              </w:rPr>
                              <w:t xml:space="preserve">Judicial and administrative proceedings. </w:t>
                            </w:r>
                          </w:p>
                          <w:p w14:paraId="79433376" w14:textId="77777777" w:rsidR="008A26C3" w:rsidRPr="001203F4" w:rsidRDefault="008A26C3" w:rsidP="008A26C3">
                            <w:pPr>
                              <w:pStyle w:val="ListParagraph"/>
                              <w:numPr>
                                <w:ilvl w:val="0"/>
                                <w:numId w:val="5"/>
                              </w:numPr>
                              <w:rPr>
                                <w:sz w:val="20"/>
                              </w:rPr>
                            </w:pPr>
                            <w:r w:rsidRPr="001203F4">
                              <w:rPr>
                                <w:sz w:val="20"/>
                              </w:rPr>
                              <w:t xml:space="preserve">Law enforcement purposes. </w:t>
                            </w:r>
                          </w:p>
                          <w:p w14:paraId="221A315A" w14:textId="77777777" w:rsidR="008A26C3" w:rsidRPr="001203F4" w:rsidRDefault="008A26C3" w:rsidP="008A26C3">
                            <w:pPr>
                              <w:pStyle w:val="ListParagraph"/>
                              <w:numPr>
                                <w:ilvl w:val="0"/>
                                <w:numId w:val="5"/>
                              </w:numPr>
                              <w:rPr>
                                <w:sz w:val="20"/>
                              </w:rPr>
                            </w:pPr>
                            <w:r w:rsidRPr="001203F4">
                              <w:rPr>
                                <w:sz w:val="20"/>
                              </w:rPr>
                              <w:t>Decedents.</w:t>
                            </w:r>
                          </w:p>
                          <w:p w14:paraId="61E40A5B" w14:textId="77777777" w:rsidR="008A26C3" w:rsidRPr="001203F4" w:rsidRDefault="008A26C3" w:rsidP="008A26C3">
                            <w:pPr>
                              <w:pStyle w:val="ListParagraph"/>
                              <w:numPr>
                                <w:ilvl w:val="0"/>
                                <w:numId w:val="5"/>
                              </w:numPr>
                              <w:rPr>
                                <w:sz w:val="20"/>
                              </w:rPr>
                            </w:pPr>
                            <w:r w:rsidRPr="001203F4">
                              <w:rPr>
                                <w:sz w:val="20"/>
                              </w:rPr>
                              <w:t xml:space="preserve">Cadaveric organ, eye, or tissue donation. </w:t>
                            </w:r>
                          </w:p>
                          <w:p w14:paraId="046E3BE6" w14:textId="77777777" w:rsidR="008A26C3" w:rsidRPr="001203F4" w:rsidRDefault="008A26C3" w:rsidP="008A26C3">
                            <w:pPr>
                              <w:pStyle w:val="ListParagraph"/>
                              <w:numPr>
                                <w:ilvl w:val="0"/>
                                <w:numId w:val="5"/>
                              </w:numPr>
                              <w:rPr>
                                <w:sz w:val="20"/>
                              </w:rPr>
                            </w:pPr>
                            <w:r w:rsidRPr="001203F4">
                              <w:rPr>
                                <w:sz w:val="20"/>
                              </w:rPr>
                              <w:t xml:space="preserve">Research. </w:t>
                            </w:r>
                          </w:p>
                          <w:p w14:paraId="13FC9D2E" w14:textId="77777777" w:rsidR="008A26C3" w:rsidRPr="001203F4" w:rsidRDefault="008A26C3" w:rsidP="008A26C3">
                            <w:pPr>
                              <w:pStyle w:val="ListParagraph"/>
                              <w:numPr>
                                <w:ilvl w:val="0"/>
                                <w:numId w:val="5"/>
                              </w:numPr>
                              <w:rPr>
                                <w:sz w:val="20"/>
                              </w:rPr>
                            </w:pPr>
                            <w:r w:rsidRPr="001203F4">
                              <w:rPr>
                                <w:sz w:val="20"/>
                              </w:rPr>
                              <w:t xml:space="preserve">Serious threat to health or safety. </w:t>
                            </w:r>
                          </w:p>
                          <w:p w14:paraId="5D26B125" w14:textId="77777777" w:rsidR="008A26C3" w:rsidRPr="001203F4" w:rsidRDefault="008A26C3" w:rsidP="008A26C3">
                            <w:pPr>
                              <w:pStyle w:val="ListParagraph"/>
                              <w:numPr>
                                <w:ilvl w:val="0"/>
                                <w:numId w:val="5"/>
                              </w:numPr>
                              <w:rPr>
                                <w:sz w:val="20"/>
                              </w:rPr>
                            </w:pPr>
                            <w:r w:rsidRPr="001203F4">
                              <w:rPr>
                                <w:sz w:val="20"/>
                              </w:rPr>
                              <w:t xml:space="preserve">Essential government functions. </w:t>
                            </w:r>
                          </w:p>
                          <w:p w14:paraId="3066C490" w14:textId="77777777" w:rsidR="008A26C3" w:rsidRPr="001203F4" w:rsidRDefault="008A26C3" w:rsidP="008A26C3">
                            <w:pPr>
                              <w:pStyle w:val="ListParagraph"/>
                              <w:numPr>
                                <w:ilvl w:val="0"/>
                                <w:numId w:val="5"/>
                              </w:numPr>
                              <w:rPr>
                                <w:sz w:val="20"/>
                              </w:rPr>
                            </w:pPr>
                            <w:r w:rsidRPr="001203F4">
                              <w:rPr>
                                <w:sz w:val="20"/>
                              </w:rPr>
                              <w:t xml:space="preserve">Workers’ compensation. </w:t>
                            </w:r>
                          </w:p>
                          <w:bookmarkEnd w:id="4"/>
                          <w:p w14:paraId="718FA645" w14:textId="77777777" w:rsidR="008A26C3" w:rsidRDefault="008A26C3" w:rsidP="008A2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8B688E" id="_x0000_t202" coordsize="21600,21600" o:spt="202" path="m,l,21600r21600,l21600,xe">
                <v:stroke joinstyle="miter"/>
                <v:path gradientshapeok="t" o:connecttype="rect"/>
              </v:shapetype>
              <v:shape id="Text Box 2" o:spid="_x0000_s1026" type="#_x0000_t202" style="position:absolute;margin-left:124.1pt;margin-top:31.7pt;width:228.2pt;height:268.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qQIwIAAEcEAAAOAAAAZHJzL2Uyb0RvYy54bWysU9uO2yAQfa/Uf0C8N7406SZWnNU221SV&#10;thdptx9AMI5RgaFAYm+/vgP2puntpSoPiGGGw8w5M+vrQStyEs5LMDUtZjklwnBopDnU9PPD7sWS&#10;Eh+YaZgCI2r6KDy93jx/tu5tJUroQDXCEQQxvuptTbsQbJVlnndCMz8DKww6W3CaBTTdIWsc6xFd&#10;q6zM81dZD66xDrjwHm9vRyfdJPy2FTx8bFsvAlE1xdxC2l3a93HPNmtWHRyzneRTGuwfstBMGvz0&#10;DHXLAiNHJ3+D0pI78NCGGQedQdtKLlINWE2R/1LNfcesSLUgOd6eafL/D5Z/OH1yRDY1LYsrSgzT&#10;KNKDGAJ5DQMpIz+99RWG3VsMDANeo86pVm/vgH/xxMC2Y+YgbpyDvhOswfyK+DK7eDri+Aiy799D&#10;g9+wY4AENLROR/KQDoLoqNPjWZuYCsfLcrlaFnN0cfS9nBf5YrlIf7Dq6bl1PrwVoEk81NSh+Ame&#10;ne58iOmw6ikk/uZByWYnlUqGO+y3ypETw0bZpTWh/xSmDOlrulqUi5GBv0Lkaf0JQsuAHa+kruny&#10;HMSqyNsb06R+DEyq8YwpKzMRGbkbWQzDfpiE2UPziJQ6GDsbJxEPHbhvlPTY1TX1X4/MCUrUO4Oy&#10;rIp55DAkY764KtFwl579pYcZjlA1DZSMx21IoxMJM3CD8rUyERt1HjOZcsVuTXxPkxXH4dJOUT/m&#10;f/MdAAD//wMAUEsDBBQABgAIAAAAIQAZtPMz4AAAAAoBAAAPAAAAZHJzL2Rvd25yZXYueG1sTI/L&#10;TsMwEEX3SPyDNUhsELVJQxpCnAohgegOCoKtG0+TCD+C7abh7xlWsJyZozvn1uvZGjZhiIN3Eq4W&#10;Ahi61uvBdRLeXh8uS2AxKaeV8Q4lfGOEdXN6UqtK+6N7wWmbOkYhLlZKQp/SWHEe2x6tigs/oqPb&#10;3gerEo2h4zqoI4VbwzMhCm7V4OhDr0a877H93B6shDJ/mj7iZvn83hZ7c5MuVtPjV5Dy/Gy+uwWW&#10;cE5/MPzqkzo05LTzB6cjMxKyvMwIlVAsc2AErEReANvRQohr4E3N/1dofgAAAP//AwBQSwECLQAU&#10;AAYACAAAACEAtoM4kv4AAADhAQAAEwAAAAAAAAAAAAAAAAAAAAAAW0NvbnRlbnRfVHlwZXNdLnht&#10;bFBLAQItABQABgAIAAAAIQA4/SH/1gAAAJQBAAALAAAAAAAAAAAAAAAAAC8BAABfcmVscy8ucmVs&#10;c1BLAQItABQABgAIAAAAIQAuALqQIwIAAEcEAAAOAAAAAAAAAAAAAAAAAC4CAABkcnMvZTJvRG9j&#10;LnhtbFBLAQItABQABgAIAAAAIQAZtPMz4AAAAAoBAAAPAAAAAAAAAAAAAAAAAH0EAABkcnMvZG93&#10;bnJldi54bWxQSwUGAAAAAAQABADzAAAAigUAAAAA&#10;">
                <v:textbox>
                  <w:txbxContent>
                    <w:p w14:paraId="3FE4071B" w14:textId="77777777" w:rsidR="008A26C3" w:rsidRPr="001203F4" w:rsidRDefault="008A26C3" w:rsidP="008A26C3">
                      <w:pPr>
                        <w:jc w:val="center"/>
                        <w:rPr>
                          <w:b/>
                          <w:sz w:val="20"/>
                        </w:rPr>
                      </w:pPr>
                      <w:bookmarkStart w:id="5" w:name="_GoBack"/>
                      <w:r w:rsidRPr="001203F4">
                        <w:rPr>
                          <w:b/>
                          <w:sz w:val="20"/>
                        </w:rPr>
                        <w:t>Figure 1</w:t>
                      </w:r>
                    </w:p>
                    <w:p w14:paraId="29F160C4" w14:textId="77777777" w:rsidR="008A26C3" w:rsidRPr="001203F4" w:rsidRDefault="008A26C3" w:rsidP="008A26C3">
                      <w:pPr>
                        <w:jc w:val="center"/>
                        <w:rPr>
                          <w:b/>
                          <w:sz w:val="20"/>
                        </w:rPr>
                      </w:pPr>
                      <w:r w:rsidRPr="001203F4">
                        <w:rPr>
                          <w:b/>
                          <w:sz w:val="20"/>
                        </w:rPr>
                        <w:t>HIPAA Privacy Rule Disclosure Exceptions for Public Interest &amp; Benefit Activities</w:t>
                      </w:r>
                    </w:p>
                    <w:p w14:paraId="2C19FD65" w14:textId="77777777" w:rsidR="008A26C3" w:rsidRPr="001203F4" w:rsidRDefault="008A26C3" w:rsidP="008A26C3">
                      <w:pPr>
                        <w:rPr>
                          <w:sz w:val="20"/>
                        </w:rPr>
                      </w:pPr>
                    </w:p>
                    <w:p w14:paraId="7C1ADC63" w14:textId="77777777" w:rsidR="008A26C3" w:rsidRPr="001203F4" w:rsidRDefault="008A26C3" w:rsidP="008A26C3">
                      <w:pPr>
                        <w:rPr>
                          <w:sz w:val="20"/>
                        </w:rPr>
                      </w:pPr>
                      <w:r w:rsidRPr="001203F4">
                        <w:rPr>
                          <w:sz w:val="20"/>
                        </w:rPr>
                        <w:t>The Privacy Rule identifies 12 public purposes in which the use and disclosure of protected health information is permitted without a person’s authorization:</w:t>
                      </w:r>
                      <w:r w:rsidRPr="001203F4">
                        <w:rPr>
                          <w:sz w:val="20"/>
                          <w:vertAlign w:val="superscript"/>
                        </w:rPr>
                        <w:t xml:space="preserve"> </w:t>
                      </w:r>
                    </w:p>
                    <w:p w14:paraId="2D85B3DB" w14:textId="77777777" w:rsidR="008A26C3" w:rsidRPr="001203F4" w:rsidRDefault="008A26C3" w:rsidP="008A26C3">
                      <w:pPr>
                        <w:pStyle w:val="ListParagraph"/>
                        <w:numPr>
                          <w:ilvl w:val="0"/>
                          <w:numId w:val="5"/>
                        </w:numPr>
                        <w:rPr>
                          <w:sz w:val="20"/>
                        </w:rPr>
                      </w:pPr>
                      <w:r w:rsidRPr="001203F4">
                        <w:rPr>
                          <w:sz w:val="20"/>
                        </w:rPr>
                        <w:t xml:space="preserve">Required by law. </w:t>
                      </w:r>
                    </w:p>
                    <w:p w14:paraId="7D51B5FE" w14:textId="77777777" w:rsidR="008A26C3" w:rsidRPr="001203F4" w:rsidRDefault="008A26C3" w:rsidP="008A26C3">
                      <w:pPr>
                        <w:pStyle w:val="ListParagraph"/>
                        <w:numPr>
                          <w:ilvl w:val="0"/>
                          <w:numId w:val="5"/>
                        </w:numPr>
                        <w:rPr>
                          <w:sz w:val="20"/>
                        </w:rPr>
                      </w:pPr>
                      <w:r w:rsidRPr="001203F4">
                        <w:rPr>
                          <w:sz w:val="20"/>
                        </w:rPr>
                        <w:t xml:space="preserve">Public health activities. </w:t>
                      </w:r>
                    </w:p>
                    <w:p w14:paraId="42BFBE85" w14:textId="77777777" w:rsidR="008A26C3" w:rsidRPr="001203F4" w:rsidRDefault="008A26C3" w:rsidP="008A26C3">
                      <w:pPr>
                        <w:pStyle w:val="ListParagraph"/>
                        <w:numPr>
                          <w:ilvl w:val="0"/>
                          <w:numId w:val="5"/>
                        </w:numPr>
                        <w:rPr>
                          <w:sz w:val="20"/>
                        </w:rPr>
                      </w:pPr>
                      <w:r w:rsidRPr="001203F4">
                        <w:rPr>
                          <w:sz w:val="20"/>
                        </w:rPr>
                        <w:t xml:space="preserve">Victims of abuse, neglect, or domestic violence. </w:t>
                      </w:r>
                    </w:p>
                    <w:p w14:paraId="50FCC7DC" w14:textId="77777777" w:rsidR="008A26C3" w:rsidRPr="001203F4" w:rsidRDefault="008A26C3" w:rsidP="008A26C3">
                      <w:pPr>
                        <w:pStyle w:val="ListParagraph"/>
                        <w:numPr>
                          <w:ilvl w:val="0"/>
                          <w:numId w:val="5"/>
                        </w:numPr>
                        <w:rPr>
                          <w:sz w:val="20"/>
                        </w:rPr>
                      </w:pPr>
                      <w:r w:rsidRPr="001203F4">
                        <w:rPr>
                          <w:sz w:val="20"/>
                        </w:rPr>
                        <w:t xml:space="preserve">Health oversight activities. </w:t>
                      </w:r>
                    </w:p>
                    <w:p w14:paraId="0C8C3112" w14:textId="77777777" w:rsidR="008A26C3" w:rsidRPr="001203F4" w:rsidRDefault="008A26C3" w:rsidP="008A26C3">
                      <w:pPr>
                        <w:pStyle w:val="ListParagraph"/>
                        <w:numPr>
                          <w:ilvl w:val="0"/>
                          <w:numId w:val="5"/>
                        </w:numPr>
                        <w:rPr>
                          <w:sz w:val="20"/>
                        </w:rPr>
                      </w:pPr>
                      <w:r w:rsidRPr="001203F4">
                        <w:rPr>
                          <w:sz w:val="20"/>
                        </w:rPr>
                        <w:t xml:space="preserve">Judicial and administrative proceedings. </w:t>
                      </w:r>
                    </w:p>
                    <w:p w14:paraId="79433376" w14:textId="77777777" w:rsidR="008A26C3" w:rsidRPr="001203F4" w:rsidRDefault="008A26C3" w:rsidP="008A26C3">
                      <w:pPr>
                        <w:pStyle w:val="ListParagraph"/>
                        <w:numPr>
                          <w:ilvl w:val="0"/>
                          <w:numId w:val="5"/>
                        </w:numPr>
                        <w:rPr>
                          <w:sz w:val="20"/>
                        </w:rPr>
                      </w:pPr>
                      <w:r w:rsidRPr="001203F4">
                        <w:rPr>
                          <w:sz w:val="20"/>
                        </w:rPr>
                        <w:t xml:space="preserve">Law enforcement purposes. </w:t>
                      </w:r>
                    </w:p>
                    <w:p w14:paraId="221A315A" w14:textId="77777777" w:rsidR="008A26C3" w:rsidRPr="001203F4" w:rsidRDefault="008A26C3" w:rsidP="008A26C3">
                      <w:pPr>
                        <w:pStyle w:val="ListParagraph"/>
                        <w:numPr>
                          <w:ilvl w:val="0"/>
                          <w:numId w:val="5"/>
                        </w:numPr>
                        <w:rPr>
                          <w:sz w:val="20"/>
                        </w:rPr>
                      </w:pPr>
                      <w:r w:rsidRPr="001203F4">
                        <w:rPr>
                          <w:sz w:val="20"/>
                        </w:rPr>
                        <w:t>Decedents.</w:t>
                      </w:r>
                    </w:p>
                    <w:p w14:paraId="61E40A5B" w14:textId="77777777" w:rsidR="008A26C3" w:rsidRPr="001203F4" w:rsidRDefault="008A26C3" w:rsidP="008A26C3">
                      <w:pPr>
                        <w:pStyle w:val="ListParagraph"/>
                        <w:numPr>
                          <w:ilvl w:val="0"/>
                          <w:numId w:val="5"/>
                        </w:numPr>
                        <w:rPr>
                          <w:sz w:val="20"/>
                        </w:rPr>
                      </w:pPr>
                      <w:r w:rsidRPr="001203F4">
                        <w:rPr>
                          <w:sz w:val="20"/>
                        </w:rPr>
                        <w:t xml:space="preserve">Cadaveric organ, eye, or tissue donation. </w:t>
                      </w:r>
                    </w:p>
                    <w:p w14:paraId="046E3BE6" w14:textId="77777777" w:rsidR="008A26C3" w:rsidRPr="001203F4" w:rsidRDefault="008A26C3" w:rsidP="008A26C3">
                      <w:pPr>
                        <w:pStyle w:val="ListParagraph"/>
                        <w:numPr>
                          <w:ilvl w:val="0"/>
                          <w:numId w:val="5"/>
                        </w:numPr>
                        <w:rPr>
                          <w:sz w:val="20"/>
                        </w:rPr>
                      </w:pPr>
                      <w:r w:rsidRPr="001203F4">
                        <w:rPr>
                          <w:sz w:val="20"/>
                        </w:rPr>
                        <w:t xml:space="preserve">Research. </w:t>
                      </w:r>
                    </w:p>
                    <w:p w14:paraId="13FC9D2E" w14:textId="77777777" w:rsidR="008A26C3" w:rsidRPr="001203F4" w:rsidRDefault="008A26C3" w:rsidP="008A26C3">
                      <w:pPr>
                        <w:pStyle w:val="ListParagraph"/>
                        <w:numPr>
                          <w:ilvl w:val="0"/>
                          <w:numId w:val="5"/>
                        </w:numPr>
                        <w:rPr>
                          <w:sz w:val="20"/>
                        </w:rPr>
                      </w:pPr>
                      <w:r w:rsidRPr="001203F4">
                        <w:rPr>
                          <w:sz w:val="20"/>
                        </w:rPr>
                        <w:t xml:space="preserve">Serious threat to health or safety. </w:t>
                      </w:r>
                    </w:p>
                    <w:p w14:paraId="5D26B125" w14:textId="77777777" w:rsidR="008A26C3" w:rsidRPr="001203F4" w:rsidRDefault="008A26C3" w:rsidP="008A26C3">
                      <w:pPr>
                        <w:pStyle w:val="ListParagraph"/>
                        <w:numPr>
                          <w:ilvl w:val="0"/>
                          <w:numId w:val="5"/>
                        </w:numPr>
                        <w:rPr>
                          <w:sz w:val="20"/>
                        </w:rPr>
                      </w:pPr>
                      <w:r w:rsidRPr="001203F4">
                        <w:rPr>
                          <w:sz w:val="20"/>
                        </w:rPr>
                        <w:t xml:space="preserve">Essential government functions. </w:t>
                      </w:r>
                    </w:p>
                    <w:p w14:paraId="3066C490" w14:textId="77777777" w:rsidR="008A26C3" w:rsidRPr="001203F4" w:rsidRDefault="008A26C3" w:rsidP="008A26C3">
                      <w:pPr>
                        <w:pStyle w:val="ListParagraph"/>
                        <w:numPr>
                          <w:ilvl w:val="0"/>
                          <w:numId w:val="5"/>
                        </w:numPr>
                        <w:rPr>
                          <w:sz w:val="20"/>
                        </w:rPr>
                      </w:pPr>
                      <w:r w:rsidRPr="001203F4">
                        <w:rPr>
                          <w:sz w:val="20"/>
                        </w:rPr>
                        <w:t xml:space="preserve">Workers’ compensation. </w:t>
                      </w:r>
                    </w:p>
                    <w:bookmarkEnd w:id="5"/>
                    <w:p w14:paraId="718FA645" w14:textId="77777777" w:rsidR="008A26C3" w:rsidRDefault="008A26C3" w:rsidP="008A26C3"/>
                  </w:txbxContent>
                </v:textbox>
                <w10:wrap type="topAndBottom" anchorx="margin"/>
              </v:shape>
            </w:pict>
          </mc:Fallback>
        </mc:AlternateContent>
      </w:r>
    </w:p>
    <w:sectPr w:rsidR="008A26C3" w:rsidRPr="0003333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50AFF" w14:textId="77777777" w:rsidR="00970F1B" w:rsidRDefault="00970F1B" w:rsidP="00A5256E">
      <w:r>
        <w:separator/>
      </w:r>
    </w:p>
  </w:endnote>
  <w:endnote w:type="continuationSeparator" w:id="0">
    <w:p w14:paraId="2D9ADCD3" w14:textId="77777777" w:rsidR="00970F1B" w:rsidRDefault="00970F1B" w:rsidP="00A52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E9598" w14:textId="77777777" w:rsidR="003E67DA" w:rsidRDefault="003E6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58949"/>
      <w:docPartObj>
        <w:docPartGallery w:val="Page Numbers (Bottom of Page)"/>
        <w:docPartUnique/>
      </w:docPartObj>
    </w:sdtPr>
    <w:sdtEndPr>
      <w:rPr>
        <w:noProof/>
      </w:rPr>
    </w:sdtEndPr>
    <w:sdtContent>
      <w:p w14:paraId="48A68C7F" w14:textId="145CD99F" w:rsidR="00C66A91" w:rsidRDefault="00C66A91" w:rsidP="00A20B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975A6" w14:textId="77777777" w:rsidR="003E67DA" w:rsidRDefault="003E6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88AF0" w14:textId="77777777" w:rsidR="00970F1B" w:rsidRDefault="00970F1B" w:rsidP="00A5256E">
      <w:r>
        <w:separator/>
      </w:r>
    </w:p>
  </w:footnote>
  <w:footnote w:type="continuationSeparator" w:id="0">
    <w:p w14:paraId="2552BE91" w14:textId="77777777" w:rsidR="00970F1B" w:rsidRDefault="00970F1B" w:rsidP="00A5256E">
      <w:r>
        <w:continuationSeparator/>
      </w:r>
    </w:p>
  </w:footnote>
  <w:footnote w:id="1">
    <w:p w14:paraId="6782B02D" w14:textId="5EAD4D4C" w:rsidR="00737C40" w:rsidRDefault="00042262">
      <w:pPr>
        <w:pStyle w:val="FootnoteText"/>
      </w:pPr>
      <w:r w:rsidRPr="00977BBA">
        <w:rPr>
          <w:b/>
          <w:bCs/>
          <w:highlight w:val="yellow"/>
        </w:rPr>
        <w:t>Footnotes will be streamlined and edited to style guide once text is finalized</w:t>
      </w:r>
    </w:p>
    <w:p w14:paraId="2E9153D9" w14:textId="33B2A578" w:rsidR="00406B3B" w:rsidRDefault="00406B3B">
      <w:pPr>
        <w:pStyle w:val="FootnoteText"/>
      </w:pPr>
      <w:r>
        <w:rPr>
          <w:rStyle w:val="FootnoteReference"/>
        </w:rPr>
        <w:footnoteRef/>
      </w:r>
      <w:r>
        <w:t xml:space="preserve"> </w:t>
      </w:r>
      <w:r w:rsidR="00C959C6" w:rsidRPr="00C959C6">
        <w:t>Health Insurance Portability and Accountability Act (HIPAA) of 1996. (P.L. 104-191).</w:t>
      </w:r>
    </w:p>
  </w:footnote>
  <w:footnote w:id="2">
    <w:p w14:paraId="62F47AC1" w14:textId="45B08F68" w:rsidR="00C959C6" w:rsidRDefault="00C959C6">
      <w:pPr>
        <w:pStyle w:val="FootnoteText"/>
      </w:pPr>
      <w:r>
        <w:rPr>
          <w:rStyle w:val="FootnoteReference"/>
        </w:rPr>
        <w:footnoteRef/>
      </w:r>
      <w:r>
        <w:t xml:space="preserve"> </w:t>
      </w:r>
      <w:proofErr w:type="spellStart"/>
      <w:r w:rsidRPr="00C959C6">
        <w:t>Chaikind</w:t>
      </w:r>
      <w:proofErr w:type="spellEnd"/>
      <w:r w:rsidRPr="00C959C6">
        <w:t xml:space="preserve"> H et al. Congressional Research Service. The Health Insurance Portability and Accountability Act (HIPAA) of 1996: Overview and Guidance on Frequently Asked Questions (RL31634). January 24, 2005. </w:t>
      </w:r>
      <w:r>
        <w:t>Retrieved from</w:t>
      </w:r>
      <w:r w:rsidRPr="00C959C6">
        <w:t xml:space="preserve"> </w:t>
      </w:r>
      <w:hyperlink r:id="rId1" w:history="1">
        <w:r>
          <w:rPr>
            <w:rStyle w:val="Hyperlink"/>
          </w:rPr>
          <w:t>https://crsreports.congress.gov/product/pdf/RL/RL31634</w:t>
        </w:r>
      </w:hyperlink>
      <w:r>
        <w:t xml:space="preserve">. </w:t>
      </w:r>
    </w:p>
  </w:footnote>
  <w:footnote w:id="3">
    <w:p w14:paraId="2ED53F3C" w14:textId="1B718A84" w:rsidR="00364893" w:rsidRDefault="00364893">
      <w:pPr>
        <w:pStyle w:val="FootnoteText"/>
      </w:pPr>
      <w:r>
        <w:rPr>
          <w:rStyle w:val="FootnoteReference"/>
        </w:rPr>
        <w:footnoteRef/>
      </w:r>
      <w:r>
        <w:t xml:space="preserve"> HHS</w:t>
      </w:r>
      <w:r w:rsidRPr="00364893">
        <w:t>. Standards for Privacy of Individually Identifiable Health Information. 45 C.F.R. Parts 160, 164.</w:t>
      </w:r>
    </w:p>
  </w:footnote>
  <w:footnote w:id="4">
    <w:p w14:paraId="5F5A3D21" w14:textId="0A5CE546" w:rsidR="00364893" w:rsidRDefault="00364893">
      <w:pPr>
        <w:pStyle w:val="FootnoteText"/>
      </w:pPr>
      <w:r>
        <w:rPr>
          <w:rStyle w:val="FootnoteReference"/>
        </w:rPr>
        <w:footnoteRef/>
      </w:r>
      <w:r>
        <w:t xml:space="preserve"> </w:t>
      </w:r>
      <w:r w:rsidRPr="00364893">
        <w:t xml:space="preserve">Stevens GM. Congressional Research Service. A Brief Summary of the HIPAA Medical Privacy Rule (RS20934). April 30, 2003. </w:t>
      </w:r>
      <w:r>
        <w:t xml:space="preserve">Retrieved from </w:t>
      </w:r>
      <w:hyperlink r:id="rId2" w:history="1">
        <w:r>
          <w:rPr>
            <w:rStyle w:val="Hyperlink"/>
          </w:rPr>
          <w:t>https://www.everycrsreport.com/reports/RS20934.html</w:t>
        </w:r>
      </w:hyperlink>
      <w:r>
        <w:t>.</w:t>
      </w:r>
    </w:p>
  </w:footnote>
  <w:footnote w:id="5">
    <w:p w14:paraId="1B0A5CC2" w14:textId="2EE84604" w:rsidR="00364893" w:rsidRDefault="00364893">
      <w:pPr>
        <w:pStyle w:val="FootnoteText"/>
      </w:pPr>
      <w:r>
        <w:rPr>
          <w:rStyle w:val="FootnoteReference"/>
        </w:rPr>
        <w:footnoteRef/>
      </w:r>
      <w:r>
        <w:t xml:space="preserve"> HHS.</w:t>
      </w:r>
      <w:r w:rsidRPr="00364893">
        <w:t xml:space="preserve"> </w:t>
      </w:r>
      <w:r>
        <w:t>S</w:t>
      </w:r>
      <w:r w:rsidRPr="00364893">
        <w:t>ummary of HIPAA Privacy Rule</w:t>
      </w:r>
      <w:r>
        <w:t>.</w:t>
      </w:r>
      <w:r w:rsidRPr="00364893">
        <w:t xml:space="preserve"> </w:t>
      </w:r>
      <w:r>
        <w:t xml:space="preserve">Retrieved from </w:t>
      </w:r>
      <w:hyperlink r:id="rId3" w:history="1">
        <w:r w:rsidRPr="00EE28AD">
          <w:rPr>
            <w:rStyle w:val="Hyperlink"/>
          </w:rPr>
          <w:t>https://www.hhs.gov/hipaa/for-professionals/privacy/laws-regulations/index.html</w:t>
        </w:r>
      </w:hyperlink>
      <w:r w:rsidRPr="00364893">
        <w:t>.</w:t>
      </w:r>
      <w:r>
        <w:t xml:space="preserve"> </w:t>
      </w:r>
    </w:p>
  </w:footnote>
  <w:footnote w:id="6">
    <w:p w14:paraId="0755B759" w14:textId="06C44E82" w:rsidR="00980AFB" w:rsidRDefault="00980AFB">
      <w:pPr>
        <w:pStyle w:val="FootnoteText"/>
      </w:pPr>
      <w:r>
        <w:rPr>
          <w:rStyle w:val="FootnoteReference"/>
        </w:rPr>
        <w:footnoteRef/>
      </w:r>
      <w:r>
        <w:t xml:space="preserve"> </w:t>
      </w:r>
      <w:r w:rsidRPr="00980AFB">
        <w:t xml:space="preserve">HHS. Summary of HIPAA Privacy Rule. Retrieved from </w:t>
      </w:r>
      <w:hyperlink r:id="rId4" w:history="1">
        <w:r w:rsidRPr="00EE28AD">
          <w:rPr>
            <w:rStyle w:val="Hyperlink"/>
          </w:rPr>
          <w:t>https://www.hhs.gov/hipaa/for-professionals/privacy/laws-regulations/index.html</w:t>
        </w:r>
      </w:hyperlink>
      <w:r w:rsidRPr="00980AFB">
        <w:t>.</w:t>
      </w:r>
      <w:r>
        <w:t xml:space="preserve"> </w:t>
      </w:r>
    </w:p>
  </w:footnote>
  <w:footnote w:id="7">
    <w:p w14:paraId="3DEA5101" w14:textId="48399991" w:rsidR="00980AFB" w:rsidRDefault="00980AFB">
      <w:pPr>
        <w:pStyle w:val="FootnoteText"/>
      </w:pPr>
      <w:r>
        <w:rPr>
          <w:rStyle w:val="FootnoteReference"/>
        </w:rPr>
        <w:footnoteRef/>
      </w:r>
      <w:r>
        <w:t xml:space="preserve"> </w:t>
      </w:r>
      <w:bookmarkStart w:id="0" w:name="_Hlk34595622"/>
      <w:r w:rsidRPr="00980AFB">
        <w:t>HHS. Standards for Privacy of Individually Identifiable Health Information. 45 C.F.R. Parts 160, 164.</w:t>
      </w:r>
      <w:bookmarkEnd w:id="0"/>
    </w:p>
  </w:footnote>
  <w:footnote w:id="8">
    <w:p w14:paraId="70C4B957" w14:textId="599FDF49" w:rsidR="00A71C1F" w:rsidRDefault="00A71C1F" w:rsidP="00A71C1F">
      <w:pPr>
        <w:pStyle w:val="FootnoteText"/>
      </w:pPr>
      <w:r>
        <w:rPr>
          <w:rStyle w:val="FootnoteReference"/>
        </w:rPr>
        <w:footnoteRef/>
      </w:r>
      <w:r>
        <w:t xml:space="preserve"> </w:t>
      </w:r>
      <w:r w:rsidRPr="00EC3C99">
        <w:t>45 C.F.R. § 164.514(b)(2).</w:t>
      </w:r>
    </w:p>
  </w:footnote>
  <w:footnote w:id="9">
    <w:p w14:paraId="5041F271" w14:textId="0EAD57B5" w:rsidR="0002780E" w:rsidRDefault="0002780E">
      <w:pPr>
        <w:pStyle w:val="FootnoteText"/>
      </w:pPr>
      <w:r>
        <w:rPr>
          <w:rStyle w:val="FootnoteReference"/>
        </w:rPr>
        <w:footnoteRef/>
      </w:r>
      <w:r>
        <w:t xml:space="preserve"> </w:t>
      </w:r>
      <w:r w:rsidR="009C1E09">
        <w:t xml:space="preserve">HHS. </w:t>
      </w:r>
      <w:r w:rsidR="00C6271A">
        <w:t xml:space="preserve">Summary of the </w:t>
      </w:r>
      <w:r w:rsidR="00771A5E">
        <w:t xml:space="preserve">HIPAA </w:t>
      </w:r>
      <w:r w:rsidR="00C6271A">
        <w:t xml:space="preserve">Privacy Rule. </w:t>
      </w:r>
      <w:r w:rsidR="009C1E09">
        <w:t xml:space="preserve">Retrieved from </w:t>
      </w:r>
      <w:hyperlink r:id="rId5" w:history="1">
        <w:r w:rsidR="009C1E09">
          <w:rPr>
            <w:rStyle w:val="Hyperlink"/>
          </w:rPr>
          <w:t>https://www.hhs.gov/hipaa/for-professionals/privacy/laws-regulations/index.html</w:t>
        </w:r>
      </w:hyperlink>
      <w:r w:rsidR="00A31366">
        <w:t>.</w:t>
      </w:r>
    </w:p>
  </w:footnote>
  <w:footnote w:id="10">
    <w:p w14:paraId="43C62052" w14:textId="56612B9E" w:rsidR="00980AFB" w:rsidRDefault="00980AFB">
      <w:pPr>
        <w:pStyle w:val="FootnoteText"/>
      </w:pPr>
      <w:r>
        <w:rPr>
          <w:rStyle w:val="FootnoteReference"/>
        </w:rPr>
        <w:footnoteRef/>
      </w:r>
      <w:r>
        <w:t xml:space="preserve"> </w:t>
      </w:r>
      <w:r w:rsidRPr="00980AFB">
        <w:t>HHS. Standards for Privacy of Individually Identifiable Health Information. 45 C.F.R. Parts 160, 164.</w:t>
      </w:r>
    </w:p>
  </w:footnote>
  <w:footnote w:id="11">
    <w:p w14:paraId="7719A77C" w14:textId="4FCBE275" w:rsidR="00980AFB" w:rsidRDefault="00980AFB">
      <w:pPr>
        <w:pStyle w:val="FootnoteText"/>
      </w:pPr>
      <w:r>
        <w:rPr>
          <w:rStyle w:val="FootnoteReference"/>
        </w:rPr>
        <w:footnoteRef/>
      </w:r>
      <w:r>
        <w:t xml:space="preserve"> </w:t>
      </w:r>
      <w:r w:rsidRPr="00980AFB">
        <w:t>HHS. Standards for Privacy of Individually Identifiable Health Information. 45 C.F.R. Parts 160, 164.</w:t>
      </w:r>
    </w:p>
  </w:footnote>
  <w:footnote w:id="12">
    <w:p w14:paraId="024AE5E1" w14:textId="3186C473" w:rsidR="00980AFB" w:rsidRDefault="00980AFB">
      <w:pPr>
        <w:pStyle w:val="FootnoteText"/>
      </w:pPr>
      <w:r>
        <w:rPr>
          <w:rStyle w:val="FootnoteReference"/>
        </w:rPr>
        <w:footnoteRef/>
      </w:r>
      <w:r>
        <w:t xml:space="preserve"> </w:t>
      </w:r>
      <w:r w:rsidRPr="00980AFB">
        <w:t>HHS. Standards for Privacy of Individually Identifiable Health Information. 45 C.F.R. Parts 160, 164.</w:t>
      </w:r>
    </w:p>
  </w:footnote>
  <w:footnote w:id="13">
    <w:p w14:paraId="59A6228F" w14:textId="0CC6FD0F" w:rsidR="00980AFB" w:rsidRDefault="00980AFB">
      <w:pPr>
        <w:pStyle w:val="FootnoteText"/>
      </w:pPr>
      <w:r>
        <w:rPr>
          <w:rStyle w:val="FootnoteReference"/>
        </w:rPr>
        <w:footnoteRef/>
      </w:r>
      <w:r>
        <w:t xml:space="preserve"> </w:t>
      </w:r>
      <w:bookmarkStart w:id="1" w:name="_Hlk34596133"/>
      <w:r w:rsidRPr="00980AFB">
        <w:t xml:space="preserve">HHS. Summary of HIPAA Privacy Rule. Retrieved from </w:t>
      </w:r>
      <w:hyperlink r:id="rId6" w:history="1">
        <w:r w:rsidRPr="00EE28AD">
          <w:rPr>
            <w:rStyle w:val="Hyperlink"/>
          </w:rPr>
          <w:t>https://www.hhs.gov/hipaa/for-professionals/privacy/laws-regulations/index.html</w:t>
        </w:r>
      </w:hyperlink>
      <w:r w:rsidRPr="00980AFB">
        <w:t>.</w:t>
      </w:r>
      <w:r>
        <w:t xml:space="preserve"> </w:t>
      </w:r>
      <w:bookmarkEnd w:id="1"/>
    </w:p>
  </w:footnote>
  <w:footnote w:id="14">
    <w:p w14:paraId="46DBF0E4" w14:textId="55953ADE" w:rsidR="00980AFB" w:rsidRDefault="00980AFB">
      <w:pPr>
        <w:pStyle w:val="FootnoteText"/>
      </w:pPr>
      <w:r>
        <w:rPr>
          <w:rStyle w:val="FootnoteReference"/>
        </w:rPr>
        <w:footnoteRef/>
      </w:r>
      <w:r>
        <w:t xml:space="preserve"> </w:t>
      </w:r>
      <w:r w:rsidRPr="00980AFB">
        <w:t xml:space="preserve">HHS. Summary of HIPAA Privacy Rule. Retrieved from </w:t>
      </w:r>
      <w:hyperlink r:id="rId7" w:history="1">
        <w:r w:rsidRPr="00EE28AD">
          <w:rPr>
            <w:rStyle w:val="Hyperlink"/>
          </w:rPr>
          <w:t>https://www.hhs.gov/hipaa/for-professionals/privacy/laws-regulations/index.html</w:t>
        </w:r>
      </w:hyperlink>
      <w:r w:rsidRPr="00980AFB">
        <w:t>.</w:t>
      </w:r>
      <w:r>
        <w:t xml:space="preserve"> </w:t>
      </w:r>
    </w:p>
  </w:footnote>
  <w:footnote w:id="15">
    <w:p w14:paraId="686CC72C" w14:textId="20BEF3A6" w:rsidR="002074C9" w:rsidRDefault="002074C9">
      <w:pPr>
        <w:pStyle w:val="FootnoteText"/>
      </w:pPr>
      <w:r>
        <w:rPr>
          <w:rStyle w:val="FootnoteReference"/>
        </w:rPr>
        <w:footnoteRef/>
      </w:r>
      <w:r>
        <w:t xml:space="preserve"> </w:t>
      </w:r>
      <w:r w:rsidRPr="002074C9">
        <w:t>45 C.F.R. §164.512(b)(</w:t>
      </w:r>
      <w:proofErr w:type="spellStart"/>
      <w:r w:rsidRPr="002074C9">
        <w:t>i</w:t>
      </w:r>
      <w:proofErr w:type="spellEnd"/>
      <w:r w:rsidRPr="002074C9">
        <w:t>)–(v).</w:t>
      </w:r>
    </w:p>
  </w:footnote>
  <w:footnote w:id="16">
    <w:p w14:paraId="53A08D64" w14:textId="7E71C707" w:rsidR="002074C9" w:rsidRDefault="002074C9">
      <w:pPr>
        <w:pStyle w:val="FootnoteText"/>
      </w:pPr>
      <w:r>
        <w:rPr>
          <w:rStyle w:val="FootnoteReference"/>
        </w:rPr>
        <w:footnoteRef/>
      </w:r>
      <w:r>
        <w:t xml:space="preserve"> </w:t>
      </w:r>
      <w:r w:rsidRPr="00980AFB">
        <w:t xml:space="preserve">HHS. Summary of HIPAA Privacy Rule. Retrieved from </w:t>
      </w:r>
      <w:hyperlink r:id="rId8" w:history="1">
        <w:r w:rsidRPr="00EE28AD">
          <w:rPr>
            <w:rStyle w:val="Hyperlink"/>
          </w:rPr>
          <w:t>https://www.hhs.gov/hipaa/for-professionals/privacy/laws-regulations/index.html</w:t>
        </w:r>
      </w:hyperlink>
      <w:r w:rsidRPr="00980AFB">
        <w:t>.</w:t>
      </w:r>
    </w:p>
  </w:footnote>
  <w:footnote w:id="17">
    <w:p w14:paraId="0D77EDED" w14:textId="535CF90E" w:rsidR="002074C9" w:rsidRDefault="002074C9">
      <w:pPr>
        <w:pStyle w:val="FootnoteText"/>
      </w:pPr>
      <w:r>
        <w:rPr>
          <w:rStyle w:val="FootnoteReference"/>
        </w:rPr>
        <w:footnoteRef/>
      </w:r>
      <w:r>
        <w:t xml:space="preserve"> </w:t>
      </w:r>
      <w:bookmarkStart w:id="2" w:name="_Hlk34596618"/>
      <w:r w:rsidRPr="00980AFB">
        <w:t xml:space="preserve">HHS. Summary of HIPAA Privacy Rule. Retrieved from </w:t>
      </w:r>
      <w:hyperlink r:id="rId9" w:history="1">
        <w:r w:rsidRPr="00EE28AD">
          <w:rPr>
            <w:rStyle w:val="Hyperlink"/>
          </w:rPr>
          <w:t>https://www.hhs.gov/hipaa/for-professionals/privacy/laws-regulations/index.html</w:t>
        </w:r>
      </w:hyperlink>
      <w:r w:rsidRPr="00980AFB">
        <w:t>.</w:t>
      </w:r>
      <w:bookmarkEnd w:id="2"/>
    </w:p>
  </w:footnote>
  <w:footnote w:id="18">
    <w:p w14:paraId="13CA6EB3" w14:textId="4A544769" w:rsidR="00757F54" w:rsidRDefault="00757F54" w:rsidP="00757F54">
      <w:pPr>
        <w:pStyle w:val="FootnoteText"/>
      </w:pPr>
      <w:r>
        <w:rPr>
          <w:rStyle w:val="FootnoteReference"/>
        </w:rPr>
        <w:footnoteRef/>
      </w:r>
      <w:r>
        <w:t xml:space="preserve"> </w:t>
      </w:r>
      <w:r w:rsidR="00F63878">
        <w:t>HHS</w:t>
      </w:r>
      <w:r w:rsidRPr="001E0FCC">
        <w:t>.</w:t>
      </w:r>
      <w:r w:rsidR="00121F69">
        <w:t xml:space="preserve"> </w:t>
      </w:r>
      <w:r w:rsidRPr="001E0FCC">
        <w:t>HHS FAQs: When does the Privacy Rule allow covered entities to disclose protected health information to law enforcement officials?</w:t>
      </w:r>
      <w:r w:rsidR="00121F69">
        <w:t xml:space="preserve"> Retrieved from </w:t>
      </w:r>
      <w:hyperlink r:id="rId10" w:history="1">
        <w:r w:rsidRPr="00CA61B1">
          <w:rPr>
            <w:rStyle w:val="Hyperlink"/>
          </w:rPr>
          <w:t>http://www.hhs.gov/ocr/privacy/hipaa/f</w:t>
        </w:r>
        <w:r w:rsidRPr="00CA61B1">
          <w:rPr>
            <w:rStyle w:val="Hyperlink"/>
          </w:rPr>
          <w:t>a</w:t>
        </w:r>
        <w:r w:rsidRPr="00CA61B1">
          <w:rPr>
            <w:rStyle w:val="Hyperlink"/>
          </w:rPr>
          <w:t>q/disclosures_for_law_enforcement_purposes/505.html</w:t>
        </w:r>
      </w:hyperlink>
      <w:r w:rsidR="00121F69">
        <w:t>.</w:t>
      </w:r>
    </w:p>
  </w:footnote>
  <w:footnote w:id="19">
    <w:p w14:paraId="7D52F37F" w14:textId="1F37CCF5" w:rsidR="00EA5146" w:rsidRDefault="00EA5146" w:rsidP="00EA5146">
      <w:pPr>
        <w:pStyle w:val="FootnoteText"/>
      </w:pPr>
      <w:r>
        <w:rPr>
          <w:rStyle w:val="FootnoteReference"/>
        </w:rPr>
        <w:footnoteRef/>
      </w:r>
      <w:r>
        <w:t xml:space="preserve"> </w:t>
      </w:r>
      <w:r w:rsidRPr="001E0FCC">
        <w:t>45 C.F.R. § 164.512(f)(1)(</w:t>
      </w:r>
      <w:proofErr w:type="spellStart"/>
      <w:r w:rsidRPr="001E0FCC">
        <w:t>i</w:t>
      </w:r>
      <w:proofErr w:type="spellEnd"/>
      <w:r w:rsidRPr="001E0FCC">
        <w:t>).</w:t>
      </w:r>
      <w:r w:rsidR="009968B6">
        <w:t xml:space="preserve"> </w:t>
      </w:r>
      <w:r w:rsidR="00DE44E8">
        <w:t>T</w:t>
      </w:r>
      <w:r w:rsidR="009968B6" w:rsidRPr="00922E9C">
        <w:rPr>
          <w:rFonts w:ascii="Calibri" w:eastAsia="Times New Roman" w:hAnsi="Calibri" w:cs="Calibri"/>
        </w:rPr>
        <w:t>he Privacy Rule permits disclosures of PHI as necessary to comply with state laws that require healthcare providers to report incidents of gunshot, stab wounds, or other violent injuries.</w:t>
      </w:r>
    </w:p>
  </w:footnote>
  <w:footnote w:id="20">
    <w:p w14:paraId="725440CD" w14:textId="3C21E520" w:rsidR="00EA5146" w:rsidRDefault="00EA5146" w:rsidP="00EA5146">
      <w:pPr>
        <w:pStyle w:val="FootnoteText"/>
      </w:pPr>
      <w:r>
        <w:rPr>
          <w:rStyle w:val="FootnoteReference"/>
        </w:rPr>
        <w:footnoteRef/>
      </w:r>
      <w:r w:rsidR="00DE44E8">
        <w:t xml:space="preserve"> </w:t>
      </w:r>
      <w:r w:rsidRPr="001E0FCC">
        <w:t>45 C.F.R. § 164.512(f)(1)(ii)(A)-(B).</w:t>
      </w:r>
      <w:r w:rsidR="009968B6">
        <w:t xml:space="preserve"> </w:t>
      </w:r>
      <w:r w:rsidR="009968B6" w:rsidRPr="009968B6">
        <w:rPr>
          <w:rFonts w:ascii="Calibri" w:eastAsia="Times New Roman" w:hAnsi="Calibri" w:cs="Calibri"/>
        </w:rPr>
        <w:t>The Rule recognizes that the legal process in obtaining a court order and the secrecy of the grand jury process provides protections for the individual's private information.</w:t>
      </w:r>
    </w:p>
  </w:footnote>
  <w:footnote w:id="21">
    <w:p w14:paraId="2546E772" w14:textId="0E95C5A9" w:rsidR="00EA5146" w:rsidRDefault="00EA5146" w:rsidP="00EA5146">
      <w:pPr>
        <w:pStyle w:val="FootnoteText"/>
      </w:pPr>
      <w:r>
        <w:rPr>
          <w:rStyle w:val="FootnoteReference"/>
        </w:rPr>
        <w:footnoteRef/>
      </w:r>
      <w:r>
        <w:t xml:space="preserve"> </w:t>
      </w:r>
      <w:r w:rsidRPr="001E0FCC">
        <w:t>45 C.F.R. § 164.512(f)(1)(ii)(C).</w:t>
      </w:r>
      <w:r w:rsidR="009968B6">
        <w:t xml:space="preserve"> </w:t>
      </w:r>
      <w:r w:rsidR="009968B6" w:rsidRPr="009968B6">
        <w:rPr>
          <w:rFonts w:ascii="Calibri" w:eastAsia="Times New Roman" w:hAnsi="Calibri" w:cs="Calibri"/>
        </w:rPr>
        <w:t>Because an administrative request may be made without judicial involvement, the Privacy Rule requires all administrative requests to include or be accompanied by a written statement that the information requested is relevant and material, specific and limited in scope, and that de-identified information cannot be used.</w:t>
      </w:r>
    </w:p>
  </w:footnote>
  <w:footnote w:id="22">
    <w:p w14:paraId="2C29B457" w14:textId="682427BB" w:rsidR="00EA5146" w:rsidRPr="00D749A4" w:rsidRDefault="00EA5146" w:rsidP="00D749A4">
      <w:pPr>
        <w:rPr>
          <w:rFonts w:eastAsia="Times New Roman" w:cstheme="minorHAnsi"/>
          <w:b/>
          <w:bCs/>
          <w:color w:val="000000" w:themeColor="text1"/>
          <w:sz w:val="20"/>
          <w:szCs w:val="20"/>
        </w:rPr>
      </w:pPr>
      <w:r w:rsidRPr="00D749A4">
        <w:rPr>
          <w:rStyle w:val="FootnoteReference"/>
          <w:sz w:val="20"/>
          <w:szCs w:val="20"/>
        </w:rPr>
        <w:footnoteRef/>
      </w:r>
      <w:r w:rsidRPr="00D749A4">
        <w:rPr>
          <w:sz w:val="20"/>
          <w:szCs w:val="20"/>
        </w:rPr>
        <w:t xml:space="preserve"> 45 C.F.R. § 164.512(f)(2).</w:t>
      </w:r>
      <w:r w:rsidR="009968B6" w:rsidRPr="00D749A4">
        <w:rPr>
          <w:sz w:val="20"/>
          <w:szCs w:val="20"/>
        </w:rPr>
        <w:t xml:space="preserve"> </w:t>
      </w:r>
      <w:r w:rsidR="009968B6" w:rsidRPr="00D749A4">
        <w:rPr>
          <w:rFonts w:ascii="Calibri" w:eastAsia="Times New Roman" w:hAnsi="Calibri" w:cs="Calibri"/>
          <w:sz w:val="20"/>
          <w:szCs w:val="20"/>
        </w:rPr>
        <w:t>Under this exception, the covered entity must limit disclosures of PHI to name and address, date and place of birth, social security number, ABO blood type and rh factor, type of injury, date and time of treatment, date and time of death, and a description of distinguishing physical characteristics. Other information related to the individual's DNA, dental records, body fluid or tissue typing, samples, or analysis cannot be disclosed under this provision, but may be disclosed in response to a court order, warrant, or written administrative request.</w:t>
      </w:r>
    </w:p>
  </w:footnote>
  <w:footnote w:id="23">
    <w:p w14:paraId="56F842B9" w14:textId="053FCCD8" w:rsidR="00EA5146" w:rsidRDefault="00EA5146" w:rsidP="00EA5146">
      <w:pPr>
        <w:pStyle w:val="FootnoteText"/>
      </w:pPr>
      <w:r>
        <w:rPr>
          <w:rStyle w:val="FootnoteReference"/>
        </w:rPr>
        <w:footnoteRef/>
      </w:r>
      <w:r>
        <w:t xml:space="preserve"> </w:t>
      </w:r>
      <w:r w:rsidRPr="001E0FCC">
        <w:t>45 CFR § 164.502(j)(2).</w:t>
      </w:r>
    </w:p>
  </w:footnote>
  <w:footnote w:id="24">
    <w:p w14:paraId="0D249A3D" w14:textId="3BFC32EA" w:rsidR="00EA5146" w:rsidRDefault="00EA5146" w:rsidP="00EA5146">
      <w:pPr>
        <w:pStyle w:val="FootnoteText"/>
      </w:pPr>
      <w:r>
        <w:rPr>
          <w:rStyle w:val="FootnoteReference"/>
        </w:rPr>
        <w:footnoteRef/>
      </w:r>
      <w:r>
        <w:t xml:space="preserve"> </w:t>
      </w:r>
      <w:r w:rsidRPr="001E0FCC">
        <w:t>45 C.F.R. § 164.512(f)(3).</w:t>
      </w:r>
      <w:r w:rsidR="009968B6">
        <w:t xml:space="preserve"> </w:t>
      </w:r>
      <w:r w:rsidR="009968B6" w:rsidRPr="009968B6">
        <w:rPr>
          <w:rFonts w:ascii="Calibri" w:eastAsia="Times New Roman" w:hAnsi="Calibri" w:cs="Calibri"/>
        </w:rPr>
        <w:t>If, because of an emergency or the person's incapacity, the individual cannot agree, the covered entity may disclose the PHI if law enforcement officials represent that the PHI is not intended to be used against the victim, is needed to determine whether another person broke the law, that the investigation would be materially and adversely affected by waiting until the victim could agree, and the covered entity believes in its professional judgment that doing so is in the best interests of the individual whose information is requested.</w:t>
      </w:r>
    </w:p>
  </w:footnote>
  <w:footnote w:id="25">
    <w:p w14:paraId="503DC045" w14:textId="4A3C4DCB" w:rsidR="00EA5146" w:rsidRDefault="00EA5146" w:rsidP="00EA5146">
      <w:pPr>
        <w:pStyle w:val="FootnoteText"/>
      </w:pPr>
      <w:r>
        <w:rPr>
          <w:rStyle w:val="FootnoteReference"/>
        </w:rPr>
        <w:footnoteRef/>
      </w:r>
      <w:r>
        <w:t xml:space="preserve"> </w:t>
      </w:r>
      <w:r w:rsidRPr="001E0FCC">
        <w:t>45 C.F.R. § 164.512(f)(4).</w:t>
      </w:r>
    </w:p>
  </w:footnote>
  <w:footnote w:id="26">
    <w:p w14:paraId="6C05F40D" w14:textId="38E627BD" w:rsidR="00EA5146" w:rsidRDefault="00EA5146" w:rsidP="00EA5146">
      <w:pPr>
        <w:pStyle w:val="FootnoteText"/>
      </w:pPr>
      <w:r>
        <w:rPr>
          <w:rStyle w:val="FootnoteReference"/>
        </w:rPr>
        <w:footnoteRef/>
      </w:r>
      <w:r>
        <w:t xml:space="preserve"> </w:t>
      </w:r>
      <w:r w:rsidRPr="001E0FCC">
        <w:t>45 C.F.R. § 164.512(f)(5).</w:t>
      </w:r>
    </w:p>
  </w:footnote>
  <w:footnote w:id="27">
    <w:p w14:paraId="3B708086" w14:textId="7328AEA1" w:rsidR="00EA5146" w:rsidRDefault="00EA5146" w:rsidP="00EA5146">
      <w:pPr>
        <w:pStyle w:val="FootnoteText"/>
      </w:pPr>
      <w:r>
        <w:rPr>
          <w:rStyle w:val="FootnoteReference"/>
        </w:rPr>
        <w:footnoteRef/>
      </w:r>
      <w:r>
        <w:t xml:space="preserve"> </w:t>
      </w:r>
      <w:r w:rsidRPr="001E0FCC">
        <w:t>45 C.F.R. § 164.512(f)(6).</w:t>
      </w:r>
      <w:r w:rsidR="009475FC">
        <w:t xml:space="preserve"> This provision </w:t>
      </w:r>
      <w:r w:rsidR="009475FC" w:rsidRPr="009475FC">
        <w:t>specifically</w:t>
      </w:r>
      <w:r w:rsidR="009475FC">
        <w:t xml:space="preserve"> applies to </w:t>
      </w:r>
      <w:r w:rsidR="0007323F">
        <w:t xml:space="preserve">information regarding </w:t>
      </w:r>
      <w:r w:rsidR="009475FC" w:rsidRPr="009475FC">
        <w:t>the commission and nature of the crime, the location of the crime or any victims, and the identity, description, and location of the perpetrator of the crime</w:t>
      </w:r>
      <w:r w:rsidR="009475FC" w:rsidRPr="009475FC">
        <w:t xml:space="preserve"> </w:t>
      </w:r>
      <w:r w:rsidR="0045077B" w:rsidRPr="0045077B">
        <w:rPr>
          <w:rFonts w:ascii="Calibri" w:eastAsia="Times New Roman" w:hAnsi="Calibri" w:cs="Calibri"/>
        </w:rPr>
        <w:t>This provision does not apply if the covered healthcare provider believes that the individual in need of the emergency medical care is the victim of abuse, neglect, or domestic violence</w:t>
      </w:r>
      <w:r w:rsidR="0045077B">
        <w:rPr>
          <w:rFonts w:ascii="Calibri" w:eastAsia="Times New Roman" w:hAnsi="Calibri" w:cs="Calibri"/>
        </w:rPr>
        <w:t xml:space="preserve">. </w:t>
      </w:r>
      <w:r w:rsidR="0045077B" w:rsidRPr="001E0FCC">
        <w:t>Disclosure of PHI regarding adult abuse, neglect, or domestic violence, must meet criteria set out in another exception</w:t>
      </w:r>
      <w:r w:rsidR="000448E5">
        <w:t xml:space="preserve">. </w:t>
      </w:r>
      <w:r w:rsidR="0045077B" w:rsidRPr="001E0FCC">
        <w:t>45 C.F.R. § 164.512(c).</w:t>
      </w:r>
    </w:p>
  </w:footnote>
  <w:footnote w:id="28">
    <w:p w14:paraId="103D58A7" w14:textId="4D52B31E" w:rsidR="00EA5146" w:rsidRDefault="00EA5146" w:rsidP="00EA5146">
      <w:pPr>
        <w:pStyle w:val="FootnoteText"/>
      </w:pPr>
      <w:r>
        <w:rPr>
          <w:rStyle w:val="FootnoteReference"/>
        </w:rPr>
        <w:footnoteRef/>
      </w:r>
      <w:r>
        <w:t xml:space="preserve"> </w:t>
      </w:r>
      <w:r w:rsidRPr="001E0FCC">
        <w:t>45 C.F.R. § 164.512(g)(1).</w:t>
      </w:r>
    </w:p>
  </w:footnote>
  <w:footnote w:id="29">
    <w:p w14:paraId="1C7EA99B" w14:textId="7813DFA4" w:rsidR="00EA5146" w:rsidRDefault="00EA5146" w:rsidP="00EA5146">
      <w:pPr>
        <w:pStyle w:val="FootnoteText"/>
      </w:pPr>
      <w:r>
        <w:rPr>
          <w:rStyle w:val="FootnoteReference"/>
        </w:rPr>
        <w:footnoteRef/>
      </w:r>
      <w:r>
        <w:t xml:space="preserve"> </w:t>
      </w:r>
      <w:r w:rsidRPr="001E0FCC">
        <w:t>45 C.F.R. § 164.512(j)(1)(</w:t>
      </w:r>
      <w:proofErr w:type="spellStart"/>
      <w:r w:rsidRPr="001E0FCC">
        <w:t>i</w:t>
      </w:r>
      <w:proofErr w:type="spellEnd"/>
      <w:r w:rsidRPr="001E0FCC">
        <w:t xml:space="preserve">). </w:t>
      </w:r>
      <w:r w:rsidRPr="00D46F87">
        <w:rPr>
          <w:i/>
          <w:iCs/>
        </w:rPr>
        <w:t>See also</w:t>
      </w:r>
      <w:r w:rsidR="004232C8">
        <w:t xml:space="preserve"> </w:t>
      </w:r>
      <w:r w:rsidR="00E32934">
        <w:t xml:space="preserve">Office of the Director of National Intelligence. </w:t>
      </w:r>
      <w:r w:rsidR="00195DA5">
        <w:t xml:space="preserve">About the ISE. Retrieved from </w:t>
      </w:r>
      <w:hyperlink r:id="rId11" w:history="1">
        <w:r w:rsidRPr="00CA61B1">
          <w:rPr>
            <w:rStyle w:val="Hyperlink"/>
          </w:rPr>
          <w:t>http://ise.gov/backgrou</w:t>
        </w:r>
        <w:r w:rsidRPr="00CA61B1">
          <w:rPr>
            <w:rStyle w:val="Hyperlink"/>
          </w:rPr>
          <w:t>n</w:t>
        </w:r>
        <w:r w:rsidRPr="00CA61B1">
          <w:rPr>
            <w:rStyle w:val="Hyperlink"/>
          </w:rPr>
          <w:t>d-and-authorities</w:t>
        </w:r>
      </w:hyperlink>
      <w:r w:rsidRPr="001E0FCC">
        <w:t>.</w:t>
      </w:r>
      <w:r>
        <w:t xml:space="preserve"> </w:t>
      </w:r>
    </w:p>
  </w:footnote>
  <w:footnote w:id="30">
    <w:p w14:paraId="423D55DB" w14:textId="34698E83" w:rsidR="00EA5146" w:rsidRDefault="00EA5146" w:rsidP="00EA5146">
      <w:pPr>
        <w:pStyle w:val="FootnoteText"/>
      </w:pPr>
      <w:r>
        <w:rPr>
          <w:rStyle w:val="FootnoteReference"/>
        </w:rPr>
        <w:footnoteRef/>
      </w:r>
      <w:r>
        <w:t xml:space="preserve"> </w:t>
      </w:r>
      <w:r w:rsidRPr="001E0FCC">
        <w:t>45 C.F.R. § 164.512(j)(1)(ii)(A), (j)(2)-(3).</w:t>
      </w:r>
    </w:p>
  </w:footnote>
  <w:footnote w:id="31">
    <w:p w14:paraId="46139564" w14:textId="50570533" w:rsidR="00EA5146" w:rsidRDefault="00EA5146" w:rsidP="00EA5146">
      <w:pPr>
        <w:pStyle w:val="FootnoteText"/>
      </w:pPr>
      <w:r>
        <w:rPr>
          <w:rStyle w:val="FootnoteReference"/>
        </w:rPr>
        <w:footnoteRef/>
      </w:r>
      <w:r>
        <w:t xml:space="preserve"> </w:t>
      </w:r>
      <w:r w:rsidRPr="001E0FCC">
        <w:t>45 C.F.R. § 164.512(j)(1)(ii)(B).</w:t>
      </w:r>
    </w:p>
  </w:footnote>
  <w:footnote w:id="32">
    <w:p w14:paraId="7856E734" w14:textId="01760570" w:rsidR="00EA5146" w:rsidRDefault="00EA5146" w:rsidP="00EA5146">
      <w:pPr>
        <w:pStyle w:val="FootnoteText"/>
      </w:pPr>
      <w:r>
        <w:rPr>
          <w:rStyle w:val="FootnoteReference"/>
        </w:rPr>
        <w:footnoteRef/>
      </w:r>
      <w:r>
        <w:t xml:space="preserve"> </w:t>
      </w:r>
      <w:r w:rsidRPr="001E0FCC">
        <w:t>45 C.F.R. § 164.512(k)(2); 45 CFR 164.512(k)(3).</w:t>
      </w:r>
    </w:p>
  </w:footnote>
  <w:footnote w:id="33">
    <w:p w14:paraId="38F0B9D7" w14:textId="420A863B" w:rsidR="00EA5146" w:rsidRDefault="00EA5146" w:rsidP="00EA5146">
      <w:pPr>
        <w:pStyle w:val="FootnoteText"/>
      </w:pPr>
      <w:r>
        <w:rPr>
          <w:rStyle w:val="FootnoteReference"/>
        </w:rPr>
        <w:footnoteRef/>
      </w:r>
      <w:r>
        <w:t xml:space="preserve"> </w:t>
      </w:r>
      <w:r w:rsidRPr="001E0FCC">
        <w:t>45 C.F.R. § 164.512(k)(5)</w:t>
      </w:r>
    </w:p>
  </w:footnote>
  <w:footnote w:id="34">
    <w:p w14:paraId="0EC7BAAE" w14:textId="2EBF00F7" w:rsidR="00974611" w:rsidRDefault="00974611">
      <w:pPr>
        <w:pStyle w:val="FootnoteText"/>
      </w:pPr>
      <w:r>
        <w:rPr>
          <w:rStyle w:val="FootnoteReference"/>
        </w:rPr>
        <w:footnoteRef/>
      </w:r>
      <w:r>
        <w:t xml:space="preserve"> </w:t>
      </w:r>
      <w:r w:rsidRPr="00974611">
        <w:t>Social Security Act. Pub. L. No. 104-321. Codified at 42 U.S.C. §1320b-5.</w:t>
      </w:r>
    </w:p>
  </w:footnote>
  <w:footnote w:id="35">
    <w:p w14:paraId="0F07DB78" w14:textId="2BAF94E1" w:rsidR="007A53DC" w:rsidRDefault="007A53DC">
      <w:pPr>
        <w:pStyle w:val="FootnoteText"/>
      </w:pPr>
      <w:r>
        <w:rPr>
          <w:rStyle w:val="FootnoteReference"/>
        </w:rPr>
        <w:footnoteRef/>
      </w:r>
      <w:r>
        <w:t xml:space="preserve"> </w:t>
      </w:r>
      <w:r w:rsidRPr="007A53DC">
        <w:t xml:space="preserve">Center for Medicare and Medicaid Services. “Medicare Fee-For-Service Emergency and Disaster-Related Policies and Procedures That May Be Implemented Only With a § 1135 Waiver.” March 15, 2019. </w:t>
      </w:r>
      <w:r>
        <w:t>Retrieved from</w:t>
      </w:r>
      <w:r w:rsidRPr="007A53DC">
        <w:t xml:space="preserve"> </w:t>
      </w:r>
      <w:hyperlink r:id="rId12" w:history="1">
        <w:r w:rsidRPr="00EE28AD">
          <w:rPr>
            <w:rStyle w:val="Hyperlink"/>
          </w:rPr>
          <w:t>www.cms.gov/Emergency/downloads/MedicareFFS-EmergencyQsAs1135Waiver.pdf</w:t>
        </w:r>
      </w:hyperlink>
      <w:r w:rsidRPr="007A53DC">
        <w:t>.</w:t>
      </w:r>
      <w:r>
        <w:t xml:space="preserve"> </w:t>
      </w:r>
    </w:p>
  </w:footnote>
  <w:footnote w:id="36">
    <w:p w14:paraId="6B4C8C5E" w14:textId="0F9082CE" w:rsidR="007A53DC" w:rsidRDefault="007A53DC">
      <w:pPr>
        <w:pStyle w:val="FootnoteText"/>
      </w:pPr>
      <w:r>
        <w:rPr>
          <w:rStyle w:val="FootnoteReference"/>
        </w:rPr>
        <w:footnoteRef/>
      </w:r>
      <w:r>
        <w:t xml:space="preserve"> HHS</w:t>
      </w:r>
      <w:r w:rsidRPr="007A53DC">
        <w:t>. Public Health Emergency Declaration Q&amp;As</w:t>
      </w:r>
      <w:r w:rsidR="00D10745">
        <w:t>.</w:t>
      </w:r>
      <w:r w:rsidRPr="007A53DC">
        <w:t xml:space="preserve"> </w:t>
      </w:r>
      <w:r w:rsidR="00D10745">
        <w:t>Retrieved from</w:t>
      </w:r>
      <w:r w:rsidRPr="007A53DC">
        <w:t xml:space="preserve"> </w:t>
      </w:r>
      <w:hyperlink r:id="rId13" w:history="1">
        <w:r w:rsidRPr="00EE28AD">
          <w:rPr>
            <w:rStyle w:val="Hyperlink"/>
          </w:rPr>
          <w:t>www.phe.gov/Preparedness/legal/Pages/phe-qa.aspx</w:t>
        </w:r>
      </w:hyperlink>
      <w:r w:rsidRPr="007A53DC">
        <w:t>.</w:t>
      </w:r>
      <w:r>
        <w:t xml:space="preserve"> </w:t>
      </w:r>
    </w:p>
  </w:footnote>
  <w:footnote w:id="37">
    <w:p w14:paraId="3B51BF45" w14:textId="66B2825F" w:rsidR="006B700C" w:rsidRDefault="006B700C">
      <w:pPr>
        <w:pStyle w:val="FootnoteText"/>
      </w:pPr>
      <w:r>
        <w:rPr>
          <w:rStyle w:val="FootnoteReference"/>
        </w:rPr>
        <w:footnoteRef/>
      </w:r>
      <w:r>
        <w:t xml:space="preserve"> </w:t>
      </w:r>
      <w:r w:rsidRPr="006B700C">
        <w:t xml:space="preserve">HHS. Summary of HIPAA Privacy Rule. Retrieved from </w:t>
      </w:r>
      <w:hyperlink r:id="rId14" w:history="1">
        <w:r w:rsidRPr="00EE28AD">
          <w:rPr>
            <w:rStyle w:val="Hyperlink"/>
          </w:rPr>
          <w:t>https://www.hhs.gov/hipaa/for-professionals/privacy/laws-regulations/index.html</w:t>
        </w:r>
      </w:hyperlink>
      <w:r w:rsidRPr="006B700C">
        <w:t>.</w:t>
      </w:r>
      <w:r>
        <w:t xml:space="preserve"> </w:t>
      </w:r>
    </w:p>
  </w:footnote>
  <w:footnote w:id="38">
    <w:p w14:paraId="16C783B3" w14:textId="7B9C771A" w:rsidR="006B700C" w:rsidRDefault="006B700C">
      <w:pPr>
        <w:pStyle w:val="FootnoteText"/>
      </w:pPr>
      <w:r>
        <w:rPr>
          <w:rStyle w:val="FootnoteReference"/>
        </w:rPr>
        <w:footnoteRef/>
      </w:r>
      <w:r>
        <w:t xml:space="preserve"> </w:t>
      </w:r>
      <w:bookmarkStart w:id="3" w:name="_Hlk34596880"/>
      <w:r w:rsidRPr="00980AFB">
        <w:t xml:space="preserve">HHS. Summary of HIPAA Privacy Rule. Retrieved from </w:t>
      </w:r>
      <w:hyperlink r:id="rId15" w:history="1">
        <w:r w:rsidRPr="00EE28AD">
          <w:rPr>
            <w:rStyle w:val="Hyperlink"/>
          </w:rPr>
          <w:t>https://www.hhs.gov/hipaa/for-professionals/privacy/laws-regulations/index.html</w:t>
        </w:r>
      </w:hyperlink>
      <w:r w:rsidRPr="00980AFB">
        <w:t>.</w:t>
      </w:r>
    </w:p>
    <w:bookmarkEnd w:id="3"/>
  </w:footnote>
  <w:footnote w:id="39">
    <w:p w14:paraId="604CF2C6" w14:textId="797AC82A" w:rsidR="006B700C" w:rsidRDefault="006B700C">
      <w:pPr>
        <w:pStyle w:val="FootnoteText"/>
      </w:pPr>
      <w:r>
        <w:rPr>
          <w:rStyle w:val="FootnoteReference"/>
        </w:rPr>
        <w:footnoteRef/>
      </w:r>
      <w:r>
        <w:t xml:space="preserve"> </w:t>
      </w:r>
      <w:r w:rsidRPr="006B700C">
        <w:t>45 C.F.R. §160.203, §160.204.</w:t>
      </w:r>
    </w:p>
  </w:footnote>
  <w:footnote w:id="40">
    <w:p w14:paraId="7CED50BE" w14:textId="600151E1" w:rsidR="0003333A" w:rsidRDefault="0003333A">
      <w:pPr>
        <w:pStyle w:val="FootnoteText"/>
      </w:pPr>
      <w:r>
        <w:rPr>
          <w:rStyle w:val="FootnoteReference"/>
        </w:rPr>
        <w:footnoteRef/>
      </w:r>
      <w:r>
        <w:t xml:space="preserve"> </w:t>
      </w:r>
      <w:r w:rsidRPr="00980AFB">
        <w:t xml:space="preserve">HHS. Summary of HIPAA Privacy Rule. Retrieved from </w:t>
      </w:r>
      <w:hyperlink r:id="rId16" w:history="1">
        <w:r w:rsidRPr="00EE28AD">
          <w:rPr>
            <w:rStyle w:val="Hyperlink"/>
          </w:rPr>
          <w:t>https://www.hhs.gov/hipaa/for-professionals/privacy/laws-regulations/index.html</w:t>
        </w:r>
      </w:hyperlink>
      <w:r w:rsidRPr="00980AFB">
        <w:t>.</w:t>
      </w:r>
    </w:p>
  </w:footnote>
  <w:footnote w:id="41">
    <w:p w14:paraId="0DA8FD93" w14:textId="508398B0" w:rsidR="0003333A" w:rsidRDefault="0003333A">
      <w:pPr>
        <w:pStyle w:val="FootnoteText"/>
      </w:pPr>
      <w:r>
        <w:rPr>
          <w:rStyle w:val="FootnoteReference"/>
        </w:rPr>
        <w:footnoteRef/>
      </w:r>
      <w:r>
        <w:t xml:space="preserve"> </w:t>
      </w:r>
      <w:r w:rsidRPr="0003333A">
        <w:t>45 C.F.R. §160.203, §160.204.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296E9" w14:textId="77777777" w:rsidR="003E67DA" w:rsidRDefault="003E6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B2DF4" w14:textId="2AA8A9EE" w:rsidR="00A5256E" w:rsidRDefault="00A5256E" w:rsidP="00A5256E">
    <w:pPr>
      <w:pStyle w:val="Header"/>
      <w:jc w:val="center"/>
      <w:rPr>
        <w:b/>
        <w:bCs/>
      </w:rPr>
    </w:pPr>
    <w:r w:rsidRPr="00A5256E">
      <w:rPr>
        <w:b/>
        <w:bCs/>
        <w:highlight w:val="yellow"/>
      </w:rPr>
      <w:t>DRAFT 1</w:t>
    </w:r>
  </w:p>
  <w:p w14:paraId="238BDC44" w14:textId="63EDD349" w:rsidR="003E67DA" w:rsidRPr="00971B39" w:rsidRDefault="003E67DA" w:rsidP="00A5256E">
    <w:pPr>
      <w:pStyle w:val="Header"/>
      <w:jc w:val="center"/>
      <w:rPr>
        <w:i/>
        <w:iCs/>
        <w:sz w:val="18"/>
        <w:szCs w:val="18"/>
      </w:rPr>
    </w:pPr>
    <w:r w:rsidRPr="00971B39">
      <w:rPr>
        <w:i/>
        <w:iCs/>
        <w:sz w:val="18"/>
        <w:szCs w:val="18"/>
      </w:rPr>
      <w:t xml:space="preserve">(for use in </w:t>
    </w:r>
    <w:r w:rsidR="00971B39" w:rsidRPr="00971B39">
      <w:rPr>
        <w:i/>
        <w:iCs/>
        <w:sz w:val="18"/>
        <w:szCs w:val="18"/>
      </w:rPr>
      <w:t>Info Sharing and Schools toolkits)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A598A" w14:textId="77777777" w:rsidR="003E67DA" w:rsidRDefault="003E6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0731E"/>
    <w:multiLevelType w:val="hybridMultilevel"/>
    <w:tmpl w:val="2C7AB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71C8C"/>
    <w:multiLevelType w:val="hybridMultilevel"/>
    <w:tmpl w:val="D33C4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6A264B"/>
    <w:multiLevelType w:val="multilevel"/>
    <w:tmpl w:val="20E4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BB1233"/>
    <w:multiLevelType w:val="hybridMultilevel"/>
    <w:tmpl w:val="C302AF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2C25BF8"/>
    <w:multiLevelType w:val="hybridMultilevel"/>
    <w:tmpl w:val="11B82B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A927BB9"/>
    <w:multiLevelType w:val="multilevel"/>
    <w:tmpl w:val="20E40F3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7CB20EE7"/>
    <w:multiLevelType w:val="hybridMultilevel"/>
    <w:tmpl w:val="C9740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52F"/>
    <w:rsid w:val="0002780E"/>
    <w:rsid w:val="0003333A"/>
    <w:rsid w:val="00036967"/>
    <w:rsid w:val="00042262"/>
    <w:rsid w:val="000448E5"/>
    <w:rsid w:val="0005472C"/>
    <w:rsid w:val="0007323F"/>
    <w:rsid w:val="000B4623"/>
    <w:rsid w:val="00121F69"/>
    <w:rsid w:val="00151278"/>
    <w:rsid w:val="00195DA5"/>
    <w:rsid w:val="0020452F"/>
    <w:rsid w:val="002074C9"/>
    <w:rsid w:val="00251477"/>
    <w:rsid w:val="0029307E"/>
    <w:rsid w:val="002D1C14"/>
    <w:rsid w:val="00364893"/>
    <w:rsid w:val="00375DDA"/>
    <w:rsid w:val="003E67DA"/>
    <w:rsid w:val="00406B3B"/>
    <w:rsid w:val="004232C8"/>
    <w:rsid w:val="0045077B"/>
    <w:rsid w:val="00476446"/>
    <w:rsid w:val="004B604B"/>
    <w:rsid w:val="004E0671"/>
    <w:rsid w:val="005062CB"/>
    <w:rsid w:val="00506EE7"/>
    <w:rsid w:val="00550EED"/>
    <w:rsid w:val="00611CD7"/>
    <w:rsid w:val="0068033D"/>
    <w:rsid w:val="00696C4A"/>
    <w:rsid w:val="006B700C"/>
    <w:rsid w:val="006E5183"/>
    <w:rsid w:val="0072096E"/>
    <w:rsid w:val="00726A45"/>
    <w:rsid w:val="00737C40"/>
    <w:rsid w:val="00757F54"/>
    <w:rsid w:val="00771A5E"/>
    <w:rsid w:val="007A53DC"/>
    <w:rsid w:val="008A26C3"/>
    <w:rsid w:val="008C533D"/>
    <w:rsid w:val="00922E9C"/>
    <w:rsid w:val="009475FC"/>
    <w:rsid w:val="00970F1B"/>
    <w:rsid w:val="00971B39"/>
    <w:rsid w:val="00974611"/>
    <w:rsid w:val="00980AFB"/>
    <w:rsid w:val="009968B6"/>
    <w:rsid w:val="009C1E09"/>
    <w:rsid w:val="009E1F8A"/>
    <w:rsid w:val="00A20BEC"/>
    <w:rsid w:val="00A31366"/>
    <w:rsid w:val="00A35B79"/>
    <w:rsid w:val="00A5256E"/>
    <w:rsid w:val="00A53448"/>
    <w:rsid w:val="00A71C1F"/>
    <w:rsid w:val="00B75B7F"/>
    <w:rsid w:val="00B86A0C"/>
    <w:rsid w:val="00BF7254"/>
    <w:rsid w:val="00C007B4"/>
    <w:rsid w:val="00C6271A"/>
    <w:rsid w:val="00C66A91"/>
    <w:rsid w:val="00C959C6"/>
    <w:rsid w:val="00D10745"/>
    <w:rsid w:val="00D46F87"/>
    <w:rsid w:val="00D65000"/>
    <w:rsid w:val="00D749A4"/>
    <w:rsid w:val="00D758BE"/>
    <w:rsid w:val="00D766FB"/>
    <w:rsid w:val="00DA0309"/>
    <w:rsid w:val="00DC07AE"/>
    <w:rsid w:val="00DE44E8"/>
    <w:rsid w:val="00E32934"/>
    <w:rsid w:val="00E648E7"/>
    <w:rsid w:val="00EA5146"/>
    <w:rsid w:val="00EC0189"/>
    <w:rsid w:val="00EC27CA"/>
    <w:rsid w:val="00ED10F1"/>
    <w:rsid w:val="00F63878"/>
    <w:rsid w:val="00F919FF"/>
    <w:rsid w:val="00FB38B4"/>
    <w:rsid w:val="00FC5C03"/>
    <w:rsid w:val="00FE4F1F"/>
    <w:rsid w:val="00FF4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DE5B3"/>
  <w15:chartTrackingRefBased/>
  <w15:docId w15:val="{C64922DE-338F-4D89-ADDB-D400EEBD4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52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15">
    <w:name w:val="norm 1.5"/>
    <w:basedOn w:val="Normal"/>
    <w:qFormat/>
    <w:rsid w:val="00C007B4"/>
    <w:pPr>
      <w:spacing w:line="360" w:lineRule="auto"/>
    </w:pPr>
  </w:style>
  <w:style w:type="paragraph" w:customStyle="1" w:styleId="15para">
    <w:name w:val="1.5 para"/>
    <w:basedOn w:val="Normal"/>
    <w:qFormat/>
    <w:rsid w:val="00D766FB"/>
    <w:pPr>
      <w:spacing w:line="360" w:lineRule="auto"/>
    </w:pPr>
    <w:rPr>
      <w:rFonts w:ascii="Calibri" w:eastAsia="Times New Roman" w:hAnsi="Calibri" w:cs="Calibri"/>
      <w:szCs w:val="20"/>
    </w:rPr>
  </w:style>
  <w:style w:type="paragraph" w:styleId="ListParagraph">
    <w:name w:val="List Paragraph"/>
    <w:basedOn w:val="Normal"/>
    <w:uiPriority w:val="34"/>
    <w:qFormat/>
    <w:rsid w:val="0020452F"/>
    <w:pPr>
      <w:ind w:left="720"/>
      <w:contextualSpacing/>
    </w:pPr>
  </w:style>
  <w:style w:type="paragraph" w:styleId="Header">
    <w:name w:val="header"/>
    <w:basedOn w:val="Normal"/>
    <w:link w:val="HeaderChar"/>
    <w:uiPriority w:val="99"/>
    <w:unhideWhenUsed/>
    <w:rsid w:val="00A5256E"/>
    <w:pPr>
      <w:tabs>
        <w:tab w:val="center" w:pos="4680"/>
        <w:tab w:val="right" w:pos="9360"/>
      </w:tabs>
    </w:pPr>
  </w:style>
  <w:style w:type="character" w:customStyle="1" w:styleId="HeaderChar">
    <w:name w:val="Header Char"/>
    <w:basedOn w:val="DefaultParagraphFont"/>
    <w:link w:val="Header"/>
    <w:uiPriority w:val="99"/>
    <w:rsid w:val="00A5256E"/>
  </w:style>
  <w:style w:type="paragraph" w:styleId="Footer">
    <w:name w:val="footer"/>
    <w:basedOn w:val="Normal"/>
    <w:link w:val="FooterChar"/>
    <w:uiPriority w:val="99"/>
    <w:unhideWhenUsed/>
    <w:rsid w:val="00A5256E"/>
    <w:pPr>
      <w:tabs>
        <w:tab w:val="center" w:pos="4680"/>
        <w:tab w:val="right" w:pos="9360"/>
      </w:tabs>
    </w:pPr>
  </w:style>
  <w:style w:type="character" w:customStyle="1" w:styleId="FooterChar">
    <w:name w:val="Footer Char"/>
    <w:basedOn w:val="DefaultParagraphFont"/>
    <w:link w:val="Footer"/>
    <w:uiPriority w:val="99"/>
    <w:rsid w:val="00A5256E"/>
  </w:style>
  <w:style w:type="paragraph" w:styleId="FootnoteText">
    <w:name w:val="footnote text"/>
    <w:basedOn w:val="Normal"/>
    <w:link w:val="FootnoteTextChar"/>
    <w:uiPriority w:val="99"/>
    <w:semiHidden/>
    <w:unhideWhenUsed/>
    <w:rsid w:val="00406B3B"/>
    <w:rPr>
      <w:sz w:val="20"/>
      <w:szCs w:val="20"/>
    </w:rPr>
  </w:style>
  <w:style w:type="character" w:customStyle="1" w:styleId="FootnoteTextChar">
    <w:name w:val="Footnote Text Char"/>
    <w:basedOn w:val="DefaultParagraphFont"/>
    <w:link w:val="FootnoteText"/>
    <w:uiPriority w:val="99"/>
    <w:semiHidden/>
    <w:rsid w:val="00406B3B"/>
    <w:rPr>
      <w:sz w:val="20"/>
      <w:szCs w:val="20"/>
    </w:rPr>
  </w:style>
  <w:style w:type="character" w:styleId="FootnoteReference">
    <w:name w:val="footnote reference"/>
    <w:basedOn w:val="DefaultParagraphFont"/>
    <w:uiPriority w:val="99"/>
    <w:semiHidden/>
    <w:unhideWhenUsed/>
    <w:rsid w:val="00406B3B"/>
    <w:rPr>
      <w:vertAlign w:val="superscript"/>
    </w:rPr>
  </w:style>
  <w:style w:type="character" w:styleId="Hyperlink">
    <w:name w:val="Hyperlink"/>
    <w:basedOn w:val="DefaultParagraphFont"/>
    <w:uiPriority w:val="99"/>
    <w:unhideWhenUsed/>
    <w:rsid w:val="00C959C6"/>
    <w:rPr>
      <w:color w:val="0563C1" w:themeColor="hyperlink"/>
      <w:u w:val="single"/>
    </w:rPr>
  </w:style>
  <w:style w:type="character" w:styleId="UnresolvedMention">
    <w:name w:val="Unresolved Mention"/>
    <w:basedOn w:val="DefaultParagraphFont"/>
    <w:uiPriority w:val="99"/>
    <w:semiHidden/>
    <w:unhideWhenUsed/>
    <w:rsid w:val="00C959C6"/>
    <w:rPr>
      <w:color w:val="605E5C"/>
      <w:shd w:val="clear" w:color="auto" w:fill="E1DFDD"/>
    </w:rPr>
  </w:style>
  <w:style w:type="character" w:styleId="FollowedHyperlink">
    <w:name w:val="FollowedHyperlink"/>
    <w:basedOn w:val="DefaultParagraphFont"/>
    <w:uiPriority w:val="99"/>
    <w:semiHidden/>
    <w:unhideWhenUsed/>
    <w:rsid w:val="00C959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hhs.gov/hipaa/for-professionals/privacy/laws-regulations/index.html" TargetMode="External"/><Relationship Id="rId13" Type="http://schemas.openxmlformats.org/officeDocument/2006/relationships/hyperlink" Target="http://www.phe.gov/Preparedness/legal/Pages/phe-qa.aspx" TargetMode="External"/><Relationship Id="rId3" Type="http://schemas.openxmlformats.org/officeDocument/2006/relationships/hyperlink" Target="https://www.hhs.gov/hipaa/for-professionals/privacy/laws-regulations/index.html" TargetMode="External"/><Relationship Id="rId7" Type="http://schemas.openxmlformats.org/officeDocument/2006/relationships/hyperlink" Target="https://www.hhs.gov/hipaa/for-professionals/privacy/laws-regulations/index.html" TargetMode="External"/><Relationship Id="rId12" Type="http://schemas.openxmlformats.org/officeDocument/2006/relationships/hyperlink" Target="http://www.cms.gov/Emergency/downloads/MedicareFFS-EmergencyQsAs1135Waiver.pdf" TargetMode="External"/><Relationship Id="rId2" Type="http://schemas.openxmlformats.org/officeDocument/2006/relationships/hyperlink" Target="https://www.everycrsreport.com/reports/RS20934.html" TargetMode="External"/><Relationship Id="rId16" Type="http://schemas.openxmlformats.org/officeDocument/2006/relationships/hyperlink" Target="https://www.hhs.gov/hipaa/for-professionals/privacy/laws-regulations/index.html" TargetMode="External"/><Relationship Id="rId1" Type="http://schemas.openxmlformats.org/officeDocument/2006/relationships/hyperlink" Target="https://crsreports.congress.gov/product/pdf/RL/RL31634" TargetMode="External"/><Relationship Id="rId6" Type="http://schemas.openxmlformats.org/officeDocument/2006/relationships/hyperlink" Target="https://www.hhs.gov/hipaa/for-professionals/privacy/laws-regulations/index.html" TargetMode="External"/><Relationship Id="rId11" Type="http://schemas.openxmlformats.org/officeDocument/2006/relationships/hyperlink" Target="http://ise.gov/background-and-authorities" TargetMode="External"/><Relationship Id="rId5" Type="http://schemas.openxmlformats.org/officeDocument/2006/relationships/hyperlink" Target="https://www.hhs.gov/hipaa/for-professionals/privacy/laws-regulations/index.html" TargetMode="External"/><Relationship Id="rId15" Type="http://schemas.openxmlformats.org/officeDocument/2006/relationships/hyperlink" Target="https://www.hhs.gov/hipaa/for-professionals/privacy/laws-regulations/index.html" TargetMode="External"/><Relationship Id="rId10" Type="http://schemas.openxmlformats.org/officeDocument/2006/relationships/hyperlink" Target="http://www.hhs.gov/ocr/privacy/hipaa/faq/disclosures_for_law_enforcement_purposes/505.html" TargetMode="External"/><Relationship Id="rId4" Type="http://schemas.openxmlformats.org/officeDocument/2006/relationships/hyperlink" Target="https://www.hhs.gov/hipaa/for-professionals/privacy/laws-regulations/index.html" TargetMode="External"/><Relationship Id="rId9" Type="http://schemas.openxmlformats.org/officeDocument/2006/relationships/hyperlink" Target="https://www.hhs.gov/hipaa/for-professionals/privacy/laws-regulations/index.html" TargetMode="External"/><Relationship Id="rId14" Type="http://schemas.openxmlformats.org/officeDocument/2006/relationships/hyperlink" Target="https://www.hhs.gov/hipaa/for-professionals/privacy/laws-regulation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10</Pages>
  <Words>2593</Words>
  <Characters>14783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Elliott</dc:creator>
  <cp:keywords/>
  <dc:description/>
  <cp:lastModifiedBy>Patricia Elliott</cp:lastModifiedBy>
  <cp:revision>73</cp:revision>
  <dcterms:created xsi:type="dcterms:W3CDTF">2020-03-08T23:31:00Z</dcterms:created>
  <dcterms:modified xsi:type="dcterms:W3CDTF">2020-03-13T00:40:00Z</dcterms:modified>
</cp:coreProperties>
</file>