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16199" w14:textId="0B4AC3C7" w:rsidR="005627BC" w:rsidRPr="00F42370" w:rsidRDefault="00F42370" w:rsidP="00955817">
      <w:pPr>
        <w:spacing w:line="360" w:lineRule="auto"/>
        <w:jc w:val="center"/>
        <w:rPr>
          <w:rFonts w:ascii="Calibri" w:eastAsia="Times New Roman" w:hAnsi="Calibri" w:cs="Calibri"/>
          <w:b/>
          <w:bCs/>
          <w:color w:val="333333"/>
          <w:spacing w:val="15"/>
          <w:kern w:val="36"/>
          <w:sz w:val="24"/>
          <w:szCs w:val="24"/>
        </w:rPr>
      </w:pPr>
      <w:r w:rsidRPr="00F42370">
        <w:rPr>
          <w:rFonts w:ascii="Calibri" w:eastAsia="Times New Roman" w:hAnsi="Calibri" w:cs="Calibri"/>
          <w:b/>
          <w:bCs/>
          <w:color w:val="333333"/>
          <w:spacing w:val="15"/>
          <w:kern w:val="36"/>
          <w:sz w:val="24"/>
          <w:szCs w:val="24"/>
        </w:rPr>
        <w:t>AMERICANS WITH DISABILITIES ACT</w:t>
      </w:r>
      <w:bookmarkStart w:id="0" w:name="_GoBack"/>
      <w:bookmarkEnd w:id="0"/>
    </w:p>
    <w:p w14:paraId="0B8EFE5D" w14:textId="77777777" w:rsidR="00957C91" w:rsidRDefault="00957C91" w:rsidP="00414080">
      <w:pPr>
        <w:spacing w:line="360" w:lineRule="auto"/>
        <w:rPr>
          <w:rFonts w:ascii="Calibri" w:eastAsia="Times New Roman" w:hAnsi="Calibri" w:cs="Calibri"/>
          <w:b/>
          <w:bCs/>
          <w:color w:val="000000" w:themeColor="text1"/>
        </w:rPr>
      </w:pPr>
    </w:p>
    <w:p w14:paraId="4A3B6C7A" w14:textId="6DE1D400" w:rsidR="00414080" w:rsidRPr="00F13436" w:rsidRDefault="005627BC" w:rsidP="00414080">
      <w:pPr>
        <w:spacing w:line="360" w:lineRule="auto"/>
        <w:rPr>
          <w:rFonts w:ascii="Calibri" w:eastAsia="Times New Roman" w:hAnsi="Calibri" w:cs="Calibri"/>
          <w:b/>
          <w:bCs/>
          <w:color w:val="000000" w:themeColor="text1"/>
          <w:sz w:val="24"/>
          <w:szCs w:val="24"/>
        </w:rPr>
      </w:pPr>
      <w:r w:rsidRPr="00F13436">
        <w:rPr>
          <w:rFonts w:ascii="Calibri" w:eastAsia="Times New Roman" w:hAnsi="Calibri" w:cs="Calibri"/>
          <w:b/>
          <w:bCs/>
          <w:color w:val="000000" w:themeColor="text1"/>
          <w:sz w:val="24"/>
          <w:szCs w:val="24"/>
        </w:rPr>
        <w:t>Overview</w:t>
      </w:r>
    </w:p>
    <w:p w14:paraId="5B529FF4" w14:textId="56F68439" w:rsidR="005627BC" w:rsidRPr="00414080" w:rsidRDefault="005627BC" w:rsidP="00414080">
      <w:pPr>
        <w:spacing w:line="360" w:lineRule="auto"/>
        <w:rPr>
          <w:rFonts w:ascii="Calibri" w:eastAsia="Times New Roman" w:hAnsi="Calibri" w:cs="Calibri"/>
          <w:b/>
          <w:bCs/>
          <w:color w:val="000000" w:themeColor="text1"/>
        </w:rPr>
      </w:pPr>
      <w:r w:rsidRPr="005627BC">
        <w:rPr>
          <w:rFonts w:ascii="Calibri" w:eastAsia="Times New Roman" w:hAnsi="Calibri" w:cs="Calibri"/>
          <w:color w:val="000000" w:themeColor="text1"/>
        </w:rPr>
        <w:t>The Americans with Disabilities Act of 1990 (ADA)</w:t>
      </w:r>
      <w:r w:rsidR="00AE2FD1">
        <w:rPr>
          <w:rFonts w:ascii="Calibri" w:eastAsia="Times New Roman" w:hAnsi="Calibri" w:cs="Calibri"/>
          <w:color w:val="000000" w:themeColor="text1"/>
          <w:bdr w:val="none" w:sz="0" w:space="0" w:color="auto" w:frame="1"/>
          <w:vertAlign w:val="superscript"/>
        </w:rPr>
        <w:t xml:space="preserve"> </w:t>
      </w:r>
      <w:r w:rsidRPr="005627BC">
        <w:rPr>
          <w:rFonts w:ascii="Calibri" w:eastAsia="Times New Roman" w:hAnsi="Calibri" w:cs="Calibri"/>
          <w:color w:val="000000" w:themeColor="text1"/>
        </w:rPr>
        <w:t>is a federal law that gives civil rights protections to individuals with disabilities similar to those provided to individuals on the basis of race, color, sex, national origin, age, and religion.</w:t>
      </w:r>
      <w:r w:rsidR="00AE2FD1">
        <w:rPr>
          <w:rStyle w:val="FootnoteReference"/>
          <w:rFonts w:ascii="Calibri" w:eastAsia="Times New Roman" w:hAnsi="Calibri" w:cs="Calibri"/>
          <w:color w:val="000000" w:themeColor="text1"/>
        </w:rPr>
        <w:footnoteReference w:id="1"/>
      </w:r>
      <w:r w:rsidRPr="005627BC">
        <w:rPr>
          <w:rFonts w:ascii="Calibri" w:eastAsia="Times New Roman" w:hAnsi="Calibri" w:cs="Calibri"/>
          <w:color w:val="000000" w:themeColor="text1"/>
        </w:rPr>
        <w:t xml:space="preserve"> It guarantees equal opportunity for individuals with disabilities in public accommodations, employment, transportation, state and local government services, and telecommunications. The prohibition on disability discrimination in employment applies to most private employers and to all state and local government agencies.</w:t>
      </w:r>
      <w:r w:rsidR="00AE2FD1">
        <w:rPr>
          <w:rStyle w:val="FootnoteReference"/>
          <w:rFonts w:ascii="Calibri" w:eastAsia="Times New Roman" w:hAnsi="Calibri" w:cs="Calibri"/>
          <w:color w:val="000000" w:themeColor="text1"/>
        </w:rPr>
        <w:footnoteReference w:id="2"/>
      </w:r>
    </w:p>
    <w:p w14:paraId="28782931" w14:textId="77777777" w:rsidR="001440C1" w:rsidRPr="001440C1" w:rsidRDefault="001440C1" w:rsidP="00955817">
      <w:pPr>
        <w:spacing w:line="360" w:lineRule="auto"/>
        <w:rPr>
          <w:rFonts w:ascii="Calibri" w:eastAsia="Times New Roman" w:hAnsi="Calibri" w:cs="Calibri"/>
          <w:b/>
          <w:bCs/>
          <w:color w:val="000000" w:themeColor="text1"/>
        </w:rPr>
      </w:pPr>
    </w:p>
    <w:p w14:paraId="20BD43BB" w14:textId="1220D00B" w:rsidR="00414080" w:rsidRPr="00BF4D62" w:rsidRDefault="00B04854" w:rsidP="00414080">
      <w:pPr>
        <w:spacing w:line="360" w:lineRule="auto"/>
        <w:rPr>
          <w:rFonts w:ascii="Calibri" w:eastAsia="Times New Roman" w:hAnsi="Calibri" w:cs="Calibri"/>
          <w:b/>
          <w:bCs/>
          <w:color w:val="000000" w:themeColor="text1"/>
          <w:sz w:val="24"/>
          <w:szCs w:val="24"/>
        </w:rPr>
      </w:pPr>
      <w:r w:rsidRPr="00BF4D62">
        <w:rPr>
          <w:rFonts w:ascii="Calibri" w:eastAsia="Times New Roman" w:hAnsi="Calibri" w:cs="Calibri"/>
          <w:b/>
          <w:bCs/>
          <w:color w:val="000000" w:themeColor="text1"/>
          <w:sz w:val="24"/>
          <w:szCs w:val="24"/>
        </w:rPr>
        <w:t>ADA Protections</w:t>
      </w:r>
    </w:p>
    <w:p w14:paraId="341E9EE7" w14:textId="0DF9A934" w:rsidR="00F3110C" w:rsidRPr="000778FE" w:rsidRDefault="00F3110C" w:rsidP="00F3110C">
      <w:pPr>
        <w:pStyle w:val="15para"/>
        <w:rPr>
          <w:bdr w:val="none" w:sz="0" w:space="0" w:color="auto" w:frame="1"/>
        </w:rPr>
      </w:pPr>
      <w:r w:rsidRPr="00A65A91">
        <w:t>Title I of ADA</w:t>
      </w:r>
      <w:r>
        <w:rPr>
          <w:rStyle w:val="FootnoteReference"/>
        </w:rPr>
        <w:footnoteReference w:id="3"/>
      </w:r>
      <w:r>
        <w:rPr>
          <w:bdr w:val="none" w:sz="0" w:space="0" w:color="auto" w:frame="1"/>
        </w:rPr>
        <w:t xml:space="preserve"> </w:t>
      </w:r>
      <w:r w:rsidRPr="00A65A91">
        <w:t>prohibits most private employers and state and local governments from discriminating against qualified individuals with disabilities in job application procedures, hiring, firing, advancement, compensation, job training, and other terms, conditions, and privileges of employment.</w:t>
      </w:r>
      <w:r>
        <w:rPr>
          <w:rStyle w:val="FootnoteReference"/>
        </w:rPr>
        <w:footnoteReference w:id="4"/>
      </w:r>
      <w:r>
        <w:t xml:space="preserve"> </w:t>
      </w:r>
      <w:r w:rsidRPr="00A65A91">
        <w:t>Title II of ADA</w:t>
      </w:r>
      <w:r>
        <w:rPr>
          <w:rStyle w:val="FootnoteReference"/>
        </w:rPr>
        <w:footnoteReference w:id="5"/>
      </w:r>
      <w:r>
        <w:rPr>
          <w:bdr w:val="none" w:sz="0" w:space="0" w:color="auto" w:frame="1"/>
        </w:rPr>
        <w:t xml:space="preserve"> </w:t>
      </w:r>
      <w:r w:rsidRPr="00A65A91">
        <w:t>reinforces Title I to state and local government by making it illegal for all state and local governmental agencies to discriminate against individuals based on disability in state and local government programs and activities, including employment.</w:t>
      </w:r>
      <w:r>
        <w:rPr>
          <w:rStyle w:val="FootnoteReference"/>
        </w:rPr>
        <w:footnoteReference w:id="6"/>
      </w:r>
      <w:r>
        <w:t xml:space="preserve"> </w:t>
      </w:r>
      <w:r w:rsidR="00A55C1E" w:rsidRPr="00A65A91">
        <w:t>ADA's nondiscrimination standards apply to federal sector employees under section 501 of the Rehabilitation Act, as amended, and its implementing rules.</w:t>
      </w:r>
      <w:r w:rsidR="00A55C1E">
        <w:rPr>
          <w:rStyle w:val="FootnoteReference"/>
        </w:rPr>
        <w:footnoteReference w:id="7"/>
      </w:r>
      <w:r w:rsidR="00A55C1E">
        <w:t xml:space="preserve"> </w:t>
      </w:r>
      <w:r w:rsidRPr="00A65A91">
        <w:t>ADA also protects people from discrimination based on their relationship with a person with a disability even if they do not themselves have a disability.</w:t>
      </w:r>
      <w:r>
        <w:rPr>
          <w:rStyle w:val="FootnoteReference"/>
        </w:rPr>
        <w:footnoteReference w:id="8"/>
      </w:r>
      <w:r>
        <w:t xml:space="preserve"> </w:t>
      </w:r>
      <w:r w:rsidRPr="00A65A91">
        <w:t xml:space="preserve">For example, it is illegal to discriminate against an employee because his or her spouse has a disability. </w:t>
      </w:r>
    </w:p>
    <w:p w14:paraId="7C3B5B0A" w14:textId="198272C9" w:rsidR="001440C1" w:rsidRDefault="001440C1" w:rsidP="00955817">
      <w:pPr>
        <w:spacing w:line="360" w:lineRule="auto"/>
        <w:rPr>
          <w:rFonts w:ascii="Calibri" w:eastAsia="Times New Roman" w:hAnsi="Calibri" w:cs="Calibri"/>
          <w:color w:val="000000" w:themeColor="text1"/>
        </w:rPr>
      </w:pPr>
    </w:p>
    <w:p w14:paraId="3C7A4B42" w14:textId="4AF8AFAC" w:rsidR="00952286" w:rsidRDefault="00952286" w:rsidP="0043417D">
      <w:pPr>
        <w:keepNext/>
        <w:spacing w:after="120" w:line="360" w:lineRule="auto"/>
        <w:rPr>
          <w:rFonts w:ascii="Calibri" w:eastAsia="Times New Roman" w:hAnsi="Calibri" w:cs="Calibri"/>
          <w:color w:val="000000" w:themeColor="text1"/>
        </w:rPr>
      </w:pPr>
      <w:r>
        <w:rPr>
          <w:rFonts w:ascii="Calibri" w:eastAsia="Times New Roman" w:hAnsi="Calibri" w:cs="Calibri"/>
          <w:color w:val="000000" w:themeColor="text1"/>
        </w:rPr>
        <w:lastRenderedPageBreak/>
        <w:t>ADA specifically applies to the following entities and individuals:</w:t>
      </w:r>
    </w:p>
    <w:p w14:paraId="0B6B6E2C" w14:textId="1E8EA106" w:rsidR="00952286" w:rsidRDefault="005627BC" w:rsidP="00952286">
      <w:pPr>
        <w:pStyle w:val="ListParagraph"/>
        <w:numPr>
          <w:ilvl w:val="0"/>
          <w:numId w:val="7"/>
        </w:numPr>
        <w:spacing w:after="120" w:line="360" w:lineRule="auto"/>
        <w:contextualSpacing w:val="0"/>
        <w:rPr>
          <w:rFonts w:ascii="Calibri" w:eastAsia="Times New Roman" w:hAnsi="Calibri" w:cs="Calibri"/>
          <w:color w:val="000000" w:themeColor="text1"/>
        </w:rPr>
      </w:pPr>
      <w:r w:rsidRPr="00952286">
        <w:rPr>
          <w:rFonts w:ascii="Calibri" w:eastAsia="Times New Roman" w:hAnsi="Calibri" w:cs="Calibri"/>
          <w:b/>
          <w:bCs/>
          <w:color w:val="000000" w:themeColor="text1"/>
          <w:bdr w:val="none" w:sz="0" w:space="0" w:color="auto" w:frame="1"/>
        </w:rPr>
        <w:t>Covered Entities</w:t>
      </w:r>
      <w:r w:rsidR="00952286">
        <w:rPr>
          <w:rFonts w:ascii="Calibri" w:eastAsia="Times New Roman" w:hAnsi="Calibri" w:cs="Calibri"/>
          <w:b/>
          <w:bCs/>
          <w:color w:val="000000" w:themeColor="text1"/>
          <w:bdr w:val="none" w:sz="0" w:space="0" w:color="auto" w:frame="1"/>
        </w:rPr>
        <w:t xml:space="preserve"> – </w:t>
      </w:r>
      <w:r w:rsidRPr="00952286">
        <w:rPr>
          <w:rFonts w:ascii="Calibri" w:eastAsia="Times New Roman" w:hAnsi="Calibri" w:cs="Calibri"/>
          <w:color w:val="000000" w:themeColor="text1"/>
        </w:rPr>
        <w:t>ADA applies to private employers with 15 or more employees, state and local government employers regardless of the number of employees,</w:t>
      </w:r>
      <w:r w:rsidR="007E2375">
        <w:rPr>
          <w:rStyle w:val="FootnoteReference"/>
          <w:rFonts w:ascii="Calibri" w:eastAsia="Times New Roman" w:hAnsi="Calibri" w:cs="Calibri"/>
          <w:color w:val="000000" w:themeColor="text1"/>
        </w:rPr>
        <w:footnoteReference w:id="9"/>
      </w:r>
      <w:r w:rsidR="007E2375" w:rsidRPr="00952286">
        <w:rPr>
          <w:rFonts w:ascii="Calibri" w:eastAsia="Times New Roman" w:hAnsi="Calibri" w:cs="Calibri"/>
          <w:color w:val="000000" w:themeColor="text1"/>
        </w:rPr>
        <w:t xml:space="preserve"> </w:t>
      </w:r>
      <w:r w:rsidRPr="00952286">
        <w:rPr>
          <w:rFonts w:ascii="Calibri" w:eastAsia="Times New Roman" w:hAnsi="Calibri" w:cs="Calibri"/>
          <w:color w:val="000000" w:themeColor="text1"/>
        </w:rPr>
        <w:t>and Congress</w:t>
      </w:r>
      <w:r w:rsidR="00B4033D" w:rsidRPr="00952286">
        <w:rPr>
          <w:rFonts w:ascii="Calibri" w:eastAsia="Times New Roman" w:hAnsi="Calibri" w:cs="Calibri"/>
          <w:color w:val="000000" w:themeColor="text1"/>
        </w:rPr>
        <w:t>.</w:t>
      </w:r>
      <w:r w:rsidR="00B4033D">
        <w:rPr>
          <w:rStyle w:val="FootnoteReference"/>
          <w:rFonts w:ascii="Calibri" w:eastAsia="Times New Roman" w:hAnsi="Calibri" w:cs="Calibri"/>
          <w:color w:val="000000" w:themeColor="text1"/>
        </w:rPr>
        <w:footnoteReference w:id="10"/>
      </w:r>
      <w:r w:rsidR="00B4033D" w:rsidRPr="00952286">
        <w:rPr>
          <w:rFonts w:ascii="Calibri" w:eastAsia="Times New Roman" w:hAnsi="Calibri" w:cs="Calibri"/>
          <w:color w:val="000000" w:themeColor="text1"/>
        </w:rPr>
        <w:t xml:space="preserve"> </w:t>
      </w:r>
      <w:r w:rsidRPr="00952286">
        <w:rPr>
          <w:rFonts w:ascii="Calibri" w:eastAsia="Times New Roman" w:hAnsi="Calibri" w:cs="Calibri"/>
          <w:color w:val="000000" w:themeColor="text1"/>
        </w:rPr>
        <w:t>Section 501 of the Rehabilitation Act provides the same protections for federal employees and applicants for federal employment in the executive branch.</w:t>
      </w:r>
      <w:r w:rsidR="0043417D">
        <w:rPr>
          <w:rStyle w:val="FootnoteReference"/>
          <w:rFonts w:ascii="Calibri" w:eastAsia="Times New Roman" w:hAnsi="Calibri" w:cs="Calibri"/>
          <w:color w:val="000000" w:themeColor="text1"/>
        </w:rPr>
        <w:footnoteReference w:id="11"/>
      </w:r>
    </w:p>
    <w:p w14:paraId="3A7B2EBE" w14:textId="613555C2" w:rsidR="00450F2E" w:rsidRPr="00952286" w:rsidRDefault="005627BC" w:rsidP="00450F2E">
      <w:pPr>
        <w:pStyle w:val="ListParagraph"/>
        <w:numPr>
          <w:ilvl w:val="0"/>
          <w:numId w:val="7"/>
        </w:numPr>
        <w:spacing w:line="360" w:lineRule="auto"/>
        <w:rPr>
          <w:rFonts w:ascii="Calibri" w:eastAsia="Times New Roman" w:hAnsi="Calibri" w:cs="Calibri"/>
          <w:color w:val="000000" w:themeColor="text1"/>
        </w:rPr>
      </w:pPr>
      <w:r w:rsidRPr="00952286">
        <w:rPr>
          <w:rFonts w:ascii="Calibri" w:eastAsia="Times New Roman" w:hAnsi="Calibri" w:cs="Calibri"/>
          <w:b/>
          <w:bCs/>
          <w:color w:val="000000" w:themeColor="text1"/>
          <w:szCs w:val="20"/>
          <w:bdr w:val="none" w:sz="0" w:space="0" w:color="auto" w:frame="1"/>
        </w:rPr>
        <w:t>Q</w:t>
      </w:r>
      <w:r w:rsidRPr="00952286">
        <w:rPr>
          <w:rFonts w:ascii="Calibri" w:eastAsia="Times New Roman" w:hAnsi="Calibri" w:cs="Calibri"/>
          <w:b/>
          <w:bCs/>
          <w:color w:val="000000" w:themeColor="text1"/>
          <w:bdr w:val="none" w:sz="0" w:space="0" w:color="auto" w:frame="1"/>
        </w:rPr>
        <w:t>ualified Individual</w:t>
      </w:r>
      <w:r w:rsidR="00952286">
        <w:rPr>
          <w:rFonts w:ascii="Calibri" w:eastAsia="Times New Roman" w:hAnsi="Calibri" w:cs="Calibri"/>
          <w:b/>
          <w:bCs/>
          <w:color w:val="000000" w:themeColor="text1"/>
          <w:bdr w:val="none" w:sz="0" w:space="0" w:color="auto" w:frame="1"/>
        </w:rPr>
        <w:t xml:space="preserve"> –</w:t>
      </w:r>
      <w:r w:rsidR="00952286">
        <w:rPr>
          <w:rFonts w:ascii="Calibri" w:eastAsia="Times New Roman" w:hAnsi="Calibri" w:cs="Calibri"/>
          <w:color w:val="000000" w:themeColor="text1"/>
        </w:rPr>
        <w:t xml:space="preserve"> A </w:t>
      </w:r>
      <w:r w:rsidRPr="00952286">
        <w:rPr>
          <w:rFonts w:ascii="Calibri" w:eastAsia="Times New Roman" w:hAnsi="Calibri" w:cs="Calibri"/>
          <w:color w:val="000000" w:themeColor="text1"/>
        </w:rPr>
        <w:t>qualified individual with a disability is a person who meets legitimate skill, experience, education, or other requirements of an employment position that he or she holds or seeks, and who can perform the essential functions of the position with or without reasonable accommodation.</w:t>
      </w:r>
      <w:r w:rsidR="00243CE5">
        <w:rPr>
          <w:rStyle w:val="FootnoteReference"/>
          <w:rFonts w:ascii="Calibri" w:eastAsia="Times New Roman" w:hAnsi="Calibri" w:cs="Calibri"/>
          <w:color w:val="000000" w:themeColor="text1"/>
        </w:rPr>
        <w:footnoteReference w:id="12"/>
      </w:r>
    </w:p>
    <w:p w14:paraId="47CAC650" w14:textId="77777777" w:rsidR="00450F2E" w:rsidRDefault="00450F2E" w:rsidP="00450F2E">
      <w:pPr>
        <w:spacing w:line="360" w:lineRule="auto"/>
        <w:rPr>
          <w:rFonts w:ascii="Calibri" w:eastAsia="Times New Roman" w:hAnsi="Calibri" w:cs="Calibri"/>
          <w:b/>
          <w:bCs/>
          <w:color w:val="000000" w:themeColor="text1"/>
        </w:rPr>
      </w:pPr>
    </w:p>
    <w:p w14:paraId="4A8AF2B5" w14:textId="27A50036" w:rsidR="002A0C27" w:rsidRPr="00AA4235" w:rsidRDefault="00A55C1E" w:rsidP="00D102A0">
      <w:pPr>
        <w:spacing w:line="360" w:lineRule="auto"/>
        <w:rPr>
          <w:rFonts w:ascii="Calibri" w:eastAsia="Times New Roman" w:hAnsi="Calibri" w:cs="Calibri"/>
          <w:b/>
          <w:bCs/>
          <w:color w:val="000000" w:themeColor="text1"/>
          <w:sz w:val="24"/>
          <w:szCs w:val="24"/>
          <w:bdr w:val="none" w:sz="0" w:space="0" w:color="auto" w:frame="1"/>
        </w:rPr>
      </w:pPr>
      <w:r w:rsidRPr="00AA4235">
        <w:rPr>
          <w:rFonts w:ascii="Calibri" w:eastAsia="Times New Roman" w:hAnsi="Calibri" w:cs="Calibri"/>
          <w:b/>
          <w:bCs/>
          <w:color w:val="000000" w:themeColor="text1"/>
          <w:sz w:val="24"/>
          <w:szCs w:val="24"/>
          <w:bdr w:val="none" w:sz="0" w:space="0" w:color="auto" w:frame="1"/>
        </w:rPr>
        <w:t>Defining Disability</w:t>
      </w:r>
    </w:p>
    <w:p w14:paraId="498359A8" w14:textId="229BCA0C" w:rsidR="00A55C1E" w:rsidRPr="00F672B9" w:rsidRDefault="00A55C1E" w:rsidP="00A55C1E">
      <w:pPr>
        <w:pStyle w:val="15para"/>
        <w:rPr>
          <w:bdr w:val="none" w:sz="0" w:space="0" w:color="auto" w:frame="1"/>
        </w:rPr>
      </w:pPr>
      <w:r w:rsidRPr="00A65A91">
        <w:t>"Disability" is defined as "a physical or mental impairment that substantially limits one or more major life activities of the individual" and may be actual or perceived.</w:t>
      </w:r>
      <w:r>
        <w:rPr>
          <w:rStyle w:val="FootnoteReference"/>
        </w:rPr>
        <w:footnoteReference w:id="13"/>
      </w:r>
      <w:r>
        <w:t xml:space="preserve"> </w:t>
      </w:r>
      <w:r w:rsidRPr="00A65A91">
        <w:t>The determination of whether any particular condition is considered a disability is made on a case-by-case basis; generally, a disability does not include an impairment that is transitory and minor, such as a cold or seasonal influenza.</w:t>
      </w:r>
      <w:r>
        <w:rPr>
          <w:rStyle w:val="FootnoteReference"/>
        </w:rPr>
        <w:footnoteReference w:id="14"/>
      </w:r>
      <w:r>
        <w:t xml:space="preserve"> </w:t>
      </w:r>
      <w:r w:rsidRPr="00A65A91">
        <w:t>ADA provides that the definition of disability shall be construed in favor of broad coverage of individuals to the maximum extent permitted by the act's terms.</w:t>
      </w:r>
      <w:r>
        <w:rPr>
          <w:rStyle w:val="FootnoteReference"/>
        </w:rPr>
        <w:footnoteReference w:id="15"/>
      </w:r>
      <w:r>
        <w:rPr>
          <w:bdr w:val="none" w:sz="0" w:space="0" w:color="auto" w:frame="1"/>
        </w:rPr>
        <w:t xml:space="preserve"> </w:t>
      </w:r>
    </w:p>
    <w:p w14:paraId="7F2E8C77" w14:textId="77777777" w:rsidR="00D102A0" w:rsidRDefault="00D102A0" w:rsidP="00D102A0">
      <w:pPr>
        <w:spacing w:line="360" w:lineRule="auto"/>
        <w:rPr>
          <w:rFonts w:ascii="Calibri" w:eastAsia="Times New Roman" w:hAnsi="Calibri" w:cs="Calibri"/>
          <w:b/>
          <w:bCs/>
          <w:color w:val="000000" w:themeColor="text1"/>
        </w:rPr>
      </w:pPr>
    </w:p>
    <w:p w14:paraId="72F8E90E" w14:textId="5CDBC6EB" w:rsidR="002A0C27" w:rsidRPr="00AA4235" w:rsidRDefault="005627BC" w:rsidP="00AA4235">
      <w:pPr>
        <w:keepNext/>
        <w:spacing w:line="360" w:lineRule="auto"/>
        <w:rPr>
          <w:rFonts w:ascii="Calibri" w:eastAsia="Times New Roman" w:hAnsi="Calibri" w:cs="Calibri"/>
          <w:b/>
          <w:bCs/>
          <w:color w:val="000000" w:themeColor="text1"/>
          <w:sz w:val="24"/>
          <w:szCs w:val="24"/>
          <w:bdr w:val="none" w:sz="0" w:space="0" w:color="auto" w:frame="1"/>
        </w:rPr>
      </w:pPr>
      <w:r w:rsidRPr="00AA4235">
        <w:rPr>
          <w:rFonts w:ascii="Calibri" w:eastAsia="Times New Roman" w:hAnsi="Calibri" w:cs="Calibri"/>
          <w:b/>
          <w:bCs/>
          <w:color w:val="000000" w:themeColor="text1"/>
          <w:sz w:val="24"/>
          <w:szCs w:val="24"/>
          <w:bdr w:val="none" w:sz="0" w:space="0" w:color="auto" w:frame="1"/>
        </w:rPr>
        <w:t>Restricted Acti</w:t>
      </w:r>
      <w:r w:rsidR="002A0C27" w:rsidRPr="00AA4235">
        <w:rPr>
          <w:rFonts w:ascii="Calibri" w:eastAsia="Times New Roman" w:hAnsi="Calibri" w:cs="Calibri"/>
          <w:b/>
          <w:bCs/>
          <w:color w:val="000000" w:themeColor="text1"/>
          <w:sz w:val="24"/>
          <w:szCs w:val="24"/>
          <w:bdr w:val="none" w:sz="0" w:space="0" w:color="auto" w:frame="1"/>
        </w:rPr>
        <w:t>ons</w:t>
      </w:r>
    </w:p>
    <w:p w14:paraId="13206C1F" w14:textId="45BA221B" w:rsidR="00A55C1E" w:rsidRPr="00A65A91" w:rsidRDefault="00A55C1E" w:rsidP="00AA4235">
      <w:pPr>
        <w:pStyle w:val="15para"/>
        <w:spacing w:after="120"/>
      </w:pPr>
      <w:r w:rsidRPr="00A65A91">
        <w:t xml:space="preserve">Title I of ADA regulates employers' disability-related inquiries and medical examinations for all applicants and employees, regardless of whether those individuals have disabilities. </w:t>
      </w:r>
      <w:r w:rsidRPr="00A55C1E">
        <w:t>An inquiry is "disability-related" if it is likely to elicit information about a disability.</w:t>
      </w:r>
      <w:r>
        <w:t xml:space="preserve"> </w:t>
      </w:r>
      <w:r w:rsidRPr="00A65A91">
        <w:t>Employers may not ask about the existence, nature, or severity of a disability,</w:t>
      </w:r>
      <w:r>
        <w:rPr>
          <w:rStyle w:val="FootnoteReference"/>
        </w:rPr>
        <w:footnoteReference w:id="16"/>
      </w:r>
      <w:r>
        <w:rPr>
          <w:bdr w:val="none" w:sz="0" w:space="0" w:color="auto" w:frame="1"/>
        </w:rPr>
        <w:t xml:space="preserve"> </w:t>
      </w:r>
      <w:r w:rsidRPr="00A65A91">
        <w:t>except under limited circumstances:</w:t>
      </w:r>
    </w:p>
    <w:p w14:paraId="5DE0A3DF" w14:textId="56EB1B5B" w:rsidR="00A55C1E" w:rsidRPr="008D3581" w:rsidRDefault="00A55C1E" w:rsidP="00AA4235">
      <w:pPr>
        <w:pStyle w:val="ListParagraph"/>
        <w:numPr>
          <w:ilvl w:val="0"/>
          <w:numId w:val="6"/>
        </w:numPr>
        <w:spacing w:after="120" w:line="360" w:lineRule="auto"/>
        <w:contextualSpacing w:val="0"/>
        <w:textAlignment w:val="baseline"/>
        <w:rPr>
          <w:rFonts w:ascii="Calibri" w:eastAsia="Times New Roman" w:hAnsi="Calibri" w:cs="Calibri"/>
        </w:rPr>
      </w:pPr>
      <w:r w:rsidRPr="00A55C1E">
        <w:rPr>
          <w:rFonts w:ascii="Calibri" w:eastAsia="Times New Roman" w:hAnsi="Calibri" w:cs="Calibri"/>
          <w:b/>
          <w:bCs/>
        </w:rPr>
        <w:lastRenderedPageBreak/>
        <w:t>Before a conditional offer of employment</w:t>
      </w:r>
      <w:r w:rsidR="00AA4235">
        <w:rPr>
          <w:rFonts w:ascii="Calibri" w:eastAsia="Times New Roman" w:hAnsi="Calibri" w:cs="Calibri"/>
          <w:b/>
          <w:bCs/>
        </w:rPr>
        <w:t xml:space="preserve"> – </w:t>
      </w:r>
      <w:r w:rsidRPr="008D3581">
        <w:rPr>
          <w:rFonts w:ascii="Calibri" w:eastAsia="Times New Roman" w:hAnsi="Calibri" w:cs="Calibri"/>
        </w:rPr>
        <w:t xml:space="preserve">ADA prohibits disability-related inquiries and medical examination. The employer is permitted to make inquiries into the ability of an applicant to perform job-related </w:t>
      </w:r>
      <w:r w:rsidR="00AA4235" w:rsidRPr="008D3581">
        <w:rPr>
          <w:rFonts w:ascii="Calibri" w:eastAsia="Times New Roman" w:hAnsi="Calibri" w:cs="Calibri"/>
        </w:rPr>
        <w:t>functions or</w:t>
      </w:r>
      <w:r w:rsidRPr="008D3581">
        <w:rPr>
          <w:rFonts w:ascii="Calibri" w:eastAsia="Times New Roman" w:hAnsi="Calibri" w:cs="Calibri"/>
        </w:rPr>
        <w:t xml:space="preserve"> may ask an applicant to describe or demonstrate how, with or without reasonable accommodation, the applicant will be able to perform job-related functions.</w:t>
      </w:r>
      <w:r>
        <w:rPr>
          <w:rStyle w:val="FootnoteReference"/>
          <w:rFonts w:ascii="Calibri" w:eastAsia="Times New Roman" w:hAnsi="Calibri" w:cs="Calibri"/>
        </w:rPr>
        <w:footnoteReference w:id="17"/>
      </w:r>
    </w:p>
    <w:p w14:paraId="0DFB8E36" w14:textId="3A28AF6D" w:rsidR="00A55C1E" w:rsidRPr="008D3581" w:rsidRDefault="00A55C1E" w:rsidP="00AA4235">
      <w:pPr>
        <w:pStyle w:val="ListParagraph"/>
        <w:numPr>
          <w:ilvl w:val="0"/>
          <w:numId w:val="6"/>
        </w:numPr>
        <w:spacing w:after="120" w:line="360" w:lineRule="auto"/>
        <w:contextualSpacing w:val="0"/>
        <w:textAlignment w:val="baseline"/>
        <w:rPr>
          <w:rFonts w:ascii="Calibri" w:eastAsia="Times New Roman" w:hAnsi="Calibri" w:cs="Calibri"/>
        </w:rPr>
      </w:pPr>
      <w:r w:rsidRPr="00A55C1E">
        <w:rPr>
          <w:rFonts w:ascii="Calibri" w:eastAsia="Times New Roman" w:hAnsi="Calibri" w:cs="Calibri"/>
          <w:b/>
          <w:bCs/>
        </w:rPr>
        <w:t>After a conditional offer of employment</w:t>
      </w:r>
      <w:r w:rsidRPr="00AA4235">
        <w:rPr>
          <w:rFonts w:ascii="Calibri" w:eastAsia="Times New Roman" w:hAnsi="Calibri" w:cs="Calibri"/>
          <w:b/>
          <w:bCs/>
        </w:rPr>
        <w:t>, but before an individual begins working</w:t>
      </w:r>
      <w:r w:rsidR="00AA4235">
        <w:rPr>
          <w:rFonts w:ascii="Calibri" w:eastAsia="Times New Roman" w:hAnsi="Calibri" w:cs="Calibri"/>
          <w:b/>
          <w:bCs/>
        </w:rPr>
        <w:t xml:space="preserve"> – </w:t>
      </w:r>
      <w:r w:rsidRPr="008D3581">
        <w:rPr>
          <w:rFonts w:ascii="Calibri" w:eastAsia="Times New Roman" w:hAnsi="Calibri" w:cs="Calibri"/>
        </w:rPr>
        <w:t>ADA permits disability-related inquiries and medical examinations if all entering employees in the same job category are subject to the same inquiries and examinations regardless of disability.</w:t>
      </w:r>
      <w:r>
        <w:rPr>
          <w:rStyle w:val="FootnoteReference"/>
          <w:rFonts w:ascii="Calibri" w:eastAsia="Times New Roman" w:hAnsi="Calibri" w:cs="Calibri"/>
        </w:rPr>
        <w:footnoteReference w:id="18"/>
      </w:r>
      <w:r>
        <w:rPr>
          <w:rFonts w:ascii="Calibri" w:eastAsia="Times New Roman" w:hAnsi="Calibri" w:cs="Calibri"/>
          <w:bdr w:val="none" w:sz="0" w:space="0" w:color="auto" w:frame="1"/>
        </w:rPr>
        <w:t xml:space="preserve"> </w:t>
      </w:r>
      <w:r w:rsidRPr="008D3581">
        <w:rPr>
          <w:rFonts w:ascii="Calibri" w:eastAsia="Times New Roman" w:hAnsi="Calibri" w:cs="Calibri"/>
        </w:rPr>
        <w:t>However, if certain criteria are used to screen out an employee or employees with disabilities as a result of such an examination or inquiry, the exclusionary criteria must be job-related and consistent with business necessity, and performance of the essential job functions cannot be accomplished with reasonable accommodation.</w:t>
      </w:r>
      <w:r>
        <w:rPr>
          <w:rStyle w:val="FootnoteReference"/>
          <w:rFonts w:ascii="Calibri" w:eastAsia="Times New Roman" w:hAnsi="Calibri" w:cs="Calibri"/>
        </w:rPr>
        <w:footnoteReference w:id="19"/>
      </w:r>
    </w:p>
    <w:p w14:paraId="068B6C30" w14:textId="1964970A" w:rsidR="00A55C1E" w:rsidRPr="008D3581" w:rsidRDefault="00A55C1E" w:rsidP="00C655CA">
      <w:pPr>
        <w:pStyle w:val="ListParagraph"/>
        <w:numPr>
          <w:ilvl w:val="0"/>
          <w:numId w:val="6"/>
        </w:numPr>
        <w:spacing w:line="360" w:lineRule="auto"/>
        <w:contextualSpacing w:val="0"/>
        <w:textAlignment w:val="baseline"/>
        <w:rPr>
          <w:rFonts w:ascii="Calibri" w:eastAsia="Times New Roman" w:hAnsi="Calibri" w:cs="Calibri"/>
        </w:rPr>
      </w:pPr>
      <w:r w:rsidRPr="00A55C1E">
        <w:rPr>
          <w:rFonts w:ascii="Calibri" w:eastAsia="Times New Roman" w:hAnsi="Calibri" w:cs="Calibri"/>
          <w:b/>
          <w:bCs/>
        </w:rPr>
        <w:t>During employment</w:t>
      </w:r>
      <w:r w:rsidR="00C655CA">
        <w:rPr>
          <w:rFonts w:ascii="Calibri" w:eastAsia="Times New Roman" w:hAnsi="Calibri" w:cs="Calibri"/>
          <w:b/>
          <w:bCs/>
        </w:rPr>
        <w:t xml:space="preserve"> – </w:t>
      </w:r>
      <w:r w:rsidRPr="008D3581">
        <w:rPr>
          <w:rFonts w:ascii="Calibri" w:eastAsia="Times New Roman" w:hAnsi="Calibri" w:cs="Calibri"/>
        </w:rPr>
        <w:t>ADA prohibits employee disability-related inquiries or medical examinations unless they are job-related and consistent with business necessity.</w:t>
      </w:r>
      <w:r>
        <w:rPr>
          <w:rStyle w:val="FootnoteReference"/>
          <w:rFonts w:ascii="Calibri" w:eastAsia="Times New Roman" w:hAnsi="Calibri" w:cs="Calibri"/>
        </w:rPr>
        <w:footnoteReference w:id="20"/>
      </w:r>
      <w:r>
        <w:rPr>
          <w:rFonts w:ascii="Calibri" w:eastAsia="Times New Roman" w:hAnsi="Calibri" w:cs="Calibri"/>
          <w:bdr w:val="none" w:sz="0" w:space="0" w:color="auto" w:frame="1"/>
        </w:rPr>
        <w:t xml:space="preserve"> </w:t>
      </w:r>
      <w:r w:rsidRPr="008D3581">
        <w:rPr>
          <w:rFonts w:ascii="Calibri" w:eastAsia="Times New Roman" w:hAnsi="Calibri" w:cs="Calibri"/>
        </w:rPr>
        <w:t>For this purpose, the employer must have a reasonable belief, based on objective evidence, that an employee's ability to perform essential job functions will be impaired by a medical condition or an employee will pose a direct threat due to a medical condition.</w:t>
      </w:r>
    </w:p>
    <w:p w14:paraId="7B96B55F" w14:textId="77777777" w:rsidR="00283E20" w:rsidRDefault="00283E20" w:rsidP="00C655CA">
      <w:pPr>
        <w:spacing w:line="360" w:lineRule="auto"/>
        <w:textAlignment w:val="baseline"/>
        <w:rPr>
          <w:rFonts w:ascii="Calibri" w:eastAsia="Times New Roman" w:hAnsi="Calibri" w:cs="Calibri"/>
          <w:b/>
          <w:bCs/>
          <w:color w:val="000000" w:themeColor="text1"/>
          <w:bdr w:val="none" w:sz="0" w:space="0" w:color="auto" w:frame="1"/>
        </w:rPr>
      </w:pPr>
    </w:p>
    <w:p w14:paraId="058DA119" w14:textId="782446EC" w:rsidR="002A0C27" w:rsidRPr="00283E20" w:rsidRDefault="005627BC" w:rsidP="00283E20">
      <w:pPr>
        <w:spacing w:line="360" w:lineRule="auto"/>
        <w:textAlignment w:val="baseline"/>
        <w:rPr>
          <w:rFonts w:ascii="Calibri" w:eastAsia="Times New Roman" w:hAnsi="Calibri" w:cs="Calibri"/>
          <w:b/>
          <w:bCs/>
          <w:color w:val="000000" w:themeColor="text1"/>
          <w:sz w:val="24"/>
          <w:szCs w:val="24"/>
          <w:bdr w:val="none" w:sz="0" w:space="0" w:color="auto" w:frame="1"/>
        </w:rPr>
      </w:pPr>
      <w:r w:rsidRPr="00283E20">
        <w:rPr>
          <w:rFonts w:ascii="Calibri" w:eastAsia="Times New Roman" w:hAnsi="Calibri" w:cs="Calibri"/>
          <w:b/>
          <w:bCs/>
          <w:color w:val="000000" w:themeColor="text1"/>
          <w:sz w:val="24"/>
          <w:szCs w:val="24"/>
          <w:bdr w:val="none" w:sz="0" w:space="0" w:color="auto" w:frame="1"/>
        </w:rPr>
        <w:t>Permitted Acti</w:t>
      </w:r>
      <w:r w:rsidR="00283E20">
        <w:rPr>
          <w:rFonts w:ascii="Calibri" w:eastAsia="Times New Roman" w:hAnsi="Calibri" w:cs="Calibri"/>
          <w:b/>
          <w:bCs/>
          <w:color w:val="000000" w:themeColor="text1"/>
          <w:sz w:val="24"/>
          <w:szCs w:val="24"/>
          <w:bdr w:val="none" w:sz="0" w:space="0" w:color="auto" w:frame="1"/>
        </w:rPr>
        <w:t>ons</w:t>
      </w:r>
    </w:p>
    <w:p w14:paraId="0F0DCAB6" w14:textId="03653430" w:rsidR="00A55C1E" w:rsidRDefault="00A55C1E" w:rsidP="00A55C1E">
      <w:pPr>
        <w:pStyle w:val="15para"/>
      </w:pPr>
      <w:r w:rsidRPr="00A65A91">
        <w:t xml:space="preserve">Generally, ADA permits medical surveillance and screening programs for current </w:t>
      </w:r>
      <w:r>
        <w:t>employees</w:t>
      </w:r>
      <w:r w:rsidRPr="00A65A91">
        <w:t xml:space="preserve"> who are at risk for exposure to disease or other hazards. For a medical surveillance program to be lawful, it cannot be arbitrary and must include all potentially affected employees. ADA recognizes that medical surveillance may be required by occupational safety and health laws, such as standards established by OSHA under the OSH Act.</w:t>
      </w:r>
      <w:r>
        <w:rPr>
          <w:rStyle w:val="FootnoteReference"/>
        </w:rPr>
        <w:footnoteReference w:id="21"/>
      </w:r>
      <w:r>
        <w:rPr>
          <w:bdr w:val="none" w:sz="0" w:space="0" w:color="auto" w:frame="1"/>
        </w:rPr>
        <w:t xml:space="preserve"> </w:t>
      </w:r>
      <w:r w:rsidRPr="00A65A91">
        <w:t xml:space="preserve">If a standard is required by another federal law, an employer must comply with it and does not have to show that the standard is job-related and consistent with business necessity. An employer still has the obligation under ADA to consider whether there is a reasonable </w:t>
      </w:r>
      <w:r w:rsidRPr="00A65A91">
        <w:lastRenderedPageBreak/>
        <w:t>accommodation consistent with federal standards that will prevent exclusion of qualified individuals with disabilities who can perform jobs consistent with these standards.</w:t>
      </w:r>
      <w:r>
        <w:rPr>
          <w:rStyle w:val="FootnoteReference"/>
        </w:rPr>
        <w:footnoteReference w:id="22"/>
      </w:r>
    </w:p>
    <w:p w14:paraId="5C8FD9B2" w14:textId="77777777" w:rsidR="00C655CA" w:rsidRDefault="00C655CA" w:rsidP="00A55C1E">
      <w:pPr>
        <w:pStyle w:val="15para"/>
      </w:pPr>
    </w:p>
    <w:p w14:paraId="467D75FA" w14:textId="16649310" w:rsidR="00B7568C" w:rsidRPr="00501273" w:rsidRDefault="00B7568C" w:rsidP="00B7568C">
      <w:pPr>
        <w:pStyle w:val="15para"/>
        <w:rPr>
          <w:bdr w:val="none" w:sz="0" w:space="0" w:color="auto" w:frame="1"/>
        </w:rPr>
      </w:pPr>
      <w:r w:rsidRPr="00A65A91">
        <w:t>ADA does not negate state or local safety and health laws, except where such laws conflict with ADA requirements.</w:t>
      </w:r>
      <w:r w:rsidR="00C77A27">
        <w:rPr>
          <w:rStyle w:val="FootnoteReference"/>
        </w:rPr>
        <w:footnoteReference w:id="23"/>
      </w:r>
      <w:r w:rsidRPr="00A65A91">
        <w:t xml:space="preserve"> Before excluding individuals with disabilities from the workplace or a particular job for health or safety reasons, the employer must assess whether the individual poses a "direct threat." A direct threat is a significant risk of substantial harm to both the individual and other employees even with reasonable accommodation. EEOC regulations set forth four factors to consider when determining whether an employee poses a direct threat: (1) the duration of the risk; (2) the nature and severity of the potential harm; (3) the likelihood that potential harm will occur; and (4) the imminence of the potential harm.</w:t>
      </w:r>
      <w:r>
        <w:rPr>
          <w:rStyle w:val="FootnoteReference"/>
        </w:rPr>
        <w:footnoteReference w:id="24"/>
      </w:r>
      <w:r>
        <w:t xml:space="preserve"> </w:t>
      </w:r>
    </w:p>
    <w:p w14:paraId="5623C43F" w14:textId="77777777" w:rsidR="00B7568C" w:rsidRPr="00A65A91" w:rsidRDefault="00B7568C" w:rsidP="00B7568C">
      <w:pPr>
        <w:pStyle w:val="15para"/>
      </w:pPr>
    </w:p>
    <w:p w14:paraId="79BBD2F4" w14:textId="77777777" w:rsidR="00B7568C" w:rsidRDefault="00B7568C" w:rsidP="00C77A27">
      <w:pPr>
        <w:pStyle w:val="15para"/>
      </w:pPr>
      <w:r w:rsidRPr="00A65A91">
        <w:t>ADA does not prevent employers from collecting and appropriately using information necessary for a comprehensive emergency evacuation plan</w:t>
      </w:r>
      <w:r>
        <w:t>.</w:t>
      </w:r>
      <w:r>
        <w:rPr>
          <w:rStyle w:val="FootnoteReference"/>
        </w:rPr>
        <w:footnoteReference w:id="25"/>
      </w:r>
      <w:r>
        <w:t xml:space="preserve"> </w:t>
      </w:r>
      <w:r w:rsidRPr="00A65A91">
        <w:t>An employer may ask employees whether they will require assistance in the event of an evacuation and, if so, what type of assistance they would need. Some employees may need assistance because of medical conditions that are not visually apparent whereas others may have obvious disabilities or medical conditions but may not need assistance.</w:t>
      </w:r>
    </w:p>
    <w:p w14:paraId="69FFA29A" w14:textId="77777777" w:rsidR="00A55C1E" w:rsidRDefault="00A55C1E" w:rsidP="00C77A27">
      <w:pPr>
        <w:spacing w:line="360" w:lineRule="auto"/>
        <w:textAlignment w:val="baseline"/>
        <w:rPr>
          <w:rFonts w:ascii="Calibri" w:eastAsia="Times New Roman" w:hAnsi="Calibri" w:cs="Calibri"/>
          <w:color w:val="000000" w:themeColor="text1"/>
        </w:rPr>
      </w:pPr>
    </w:p>
    <w:p w14:paraId="670252F3" w14:textId="5F351575" w:rsidR="00184DA2" w:rsidRPr="00184DA2" w:rsidRDefault="005627BC" w:rsidP="00184DA2">
      <w:pPr>
        <w:spacing w:line="360" w:lineRule="auto"/>
        <w:textAlignment w:val="baseline"/>
        <w:rPr>
          <w:rFonts w:ascii="Calibri" w:eastAsia="Times New Roman" w:hAnsi="Calibri" w:cs="Calibri"/>
          <w:b/>
          <w:bCs/>
          <w:color w:val="000000" w:themeColor="text1"/>
          <w:sz w:val="24"/>
          <w:szCs w:val="24"/>
        </w:rPr>
      </w:pPr>
      <w:r w:rsidRPr="00184DA2">
        <w:rPr>
          <w:rFonts w:ascii="Calibri" w:eastAsia="Times New Roman" w:hAnsi="Calibri" w:cs="Calibri"/>
          <w:b/>
          <w:bCs/>
          <w:color w:val="000000" w:themeColor="text1"/>
          <w:sz w:val="24"/>
          <w:szCs w:val="24"/>
          <w:bdr w:val="none" w:sz="0" w:space="0" w:color="auto" w:frame="1"/>
        </w:rPr>
        <w:t>Reasonable Accommodation</w:t>
      </w:r>
    </w:p>
    <w:p w14:paraId="4C1BB872" w14:textId="548D7A89" w:rsidR="0010352B" w:rsidRDefault="009856E7" w:rsidP="0010352B">
      <w:pPr>
        <w:pStyle w:val="15para"/>
      </w:pPr>
      <w:r w:rsidRPr="009856E7">
        <w:t xml:space="preserve">Reasonable accommodation is any </w:t>
      </w:r>
      <w:r>
        <w:t xml:space="preserve">modification in a </w:t>
      </w:r>
      <w:r w:rsidRPr="009856E7">
        <w:t xml:space="preserve">job </w:t>
      </w:r>
      <w:r>
        <w:t xml:space="preserve">position or </w:t>
      </w:r>
      <w:r w:rsidRPr="009856E7">
        <w:t xml:space="preserve">work environment that </w:t>
      </w:r>
      <w:r>
        <w:t>allows</w:t>
      </w:r>
      <w:r w:rsidRPr="009856E7">
        <w:t xml:space="preserve"> a qualified </w:t>
      </w:r>
      <w:r>
        <w:t xml:space="preserve">job </w:t>
      </w:r>
      <w:r w:rsidRPr="009856E7">
        <w:t xml:space="preserve">applicant or employee with a disability to </w:t>
      </w:r>
      <w:r>
        <w:t xml:space="preserve">apply for the position, perform the essential job duties, or to participate in </w:t>
      </w:r>
      <w:r w:rsidRPr="009856E7">
        <w:t>employment equa</w:t>
      </w:r>
      <w:r>
        <w:t xml:space="preserve">l to </w:t>
      </w:r>
      <w:r w:rsidRPr="009856E7">
        <w:t>employees without disabilities.</w:t>
      </w:r>
      <w:r>
        <w:rPr>
          <w:rStyle w:val="FootnoteReference"/>
        </w:rPr>
        <w:footnoteReference w:id="26"/>
      </w:r>
      <w:r w:rsidR="0010352B">
        <w:t xml:space="preserve"> </w:t>
      </w:r>
      <w:r w:rsidR="00B7568C" w:rsidRPr="00A65A91">
        <w:t xml:space="preserve">ADA requires that employers reasonably accommodate an otherwise qualified applicant or employee's known physical or </w:t>
      </w:r>
      <w:r w:rsidR="00B7568C" w:rsidRPr="00A65A91">
        <w:lastRenderedPageBreak/>
        <w:t xml:space="preserve">mental limitations unless doing so would impose an undue hardship on the operation of the employer's business. </w:t>
      </w:r>
      <w:r w:rsidR="0010352B">
        <w:t xml:space="preserve">Types of reasonable accommodations may include </w:t>
      </w:r>
      <w:r w:rsidR="0010352B">
        <w:t>reasonable accommodation may include</w:t>
      </w:r>
      <w:r w:rsidR="0010352B">
        <w:rPr>
          <w:rStyle w:val="FootnoteReference"/>
        </w:rPr>
        <w:footnoteReference w:id="27"/>
      </w:r>
      <w:r w:rsidR="0010352B">
        <w:t>:</w:t>
      </w:r>
    </w:p>
    <w:p w14:paraId="671A39A3" w14:textId="4250E011" w:rsidR="0010352B" w:rsidRDefault="0010352B" w:rsidP="0010352B">
      <w:pPr>
        <w:pStyle w:val="15para"/>
        <w:numPr>
          <w:ilvl w:val="0"/>
          <w:numId w:val="8"/>
        </w:numPr>
      </w:pPr>
      <w:r>
        <w:t>Providing modified or modifying existing equipment or devices</w:t>
      </w:r>
    </w:p>
    <w:p w14:paraId="74220D5C" w14:textId="4719C182" w:rsidR="0010352B" w:rsidRDefault="0010352B" w:rsidP="0010352B">
      <w:pPr>
        <w:pStyle w:val="15para"/>
        <w:numPr>
          <w:ilvl w:val="0"/>
          <w:numId w:val="8"/>
        </w:numPr>
      </w:pPr>
      <w:r>
        <w:t xml:space="preserve">Restructuring job </w:t>
      </w:r>
    </w:p>
    <w:p w14:paraId="596778E2" w14:textId="22C090CD" w:rsidR="0010352B" w:rsidRDefault="0010352B" w:rsidP="0010352B">
      <w:pPr>
        <w:pStyle w:val="15para"/>
        <w:numPr>
          <w:ilvl w:val="0"/>
          <w:numId w:val="8"/>
        </w:numPr>
      </w:pPr>
      <w:r>
        <w:t>Creating part-time or modified work schedules</w:t>
      </w:r>
    </w:p>
    <w:p w14:paraId="719556AE" w14:textId="5C65C5D4" w:rsidR="0010352B" w:rsidRDefault="0010352B" w:rsidP="0010352B">
      <w:pPr>
        <w:pStyle w:val="15para"/>
        <w:numPr>
          <w:ilvl w:val="0"/>
          <w:numId w:val="8"/>
        </w:numPr>
      </w:pPr>
      <w:r>
        <w:t>Reassigning to a vacant position</w:t>
      </w:r>
    </w:p>
    <w:p w14:paraId="092B5696" w14:textId="47633925" w:rsidR="0010352B" w:rsidRDefault="0010352B" w:rsidP="0010352B">
      <w:pPr>
        <w:pStyle w:val="15para"/>
        <w:numPr>
          <w:ilvl w:val="0"/>
          <w:numId w:val="8"/>
        </w:numPr>
      </w:pPr>
      <w:r>
        <w:t>Adjusting or modifying examinations, training materials, or policies</w:t>
      </w:r>
    </w:p>
    <w:p w14:paraId="5EA57841" w14:textId="7EB69624" w:rsidR="0010352B" w:rsidRDefault="0010352B" w:rsidP="0010352B">
      <w:pPr>
        <w:pStyle w:val="15para"/>
        <w:numPr>
          <w:ilvl w:val="0"/>
          <w:numId w:val="8"/>
        </w:numPr>
      </w:pPr>
      <w:r>
        <w:t>Providing readers and interpreters</w:t>
      </w:r>
    </w:p>
    <w:p w14:paraId="16C3DC34" w14:textId="3412CE78" w:rsidR="009856E7" w:rsidRDefault="0010352B" w:rsidP="0010352B">
      <w:pPr>
        <w:pStyle w:val="15para"/>
        <w:numPr>
          <w:ilvl w:val="0"/>
          <w:numId w:val="8"/>
        </w:numPr>
      </w:pPr>
      <w:r>
        <w:t xml:space="preserve">Making </w:t>
      </w:r>
      <w:r>
        <w:t>the workplace accessible to and usable by people with disabilities</w:t>
      </w:r>
    </w:p>
    <w:p w14:paraId="197189F4" w14:textId="77777777" w:rsidR="009856E7" w:rsidRDefault="009856E7" w:rsidP="00B7568C">
      <w:pPr>
        <w:pStyle w:val="15para"/>
      </w:pPr>
    </w:p>
    <w:p w14:paraId="54DFF7EC" w14:textId="6B104081" w:rsidR="00D102A0" w:rsidRPr="00184DA2" w:rsidRDefault="00184DA2" w:rsidP="00184DA2">
      <w:pPr>
        <w:spacing w:line="360" w:lineRule="auto"/>
        <w:textAlignment w:val="baseline"/>
        <w:rPr>
          <w:rFonts w:ascii="Calibri" w:eastAsia="Times New Roman" w:hAnsi="Calibri" w:cs="Calibri"/>
          <w:color w:val="000000" w:themeColor="text1"/>
          <w:sz w:val="24"/>
          <w:szCs w:val="24"/>
        </w:rPr>
      </w:pPr>
      <w:r w:rsidRPr="00184DA2">
        <w:rPr>
          <w:rFonts w:ascii="Calibri" w:eastAsia="Times New Roman" w:hAnsi="Calibri" w:cs="Calibri"/>
          <w:b/>
          <w:bCs/>
          <w:color w:val="000000" w:themeColor="text1"/>
          <w:sz w:val="24"/>
          <w:szCs w:val="24"/>
        </w:rPr>
        <w:t>State and Local Governments as Employers</w:t>
      </w:r>
    </w:p>
    <w:p w14:paraId="089EEDAD" w14:textId="26EC7FAA" w:rsidR="005627BC" w:rsidRPr="005627BC" w:rsidRDefault="005627BC" w:rsidP="00D102A0">
      <w:pPr>
        <w:spacing w:after="120" w:line="360" w:lineRule="auto"/>
        <w:textAlignment w:val="baseline"/>
        <w:rPr>
          <w:rFonts w:ascii="Calibri" w:eastAsia="Times New Roman" w:hAnsi="Calibri" w:cs="Calibri"/>
          <w:color w:val="000000" w:themeColor="text1"/>
        </w:rPr>
      </w:pPr>
      <w:r w:rsidRPr="005627BC">
        <w:rPr>
          <w:rFonts w:ascii="Calibri" w:eastAsia="Times New Roman" w:hAnsi="Calibri" w:cs="Calibri"/>
          <w:color w:val="000000" w:themeColor="text1"/>
        </w:rPr>
        <w:t xml:space="preserve">As employers, state and local governments must comply with ADA </w:t>
      </w:r>
      <w:r w:rsidR="0043417D" w:rsidRPr="005627BC">
        <w:rPr>
          <w:rFonts w:ascii="Calibri" w:eastAsia="Times New Roman" w:hAnsi="Calibri" w:cs="Calibri"/>
          <w:color w:val="000000" w:themeColor="text1"/>
        </w:rPr>
        <w:t>whether</w:t>
      </w:r>
      <w:r w:rsidRPr="005627BC">
        <w:rPr>
          <w:rFonts w:ascii="Calibri" w:eastAsia="Times New Roman" w:hAnsi="Calibri" w:cs="Calibri"/>
          <w:color w:val="000000" w:themeColor="text1"/>
        </w:rPr>
        <w:t xml:space="preserve"> an emergency exists</w:t>
      </w:r>
      <w:r w:rsidR="0043417D">
        <w:rPr>
          <w:rFonts w:ascii="Calibri" w:eastAsia="Times New Roman" w:hAnsi="Calibri" w:cs="Calibri"/>
          <w:color w:val="000000" w:themeColor="text1"/>
        </w:rPr>
        <w:t xml:space="preserve"> or not</w:t>
      </w:r>
      <w:r w:rsidRPr="005627BC">
        <w:rPr>
          <w:rFonts w:ascii="Calibri" w:eastAsia="Times New Roman" w:hAnsi="Calibri" w:cs="Calibri"/>
          <w:color w:val="000000" w:themeColor="text1"/>
        </w:rPr>
        <w:t>. ADA prohibits requests for medical examinations or disability-related inquiries absent an exception. An exception exists if an examination or inquiry is shown to be job-related and consistent with business necessity</w:t>
      </w:r>
      <w:r w:rsidR="00394961">
        <w:rPr>
          <w:rFonts w:ascii="Calibri" w:eastAsia="Times New Roman" w:hAnsi="Calibri" w:cs="Calibri"/>
          <w:color w:val="000000" w:themeColor="text1"/>
        </w:rPr>
        <w:t>.</w:t>
      </w:r>
      <w:r w:rsidR="00A1313A">
        <w:rPr>
          <w:rStyle w:val="FootnoteReference"/>
          <w:rFonts w:ascii="Calibri" w:eastAsia="Times New Roman" w:hAnsi="Calibri" w:cs="Calibri"/>
          <w:color w:val="000000" w:themeColor="text1"/>
        </w:rPr>
        <w:footnoteReference w:id="28"/>
      </w:r>
      <w:r w:rsidR="00394961">
        <w:rPr>
          <w:rFonts w:ascii="Calibri" w:eastAsia="Times New Roman" w:hAnsi="Calibri" w:cs="Calibri"/>
          <w:color w:val="000000" w:themeColor="text1"/>
        </w:rPr>
        <w:t xml:space="preserve"> </w:t>
      </w:r>
      <w:r w:rsidRPr="005627BC">
        <w:rPr>
          <w:rFonts w:ascii="Calibri" w:eastAsia="Times New Roman" w:hAnsi="Calibri" w:cs="Calibri"/>
          <w:color w:val="000000" w:themeColor="text1"/>
        </w:rPr>
        <w:t>This means that, generally, an employer may only obtain medical information where the employer reasonably believes an employee will be unable to perform the job or will pose a direct threat to him or herself or others, due to a medical condition. Medical information sought must be limited in scope to only information which is relevant to the inquiry. ADA's provisions limiting employment inquiries apply to all applicants and employees of covered employers, regardless of whether those individuals have disabilities</w:t>
      </w:r>
      <w:r w:rsidR="00507E7A">
        <w:rPr>
          <w:rFonts w:ascii="Calibri" w:eastAsia="Times New Roman" w:hAnsi="Calibri" w:cs="Calibri"/>
          <w:color w:val="000000" w:themeColor="text1"/>
        </w:rPr>
        <w:t>.</w:t>
      </w:r>
      <w:r w:rsidR="00507E7A">
        <w:rPr>
          <w:rStyle w:val="FootnoteReference"/>
          <w:rFonts w:ascii="Calibri" w:eastAsia="Times New Roman" w:hAnsi="Calibri" w:cs="Calibri"/>
          <w:color w:val="000000" w:themeColor="text1"/>
        </w:rPr>
        <w:footnoteReference w:id="29"/>
      </w:r>
      <w:r w:rsidR="00507E7A">
        <w:rPr>
          <w:rFonts w:ascii="Calibri" w:eastAsia="Times New Roman" w:hAnsi="Calibri" w:cs="Calibri"/>
          <w:color w:val="000000" w:themeColor="text1"/>
        </w:rPr>
        <w:t xml:space="preserve"> </w:t>
      </w:r>
    </w:p>
    <w:p w14:paraId="50977071" w14:textId="77777777" w:rsidR="001440C1" w:rsidRPr="001440C1" w:rsidRDefault="001440C1" w:rsidP="00955817">
      <w:pPr>
        <w:spacing w:line="360" w:lineRule="auto"/>
        <w:rPr>
          <w:rFonts w:ascii="Calibri" w:eastAsia="Times New Roman" w:hAnsi="Calibri" w:cs="Calibri"/>
          <w:b/>
          <w:bCs/>
          <w:color w:val="000000" w:themeColor="text1"/>
          <w:szCs w:val="20"/>
        </w:rPr>
      </w:pPr>
    </w:p>
    <w:p w14:paraId="598A9C76" w14:textId="77777777" w:rsidR="00D102A0" w:rsidRDefault="005627BC" w:rsidP="00C77A27">
      <w:pPr>
        <w:keepNext/>
        <w:spacing w:line="360" w:lineRule="auto"/>
        <w:rPr>
          <w:rFonts w:ascii="Calibri" w:eastAsia="Times New Roman" w:hAnsi="Calibri" w:cs="Calibri"/>
          <w:b/>
          <w:bCs/>
          <w:color w:val="000000" w:themeColor="text1"/>
          <w:szCs w:val="20"/>
        </w:rPr>
      </w:pPr>
      <w:r w:rsidRPr="005627BC">
        <w:rPr>
          <w:rFonts w:ascii="Calibri" w:eastAsia="Times New Roman" w:hAnsi="Calibri" w:cs="Calibri"/>
          <w:b/>
          <w:bCs/>
          <w:color w:val="000000" w:themeColor="text1"/>
          <w:szCs w:val="20"/>
        </w:rPr>
        <w:t>Disclosure of Employee Health Information under ADA</w:t>
      </w:r>
    </w:p>
    <w:p w14:paraId="7661BE81" w14:textId="77777777" w:rsidR="00D102A0" w:rsidRDefault="005627BC" w:rsidP="00D102A0">
      <w:pPr>
        <w:spacing w:line="360" w:lineRule="auto"/>
        <w:rPr>
          <w:rFonts w:ascii="Calibri" w:eastAsia="Times New Roman" w:hAnsi="Calibri" w:cs="Calibri"/>
          <w:b/>
          <w:bCs/>
          <w:color w:val="000000" w:themeColor="text1"/>
          <w:szCs w:val="20"/>
        </w:rPr>
      </w:pPr>
      <w:r w:rsidRPr="005627BC">
        <w:rPr>
          <w:rFonts w:ascii="Calibri" w:eastAsia="Times New Roman" w:hAnsi="Calibri" w:cs="Calibri"/>
          <w:color w:val="000000" w:themeColor="text1"/>
          <w:szCs w:val="20"/>
        </w:rPr>
        <w:t>ADA requires that information obtained by an employer about an applicant's or employee's medical condition or history must be collected on separate forms, kept in separate medical files, and be treated as a confidential medical record.</w:t>
      </w:r>
      <w:r w:rsidR="00347A3A">
        <w:rPr>
          <w:rStyle w:val="FootnoteReference"/>
          <w:rFonts w:ascii="Calibri" w:eastAsia="Times New Roman" w:hAnsi="Calibri" w:cs="Calibri"/>
          <w:color w:val="000000" w:themeColor="text1"/>
          <w:szCs w:val="20"/>
        </w:rPr>
        <w:footnoteReference w:id="30"/>
      </w:r>
      <w:r w:rsidR="00347A3A">
        <w:rPr>
          <w:rFonts w:ascii="Calibri" w:eastAsia="Times New Roman" w:hAnsi="Calibri" w:cs="Calibri"/>
          <w:color w:val="000000" w:themeColor="text1"/>
          <w:szCs w:val="20"/>
        </w:rPr>
        <w:t xml:space="preserve"> </w:t>
      </w:r>
      <w:r w:rsidR="00040D7A">
        <w:rPr>
          <w:rFonts w:ascii="Calibri" w:eastAsia="Times New Roman" w:hAnsi="Calibri" w:cs="Calibri"/>
          <w:color w:val="000000" w:themeColor="text1"/>
          <w:sz w:val="16"/>
          <w:szCs w:val="14"/>
          <w:bdr w:val="none" w:sz="0" w:space="0" w:color="auto" w:frame="1"/>
          <w:vertAlign w:val="superscript"/>
        </w:rPr>
        <w:t xml:space="preserve"> </w:t>
      </w:r>
      <w:r w:rsidRPr="005627BC">
        <w:rPr>
          <w:rFonts w:ascii="Calibri" w:eastAsia="Times New Roman" w:hAnsi="Calibri" w:cs="Calibri"/>
          <w:color w:val="000000" w:themeColor="text1"/>
          <w:szCs w:val="20"/>
        </w:rPr>
        <w:t xml:space="preserve">Supervisors and managers may be informed regarding necessary restrictions on the employee's work or duties and necessary accommodations. Additionally, first aid and safety personnel may be informed, when appropriate, if the disability might require emergency </w:t>
      </w:r>
      <w:r w:rsidRPr="005627BC">
        <w:rPr>
          <w:rFonts w:ascii="Calibri" w:eastAsia="Times New Roman" w:hAnsi="Calibri" w:cs="Calibri"/>
          <w:color w:val="000000" w:themeColor="text1"/>
          <w:szCs w:val="20"/>
        </w:rPr>
        <w:lastRenderedPageBreak/>
        <w:t>treatment or affect the employee's ability to evacuate the workplace during an emergency. Finally, government officials investigating ADA compliance shall be provided with relevant information on request.</w:t>
      </w:r>
      <w:r w:rsidR="00617CBF">
        <w:rPr>
          <w:rStyle w:val="FootnoteReference"/>
          <w:rFonts w:ascii="Calibri" w:eastAsia="Times New Roman" w:hAnsi="Calibri" w:cs="Calibri"/>
          <w:color w:val="000000" w:themeColor="text1"/>
          <w:szCs w:val="20"/>
        </w:rPr>
        <w:footnoteReference w:id="31"/>
      </w:r>
    </w:p>
    <w:p w14:paraId="1DAA6CCB" w14:textId="77777777" w:rsidR="00D102A0" w:rsidRDefault="00D102A0" w:rsidP="00D102A0">
      <w:pPr>
        <w:spacing w:line="360" w:lineRule="auto"/>
        <w:rPr>
          <w:rFonts w:ascii="Calibri" w:eastAsia="Times New Roman" w:hAnsi="Calibri" w:cs="Calibri"/>
          <w:b/>
          <w:bCs/>
          <w:color w:val="000000" w:themeColor="text1"/>
          <w:szCs w:val="20"/>
        </w:rPr>
      </w:pPr>
    </w:p>
    <w:p w14:paraId="21E18879" w14:textId="1ED64890" w:rsidR="005627BC" w:rsidRPr="00D102A0" w:rsidRDefault="005627BC" w:rsidP="00D102A0">
      <w:pPr>
        <w:spacing w:line="360" w:lineRule="auto"/>
        <w:rPr>
          <w:rFonts w:ascii="Calibri" w:eastAsia="Times New Roman" w:hAnsi="Calibri" w:cs="Calibri"/>
          <w:b/>
          <w:bCs/>
          <w:color w:val="000000" w:themeColor="text1"/>
          <w:szCs w:val="20"/>
        </w:rPr>
      </w:pPr>
      <w:r w:rsidRPr="005627BC">
        <w:rPr>
          <w:rFonts w:ascii="Calibri" w:eastAsia="Times New Roman" w:hAnsi="Calibri" w:cs="Calibri"/>
          <w:color w:val="000000" w:themeColor="text1"/>
          <w:szCs w:val="20"/>
        </w:rPr>
        <w:t>During a public health emergency, information regarding an employee's status may be released so long as that information does not disclose confidential medical information about the employee. For example, a public health agency could communicate, for the purpose of service continuity, that an employee is not currently at work and that the employee may be out of the office for several weeks, but the agency cannot disclose information about the nature of an employee's illness or injury. These confidentiality provisions would extend to media requests or other requests for information from outside entities. A public health agency must use care to safeguard the confidentiality of employee health information in order to fully comply with ADA.</w:t>
      </w:r>
    </w:p>
    <w:p w14:paraId="2EB6EFC1" w14:textId="4884AEDB" w:rsidR="001440C1" w:rsidRDefault="001440C1" w:rsidP="00955817">
      <w:pPr>
        <w:spacing w:line="360" w:lineRule="auto"/>
        <w:rPr>
          <w:rFonts w:ascii="Calibri" w:eastAsia="Times New Roman" w:hAnsi="Calibri" w:cs="Calibri"/>
          <w:b/>
          <w:bCs/>
          <w:color w:val="000000" w:themeColor="text1"/>
          <w:szCs w:val="24"/>
        </w:rPr>
      </w:pPr>
    </w:p>
    <w:p w14:paraId="022AAEB3" w14:textId="77777777" w:rsidR="00B7568C" w:rsidRPr="00184DA2" w:rsidRDefault="00B7568C" w:rsidP="00B7568C">
      <w:pPr>
        <w:spacing w:line="360" w:lineRule="auto"/>
        <w:rPr>
          <w:rFonts w:ascii="Calibri" w:eastAsia="Times New Roman" w:hAnsi="Calibri" w:cs="Calibri"/>
          <w:b/>
          <w:bCs/>
          <w:color w:val="000000" w:themeColor="text1"/>
          <w:sz w:val="24"/>
          <w:szCs w:val="24"/>
        </w:rPr>
      </w:pPr>
      <w:r w:rsidRPr="00184DA2">
        <w:rPr>
          <w:rFonts w:ascii="Calibri" w:eastAsia="Times New Roman" w:hAnsi="Calibri" w:cs="Calibri"/>
          <w:b/>
          <w:bCs/>
          <w:color w:val="000000" w:themeColor="text1"/>
          <w:sz w:val="24"/>
          <w:szCs w:val="24"/>
        </w:rPr>
        <w:t>Liability and Enforcement</w:t>
      </w:r>
    </w:p>
    <w:p w14:paraId="3A7CAA12" w14:textId="31971E77" w:rsidR="00B7568C" w:rsidRDefault="00B7568C" w:rsidP="00B7568C">
      <w:pPr>
        <w:spacing w:line="360" w:lineRule="auto"/>
        <w:rPr>
          <w:rFonts w:ascii="Calibri" w:eastAsia="Times New Roman" w:hAnsi="Calibri" w:cs="Calibri"/>
          <w:b/>
          <w:bCs/>
          <w:color w:val="000000" w:themeColor="text1"/>
        </w:rPr>
      </w:pPr>
      <w:r w:rsidRPr="005627BC">
        <w:rPr>
          <w:rFonts w:ascii="Calibri" w:eastAsia="Times New Roman" w:hAnsi="Calibri" w:cs="Calibri"/>
          <w:color w:val="000000" w:themeColor="text1"/>
        </w:rPr>
        <w:t>Under Title I of ADA, individuals who believe they have been discriminated against in employment based on their disability can file a charge with the EEOC. EEOC will investigate and initially attempt to resolve the charge through conciliation. Remedies include hiring, promotion, reinstatement, back pay, and attorney's fees. Reasonable accommodation is also available as a remedy. Individuals may file a lawsuit in federal court only after they receive a "right to sue letter" from EEOC.</w:t>
      </w:r>
    </w:p>
    <w:p w14:paraId="5B95525A" w14:textId="77777777" w:rsidR="00B7568C" w:rsidRDefault="00B7568C" w:rsidP="00B7568C">
      <w:pPr>
        <w:spacing w:line="360" w:lineRule="auto"/>
        <w:rPr>
          <w:rFonts w:ascii="Calibri" w:eastAsia="Times New Roman" w:hAnsi="Calibri" w:cs="Calibri"/>
          <w:b/>
          <w:bCs/>
          <w:color w:val="000000" w:themeColor="text1"/>
        </w:rPr>
      </w:pPr>
    </w:p>
    <w:p w14:paraId="0A852110" w14:textId="77777777" w:rsidR="00B7568C" w:rsidRPr="001403FA" w:rsidRDefault="00B7568C" w:rsidP="00B7568C">
      <w:pPr>
        <w:spacing w:line="360" w:lineRule="auto"/>
        <w:rPr>
          <w:rFonts w:ascii="Calibri" w:eastAsia="Times New Roman" w:hAnsi="Calibri" w:cs="Calibri"/>
          <w:b/>
          <w:bCs/>
          <w:color w:val="000000" w:themeColor="text1"/>
        </w:rPr>
      </w:pPr>
      <w:r w:rsidRPr="005627BC">
        <w:rPr>
          <w:rFonts w:ascii="Calibri" w:eastAsia="Times New Roman" w:hAnsi="Calibri" w:cs="Calibri"/>
          <w:color w:val="000000" w:themeColor="text1"/>
        </w:rPr>
        <w:t>The U.S. Department of Justice (DOJ) enforces Title II of ADA. DOJ may file lawsuits in federal court to enforce ADA and may obtain court orders, including compensatory damages and back pay, to remedy discrimination and civil penalties. Because ADA establishes overlapping responsibilities in EEOC and DOJ regarding state and local government employment, EEOC and DOJ coordinate the federal enforcement effort to avoid duplication in investigative and enforcement activities.</w:t>
      </w:r>
      <w:r>
        <w:rPr>
          <w:rStyle w:val="FootnoteReference"/>
          <w:rFonts w:ascii="Calibri" w:eastAsia="Times New Roman" w:hAnsi="Calibri" w:cs="Calibri"/>
          <w:color w:val="000000" w:themeColor="text1"/>
        </w:rPr>
        <w:footnoteReference w:id="32"/>
      </w:r>
    </w:p>
    <w:sectPr w:rsidR="00B7568C" w:rsidRPr="001403F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08585" w14:textId="77777777" w:rsidR="0051598F" w:rsidRDefault="0051598F" w:rsidP="00510773">
      <w:r>
        <w:separator/>
      </w:r>
    </w:p>
  </w:endnote>
  <w:endnote w:type="continuationSeparator" w:id="0">
    <w:p w14:paraId="2AB799A4" w14:textId="77777777" w:rsidR="0051598F" w:rsidRDefault="0051598F" w:rsidP="00510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2610821"/>
      <w:docPartObj>
        <w:docPartGallery w:val="Page Numbers (Bottom of Page)"/>
        <w:docPartUnique/>
      </w:docPartObj>
    </w:sdtPr>
    <w:sdtEndPr>
      <w:rPr>
        <w:noProof/>
      </w:rPr>
    </w:sdtEndPr>
    <w:sdtContent>
      <w:p w14:paraId="0AE578A2" w14:textId="6F9C16D3" w:rsidR="00510773" w:rsidRDefault="00957C91" w:rsidP="00957C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0384E" w14:textId="77777777" w:rsidR="0051598F" w:rsidRDefault="0051598F" w:rsidP="00510773">
      <w:r>
        <w:separator/>
      </w:r>
    </w:p>
  </w:footnote>
  <w:footnote w:type="continuationSeparator" w:id="0">
    <w:p w14:paraId="10790426" w14:textId="77777777" w:rsidR="0051598F" w:rsidRDefault="0051598F" w:rsidP="00510773">
      <w:r>
        <w:continuationSeparator/>
      </w:r>
    </w:p>
  </w:footnote>
  <w:footnote w:id="1">
    <w:p w14:paraId="2C8A4A8B" w14:textId="7D3D0273" w:rsidR="00EF0F86" w:rsidRPr="00EF0F86" w:rsidRDefault="00EF0F86" w:rsidP="00EF0F86">
      <w:pPr>
        <w:pStyle w:val="FootnoteText"/>
        <w:tabs>
          <w:tab w:val="left" w:pos="686"/>
        </w:tabs>
        <w:rPr>
          <w:b/>
          <w:bCs/>
        </w:rPr>
      </w:pPr>
      <w:r>
        <w:rPr>
          <w:b/>
          <w:bCs/>
          <w:highlight w:val="yellow"/>
        </w:rPr>
        <w:t>Footnotes will be streamlined and edited to style guide once text is finalized</w:t>
      </w:r>
    </w:p>
    <w:p w14:paraId="2EAEC3CA" w14:textId="054240E4" w:rsidR="00AE2FD1" w:rsidRDefault="00AE2FD1">
      <w:pPr>
        <w:pStyle w:val="FootnoteText"/>
      </w:pPr>
      <w:r>
        <w:rPr>
          <w:rStyle w:val="FootnoteReference"/>
        </w:rPr>
        <w:footnoteRef/>
      </w:r>
      <w:r>
        <w:t xml:space="preserve"> </w:t>
      </w:r>
      <w:r w:rsidRPr="00AE2FD1">
        <w:t>42 U.S.C. § 12101 et seq.</w:t>
      </w:r>
    </w:p>
  </w:footnote>
  <w:footnote w:id="2">
    <w:p w14:paraId="527188A8" w14:textId="28B61C2C" w:rsidR="00AE2FD1" w:rsidRDefault="00AE2FD1">
      <w:pPr>
        <w:pStyle w:val="FootnoteText"/>
      </w:pPr>
      <w:r>
        <w:rPr>
          <w:rStyle w:val="FootnoteReference"/>
        </w:rPr>
        <w:footnoteRef/>
      </w:r>
      <w:r>
        <w:t xml:space="preserve"> </w:t>
      </w:r>
      <w:r w:rsidRPr="00AE2FD1">
        <w:t xml:space="preserve">U.S. Equal Employment Commission. The ADA: Your Employment Rights as an Individual </w:t>
      </w:r>
      <w:r w:rsidR="009856E7" w:rsidRPr="00AE2FD1">
        <w:t>with</w:t>
      </w:r>
      <w:r w:rsidRPr="00AE2FD1">
        <w:t xml:space="preserve"> a Disability. </w:t>
      </w:r>
      <w:r w:rsidR="009856E7">
        <w:t>Retrieved from</w:t>
      </w:r>
      <w:r w:rsidRPr="00AE2FD1">
        <w:t xml:space="preserve"> </w:t>
      </w:r>
      <w:hyperlink r:id="rId1" w:history="1">
        <w:r w:rsidR="009856E7" w:rsidRPr="00EE3401">
          <w:rPr>
            <w:rStyle w:val="Hyperlink"/>
          </w:rPr>
          <w:t>http://www.eeoc.gov/fa</w:t>
        </w:r>
        <w:r w:rsidR="009856E7" w:rsidRPr="00EE3401">
          <w:rPr>
            <w:rStyle w:val="Hyperlink"/>
          </w:rPr>
          <w:t>c</w:t>
        </w:r>
        <w:r w:rsidR="009856E7" w:rsidRPr="00EE3401">
          <w:rPr>
            <w:rStyle w:val="Hyperlink"/>
          </w:rPr>
          <w:t>ts/ada18.html</w:t>
        </w:r>
      </w:hyperlink>
      <w:r w:rsidRPr="00AE2FD1">
        <w:t>.</w:t>
      </w:r>
      <w:r w:rsidR="009856E7">
        <w:t xml:space="preserve"> </w:t>
      </w:r>
    </w:p>
  </w:footnote>
  <w:footnote w:id="3">
    <w:p w14:paraId="15C2C33C" w14:textId="52C635AB" w:rsidR="00F3110C" w:rsidRDefault="00F3110C" w:rsidP="00F3110C">
      <w:pPr>
        <w:pStyle w:val="FootnoteText"/>
      </w:pPr>
      <w:r>
        <w:rPr>
          <w:rStyle w:val="FootnoteReference"/>
        </w:rPr>
        <w:footnoteRef/>
      </w:r>
      <w:r>
        <w:t xml:space="preserve"> </w:t>
      </w:r>
      <w:r w:rsidRPr="005E6928">
        <w:t>42 U.S.C. §§ 12111-12117.</w:t>
      </w:r>
    </w:p>
  </w:footnote>
  <w:footnote w:id="4">
    <w:p w14:paraId="6BC89AED" w14:textId="6EEE6501" w:rsidR="00F3110C" w:rsidRDefault="00F3110C" w:rsidP="00F3110C">
      <w:pPr>
        <w:pStyle w:val="FootnoteText"/>
      </w:pPr>
      <w:r>
        <w:rPr>
          <w:rStyle w:val="FootnoteReference"/>
        </w:rPr>
        <w:footnoteRef/>
      </w:r>
      <w:r>
        <w:t xml:space="preserve"> </w:t>
      </w:r>
      <w:r w:rsidRPr="000D6E16">
        <w:t>42 U.S.C. § 12112; 29 C.F.R. § 1630.4.</w:t>
      </w:r>
    </w:p>
  </w:footnote>
  <w:footnote w:id="5">
    <w:p w14:paraId="09EC76E7" w14:textId="113B88C8" w:rsidR="00F3110C" w:rsidRDefault="00F3110C" w:rsidP="00F3110C">
      <w:pPr>
        <w:pStyle w:val="FootnoteText"/>
      </w:pPr>
      <w:r>
        <w:rPr>
          <w:rStyle w:val="FootnoteReference"/>
        </w:rPr>
        <w:footnoteRef/>
      </w:r>
      <w:r>
        <w:t xml:space="preserve"> </w:t>
      </w:r>
      <w:r w:rsidRPr="000D6E16">
        <w:t>42 U.S.C. §§ 12131-12165.</w:t>
      </w:r>
    </w:p>
  </w:footnote>
  <w:footnote w:id="6">
    <w:p w14:paraId="4F9A38AF" w14:textId="51C051F8" w:rsidR="00F3110C" w:rsidRDefault="00F3110C" w:rsidP="00F3110C">
      <w:pPr>
        <w:pStyle w:val="FootnoteText"/>
      </w:pPr>
      <w:r>
        <w:rPr>
          <w:rStyle w:val="FootnoteReference"/>
        </w:rPr>
        <w:footnoteRef/>
      </w:r>
      <w:r>
        <w:t xml:space="preserve"> </w:t>
      </w:r>
      <w:r w:rsidRPr="000D6E16">
        <w:t xml:space="preserve">42 U.S.C. § 12132. U.S. Department of Justice. </w:t>
      </w:r>
      <w:r w:rsidR="00007EB2">
        <w:t xml:space="preserve">Civil Rights Division. Information and Assistance on the ADA. State and Local Governments (Title II). Retrieved from </w:t>
      </w:r>
      <w:hyperlink r:id="rId2" w:history="1">
        <w:r w:rsidR="00007EB2">
          <w:rPr>
            <w:rStyle w:val="Hyperlink"/>
          </w:rPr>
          <w:t>https://www.ada.gov/ada_title_II.htm</w:t>
        </w:r>
      </w:hyperlink>
      <w:r w:rsidR="00007EB2">
        <w:t>.</w:t>
      </w:r>
    </w:p>
  </w:footnote>
  <w:footnote w:id="7">
    <w:p w14:paraId="255067DA" w14:textId="2A5D71E7" w:rsidR="00A55C1E" w:rsidRDefault="00A55C1E" w:rsidP="00A55C1E">
      <w:pPr>
        <w:pStyle w:val="FootnoteText"/>
      </w:pPr>
      <w:r>
        <w:rPr>
          <w:rStyle w:val="FootnoteReference"/>
        </w:rPr>
        <w:footnoteRef/>
      </w:r>
      <w:r>
        <w:t xml:space="preserve"> </w:t>
      </w:r>
      <w:r w:rsidRPr="00314269">
        <w:t>U.S. Equal Employment Opportunity Commission. The Rehabilitation Act of 1973</w:t>
      </w:r>
      <w:r w:rsidR="00007EB2">
        <w:t xml:space="preserve">. Retrieved from </w:t>
      </w:r>
      <w:hyperlink r:id="rId3" w:history="1">
        <w:r w:rsidR="00007EB2" w:rsidRPr="00EE3401">
          <w:rPr>
            <w:rStyle w:val="Hyperlink"/>
          </w:rPr>
          <w:t>http://www.eeoc.gov/laws/statutes/re</w:t>
        </w:r>
        <w:r w:rsidR="00007EB2" w:rsidRPr="00EE3401">
          <w:rPr>
            <w:rStyle w:val="Hyperlink"/>
          </w:rPr>
          <w:t>h</w:t>
        </w:r>
        <w:r w:rsidR="00007EB2" w:rsidRPr="00EE3401">
          <w:rPr>
            <w:rStyle w:val="Hyperlink"/>
          </w:rPr>
          <w:t>ab.cfm</w:t>
        </w:r>
      </w:hyperlink>
      <w:r w:rsidRPr="00314269">
        <w:t>.</w:t>
      </w:r>
      <w:r w:rsidR="00007EB2">
        <w:t xml:space="preserve"> </w:t>
      </w:r>
    </w:p>
  </w:footnote>
  <w:footnote w:id="8">
    <w:p w14:paraId="6A7D7753" w14:textId="7AED8E39" w:rsidR="00F3110C" w:rsidRDefault="00F3110C" w:rsidP="00F3110C">
      <w:pPr>
        <w:pStyle w:val="FootnoteText"/>
      </w:pPr>
      <w:r>
        <w:rPr>
          <w:rStyle w:val="FootnoteReference"/>
        </w:rPr>
        <w:footnoteRef/>
      </w:r>
      <w:r>
        <w:t xml:space="preserve"> </w:t>
      </w:r>
      <w:r w:rsidRPr="00314269">
        <w:t>42 U.S.C. § 12112(b)(4).</w:t>
      </w:r>
    </w:p>
  </w:footnote>
  <w:footnote w:id="9">
    <w:p w14:paraId="2436E503" w14:textId="09929958" w:rsidR="007E2375" w:rsidRDefault="007E2375">
      <w:pPr>
        <w:pStyle w:val="FootnoteText"/>
      </w:pPr>
      <w:r>
        <w:rPr>
          <w:rStyle w:val="FootnoteReference"/>
        </w:rPr>
        <w:footnoteRef/>
      </w:r>
      <w:r>
        <w:t xml:space="preserve"> </w:t>
      </w:r>
      <w:r w:rsidRPr="007E2375">
        <w:t>42 U.S.C. § 12111(2), (5).</w:t>
      </w:r>
    </w:p>
  </w:footnote>
  <w:footnote w:id="10">
    <w:p w14:paraId="0095FCFC" w14:textId="2C151A8C" w:rsidR="00B4033D" w:rsidRDefault="00B4033D">
      <w:pPr>
        <w:pStyle w:val="FootnoteText"/>
      </w:pPr>
      <w:r>
        <w:rPr>
          <w:rStyle w:val="FootnoteReference"/>
        </w:rPr>
        <w:footnoteRef/>
      </w:r>
      <w:r>
        <w:t xml:space="preserve"> </w:t>
      </w:r>
      <w:r w:rsidRPr="00B4033D">
        <w:t>42 U.S.C. § 12209.</w:t>
      </w:r>
    </w:p>
  </w:footnote>
  <w:footnote w:id="11">
    <w:p w14:paraId="60C42305" w14:textId="63B19389" w:rsidR="0043417D" w:rsidRDefault="0043417D">
      <w:pPr>
        <w:pStyle w:val="FootnoteText"/>
      </w:pPr>
      <w:r>
        <w:rPr>
          <w:rStyle w:val="FootnoteReference"/>
        </w:rPr>
        <w:footnoteRef/>
      </w:r>
      <w:r>
        <w:t xml:space="preserve"> </w:t>
      </w:r>
      <w:r w:rsidR="00F220D6" w:rsidRPr="00314269">
        <w:t>U.S. Equal Employment Opportunity Commission. The Rehabilitation Act of 1973</w:t>
      </w:r>
      <w:r w:rsidR="00F220D6">
        <w:t xml:space="preserve">. Retrieved from </w:t>
      </w:r>
      <w:hyperlink r:id="rId4" w:history="1">
        <w:r w:rsidR="00F220D6" w:rsidRPr="00EE3401">
          <w:rPr>
            <w:rStyle w:val="Hyperlink"/>
          </w:rPr>
          <w:t>http://www.eeoc.gov/laws/statutes/rehab.cfm</w:t>
        </w:r>
      </w:hyperlink>
      <w:r w:rsidR="00F220D6" w:rsidRPr="00314269">
        <w:t>.</w:t>
      </w:r>
    </w:p>
  </w:footnote>
  <w:footnote w:id="12">
    <w:p w14:paraId="5CBCDDC2" w14:textId="62F84D57" w:rsidR="00243CE5" w:rsidRDefault="00243CE5">
      <w:pPr>
        <w:pStyle w:val="FootnoteText"/>
      </w:pPr>
      <w:r>
        <w:rPr>
          <w:rStyle w:val="FootnoteReference"/>
        </w:rPr>
        <w:footnoteRef/>
      </w:r>
      <w:r>
        <w:t xml:space="preserve"> </w:t>
      </w:r>
      <w:r w:rsidRPr="00243CE5">
        <w:t>42 U.S.C. § 12111(8).</w:t>
      </w:r>
    </w:p>
  </w:footnote>
  <w:footnote w:id="13">
    <w:p w14:paraId="4F13598C" w14:textId="54078BF6" w:rsidR="00A55C1E" w:rsidRDefault="00A55C1E" w:rsidP="00A55C1E">
      <w:pPr>
        <w:pStyle w:val="FootnoteText"/>
      </w:pPr>
      <w:r>
        <w:rPr>
          <w:rStyle w:val="FootnoteReference"/>
        </w:rPr>
        <w:footnoteRef/>
      </w:r>
      <w:r>
        <w:t xml:space="preserve"> </w:t>
      </w:r>
      <w:r w:rsidRPr="00F672B9">
        <w:t>42 U.S.C. § 12102; 29 C.F.R. § 1630.2(g).</w:t>
      </w:r>
    </w:p>
  </w:footnote>
  <w:footnote w:id="14">
    <w:p w14:paraId="345F2FB2" w14:textId="3D377608" w:rsidR="00A55C1E" w:rsidRDefault="00A55C1E" w:rsidP="00A55C1E">
      <w:pPr>
        <w:pStyle w:val="FootnoteText"/>
      </w:pPr>
      <w:r>
        <w:rPr>
          <w:rStyle w:val="FootnoteReference"/>
        </w:rPr>
        <w:footnoteRef/>
      </w:r>
      <w:r>
        <w:t xml:space="preserve"> </w:t>
      </w:r>
      <w:r w:rsidRPr="00F672B9">
        <w:t>29 C.F.R. § 1630.15(f).</w:t>
      </w:r>
    </w:p>
  </w:footnote>
  <w:footnote w:id="15">
    <w:p w14:paraId="42B57F5A" w14:textId="651EB0F7" w:rsidR="00A55C1E" w:rsidRDefault="00A55C1E" w:rsidP="00A55C1E">
      <w:pPr>
        <w:pStyle w:val="FootnoteText"/>
      </w:pPr>
      <w:r>
        <w:rPr>
          <w:rStyle w:val="FootnoteReference"/>
        </w:rPr>
        <w:footnoteRef/>
      </w:r>
      <w:r>
        <w:t xml:space="preserve"> </w:t>
      </w:r>
      <w:r w:rsidRPr="00F672B9">
        <w:t>42 U.S.C. § 12102(4).</w:t>
      </w:r>
    </w:p>
  </w:footnote>
  <w:footnote w:id="16">
    <w:p w14:paraId="098FB88A" w14:textId="77777777" w:rsidR="00A55C1E" w:rsidRDefault="00A55C1E" w:rsidP="00A55C1E">
      <w:pPr>
        <w:pStyle w:val="FootnoteText"/>
      </w:pPr>
      <w:r>
        <w:rPr>
          <w:rStyle w:val="FootnoteReference"/>
        </w:rPr>
        <w:footnoteRef/>
      </w:r>
      <w:r>
        <w:t xml:space="preserve"> </w:t>
      </w:r>
      <w:r w:rsidRPr="000778FE">
        <w:t>29 C.F.R. § 1630.13; 29 C.F.R. § 1630.14.</w:t>
      </w:r>
    </w:p>
  </w:footnote>
  <w:footnote w:id="17">
    <w:p w14:paraId="69A73F13" w14:textId="56ADA150" w:rsidR="00A55C1E" w:rsidRDefault="00A55C1E" w:rsidP="00A55C1E">
      <w:pPr>
        <w:pStyle w:val="FootnoteText"/>
      </w:pPr>
      <w:r>
        <w:rPr>
          <w:rStyle w:val="FootnoteReference"/>
        </w:rPr>
        <w:footnoteRef/>
      </w:r>
      <w:r>
        <w:t xml:space="preserve"> </w:t>
      </w:r>
      <w:r w:rsidRPr="000778FE">
        <w:t>42 U.S.C. § 12112(d)(2); 29 C.F.R. § 1630.14(a).</w:t>
      </w:r>
    </w:p>
  </w:footnote>
  <w:footnote w:id="18">
    <w:p w14:paraId="502BBDE7" w14:textId="55CE4D2E" w:rsidR="00A55C1E" w:rsidRDefault="00A55C1E" w:rsidP="00A55C1E">
      <w:pPr>
        <w:pStyle w:val="FootnoteText"/>
      </w:pPr>
      <w:r>
        <w:rPr>
          <w:rStyle w:val="FootnoteReference"/>
        </w:rPr>
        <w:footnoteRef/>
      </w:r>
      <w:r>
        <w:t xml:space="preserve"> </w:t>
      </w:r>
      <w:r w:rsidRPr="00926DED">
        <w:t>42 U.S.C. § 12112(d)(3); 29 C.F.R. § 1630.14(b).</w:t>
      </w:r>
    </w:p>
  </w:footnote>
  <w:footnote w:id="19">
    <w:p w14:paraId="39212661" w14:textId="2042D303" w:rsidR="00A55C1E" w:rsidRDefault="00A55C1E" w:rsidP="00A55C1E">
      <w:pPr>
        <w:pStyle w:val="FootnoteText"/>
      </w:pPr>
      <w:r>
        <w:rPr>
          <w:rStyle w:val="FootnoteReference"/>
        </w:rPr>
        <w:footnoteRef/>
      </w:r>
      <w:r w:rsidR="00F220D6">
        <w:t xml:space="preserve"> </w:t>
      </w:r>
      <w:r w:rsidRPr="00926DED">
        <w:t>42 U.S.C. § 12112(d)(3); 29 C.F.R. § 1630.14(b).</w:t>
      </w:r>
    </w:p>
  </w:footnote>
  <w:footnote w:id="20">
    <w:p w14:paraId="47CA1A73" w14:textId="51546E97" w:rsidR="00A55C1E" w:rsidRDefault="00A55C1E" w:rsidP="00A55C1E">
      <w:pPr>
        <w:pStyle w:val="FootnoteText"/>
      </w:pPr>
      <w:r>
        <w:rPr>
          <w:rStyle w:val="FootnoteReference"/>
        </w:rPr>
        <w:footnoteRef/>
      </w:r>
      <w:r>
        <w:t xml:space="preserve"> </w:t>
      </w:r>
      <w:r w:rsidRPr="00926D30">
        <w:t>42 U.S.C. § 12112(d)(4); 29 C.F.R. § 1630.14(c).</w:t>
      </w:r>
    </w:p>
  </w:footnote>
  <w:footnote w:id="21">
    <w:p w14:paraId="1F2656A6" w14:textId="417BF567" w:rsidR="00A55C1E" w:rsidRDefault="00A55C1E" w:rsidP="00A55C1E">
      <w:pPr>
        <w:pStyle w:val="FootnoteText"/>
      </w:pPr>
      <w:r>
        <w:rPr>
          <w:rStyle w:val="FootnoteReference"/>
        </w:rPr>
        <w:footnoteRef/>
      </w:r>
      <w:r>
        <w:t xml:space="preserve"> </w:t>
      </w:r>
      <w:r w:rsidRPr="00501273">
        <w:t xml:space="preserve">29 C.F.R. Part 1630, Appendix to Part 1630, </w:t>
      </w:r>
      <w:r w:rsidR="00A92C9F">
        <w:t>(I</w:t>
      </w:r>
      <w:r w:rsidRPr="00501273">
        <w:t>nterpretive Guidance on Title I of the Americans With Disabilities Act," p 42; U.S. Equal Opportunity Commission</w:t>
      </w:r>
      <w:r w:rsidR="00A92C9F">
        <w:t>).</w:t>
      </w:r>
    </w:p>
  </w:footnote>
  <w:footnote w:id="22">
    <w:p w14:paraId="1CD6F06E" w14:textId="1DCDC540" w:rsidR="00A55C1E" w:rsidRDefault="00A55C1E" w:rsidP="00A55C1E">
      <w:pPr>
        <w:pStyle w:val="FootnoteText"/>
      </w:pPr>
      <w:r>
        <w:rPr>
          <w:rStyle w:val="FootnoteReference"/>
        </w:rPr>
        <w:footnoteRef/>
      </w:r>
      <w:r>
        <w:t xml:space="preserve"> </w:t>
      </w:r>
      <w:r w:rsidR="00EF0D58" w:rsidRPr="00EF0D58">
        <w:t>ADA National Network</w:t>
      </w:r>
      <w:r w:rsidR="00EF0D58">
        <w:t xml:space="preserve">. </w:t>
      </w:r>
      <w:r w:rsidRPr="00501273">
        <w:t xml:space="preserve">Americans with Disabilities Act Questions and Answers. </w:t>
      </w:r>
      <w:r w:rsidR="00EF0D58">
        <w:t xml:space="preserve">Retrieved from </w:t>
      </w:r>
      <w:hyperlink r:id="rId5" w:history="1">
        <w:r w:rsidR="00EF0D58">
          <w:rPr>
            <w:rStyle w:val="Hyperlink"/>
          </w:rPr>
          <w:t>https://adata.org/guide/americans-disabilities-act-questions-and-answers</w:t>
        </w:r>
      </w:hyperlink>
      <w:r w:rsidR="005F4940">
        <w:t xml:space="preserve">. </w:t>
      </w:r>
    </w:p>
  </w:footnote>
  <w:footnote w:id="23">
    <w:p w14:paraId="746028D2" w14:textId="0E898400" w:rsidR="00C77A27" w:rsidRDefault="00C77A27">
      <w:pPr>
        <w:pStyle w:val="FootnoteText"/>
      </w:pPr>
      <w:r>
        <w:rPr>
          <w:rStyle w:val="FootnoteReference"/>
        </w:rPr>
        <w:footnoteRef/>
      </w:r>
      <w:r>
        <w:t xml:space="preserve"> </w:t>
      </w:r>
      <w:r w:rsidRPr="00B73F1C">
        <w:t>29 C.F.R. Part 1630, Appendix to Part 1630-Interpretive Guidance on Title I of the Americans With Disabilities Act, p 42; U.S. Equal Opportunity Commission</w:t>
      </w:r>
      <w:r w:rsidR="005F4940">
        <w:t xml:space="preserve">. </w:t>
      </w:r>
      <w:r w:rsidR="005F4940" w:rsidRPr="005F4940">
        <w:rPr>
          <w:i/>
          <w:iCs/>
        </w:rPr>
        <w:t>See also</w:t>
      </w:r>
      <w:r w:rsidRPr="00B73F1C">
        <w:t xml:space="preserve"> </w:t>
      </w:r>
      <w:r w:rsidR="005F4940" w:rsidRPr="00EF0D58">
        <w:t>ADA National Network</w:t>
      </w:r>
      <w:r w:rsidR="005F4940">
        <w:t xml:space="preserve">. </w:t>
      </w:r>
      <w:r w:rsidR="005F4940" w:rsidRPr="00501273">
        <w:t xml:space="preserve">Americans with Disabilities Act Questions and Answers. </w:t>
      </w:r>
      <w:r w:rsidR="005F4940">
        <w:t xml:space="preserve">Retrieved from </w:t>
      </w:r>
      <w:hyperlink r:id="rId6" w:history="1">
        <w:r w:rsidR="005F4940">
          <w:rPr>
            <w:rStyle w:val="Hyperlink"/>
          </w:rPr>
          <w:t>https://adata.org/guide/americans-disabilities-act-questions-and-answers</w:t>
        </w:r>
      </w:hyperlink>
      <w:r w:rsidR="005F4940">
        <w:t>.</w:t>
      </w:r>
    </w:p>
  </w:footnote>
  <w:footnote w:id="24">
    <w:p w14:paraId="352C8937" w14:textId="59821BCD" w:rsidR="00B7568C" w:rsidRDefault="00B7568C" w:rsidP="00B7568C">
      <w:pPr>
        <w:pStyle w:val="FootnoteText"/>
      </w:pPr>
      <w:r>
        <w:rPr>
          <w:rStyle w:val="FootnoteReference"/>
        </w:rPr>
        <w:footnoteRef/>
      </w:r>
      <w:r>
        <w:t xml:space="preserve"> </w:t>
      </w:r>
      <w:r w:rsidRPr="00501273">
        <w:t>29 C.F.R. § 1630.2(r).</w:t>
      </w:r>
    </w:p>
  </w:footnote>
  <w:footnote w:id="25">
    <w:p w14:paraId="3598C3B1" w14:textId="2A8A2281" w:rsidR="00B7568C" w:rsidRDefault="00B7568C" w:rsidP="00B7568C">
      <w:pPr>
        <w:pStyle w:val="FootnoteText"/>
      </w:pPr>
      <w:r>
        <w:rPr>
          <w:rStyle w:val="FootnoteReference"/>
        </w:rPr>
        <w:footnoteRef/>
      </w:r>
      <w:r>
        <w:t xml:space="preserve"> </w:t>
      </w:r>
      <w:r w:rsidRPr="007537B9">
        <w:t>U.S. Equal Employment Opportunity Commission. Fact Sheet on Obtaining and Using Employee Medical Information as Part of Emergency Evacuation Procedures.</w:t>
      </w:r>
      <w:r w:rsidR="005F4940">
        <w:t xml:space="preserve"> Retrieved from </w:t>
      </w:r>
      <w:hyperlink r:id="rId7" w:history="1">
        <w:r w:rsidR="005F4940" w:rsidRPr="00EE3401">
          <w:rPr>
            <w:rStyle w:val="Hyperlink"/>
          </w:rPr>
          <w:t>http://eeoc.gov/facts/evacuatio</w:t>
        </w:r>
        <w:r w:rsidR="005F4940" w:rsidRPr="00EE3401">
          <w:rPr>
            <w:rStyle w:val="Hyperlink"/>
          </w:rPr>
          <w:t>n</w:t>
        </w:r>
        <w:r w:rsidR="005F4940" w:rsidRPr="00EE3401">
          <w:rPr>
            <w:rStyle w:val="Hyperlink"/>
          </w:rPr>
          <w:t>.html#N_2</w:t>
        </w:r>
      </w:hyperlink>
      <w:r w:rsidRPr="007537B9">
        <w:t>.</w:t>
      </w:r>
    </w:p>
  </w:footnote>
  <w:footnote w:id="26">
    <w:p w14:paraId="7B9B4401" w14:textId="0CB18677" w:rsidR="009856E7" w:rsidRDefault="009856E7">
      <w:pPr>
        <w:pStyle w:val="FootnoteText"/>
      </w:pPr>
      <w:r>
        <w:rPr>
          <w:rStyle w:val="FootnoteReference"/>
        </w:rPr>
        <w:footnoteRef/>
      </w:r>
      <w:r>
        <w:t xml:space="preserve"> </w:t>
      </w:r>
      <w:r w:rsidRPr="009856E7">
        <w:t xml:space="preserve">U.S. Equal Employment Commission. The ADA: Your Employment Rights as an Individual with a Disability. Retrieved from </w:t>
      </w:r>
      <w:hyperlink r:id="rId8" w:history="1">
        <w:r w:rsidRPr="00EE3401">
          <w:rPr>
            <w:rStyle w:val="Hyperlink"/>
          </w:rPr>
          <w:t>http://www.eeoc.gov/facts/ada18.html</w:t>
        </w:r>
      </w:hyperlink>
      <w:r w:rsidRPr="009856E7">
        <w:t>.</w:t>
      </w:r>
      <w:r>
        <w:t xml:space="preserve"> </w:t>
      </w:r>
    </w:p>
  </w:footnote>
  <w:footnote w:id="27">
    <w:p w14:paraId="52A2C79D" w14:textId="58AD5494" w:rsidR="0010352B" w:rsidRDefault="0010352B">
      <w:pPr>
        <w:pStyle w:val="FootnoteText"/>
      </w:pPr>
      <w:r>
        <w:rPr>
          <w:rStyle w:val="FootnoteReference"/>
        </w:rPr>
        <w:footnoteRef/>
      </w:r>
      <w:r>
        <w:t xml:space="preserve"> </w:t>
      </w:r>
      <w:r w:rsidRPr="009856E7">
        <w:t xml:space="preserve">U.S. Equal Employment Commission. The ADA: Your Employment Rights as an Individual with a Disability. Retrieved from </w:t>
      </w:r>
      <w:hyperlink r:id="rId9" w:history="1">
        <w:r w:rsidRPr="00EE3401">
          <w:rPr>
            <w:rStyle w:val="Hyperlink"/>
          </w:rPr>
          <w:t>http://www.eeoc.gov/facts/ada18.html</w:t>
        </w:r>
      </w:hyperlink>
      <w:r w:rsidRPr="009856E7">
        <w:t>.</w:t>
      </w:r>
    </w:p>
  </w:footnote>
  <w:footnote w:id="28">
    <w:p w14:paraId="2BCA696F" w14:textId="18C42DC7" w:rsidR="00A1313A" w:rsidRDefault="00A1313A">
      <w:pPr>
        <w:pStyle w:val="FootnoteText"/>
      </w:pPr>
      <w:r>
        <w:rPr>
          <w:rStyle w:val="FootnoteReference"/>
        </w:rPr>
        <w:footnoteRef/>
      </w:r>
      <w:r w:rsidR="00BD63F5">
        <w:t xml:space="preserve"> </w:t>
      </w:r>
      <w:r w:rsidRPr="00A1313A">
        <w:t>42 U.S.C. §§ 12112, 12113.</w:t>
      </w:r>
    </w:p>
  </w:footnote>
  <w:footnote w:id="29">
    <w:p w14:paraId="67D07A63" w14:textId="37EAEB9B" w:rsidR="00507E7A" w:rsidRDefault="00507E7A">
      <w:pPr>
        <w:pStyle w:val="FootnoteText"/>
      </w:pPr>
      <w:r>
        <w:rPr>
          <w:rStyle w:val="FootnoteReference"/>
        </w:rPr>
        <w:footnoteRef/>
      </w:r>
      <w:r>
        <w:t xml:space="preserve"> </w:t>
      </w:r>
      <w:r w:rsidRPr="00507E7A">
        <w:t>42 U.S.C. §§ 12112(d).</w:t>
      </w:r>
    </w:p>
  </w:footnote>
  <w:footnote w:id="30">
    <w:p w14:paraId="3CF471C3" w14:textId="1429CD69" w:rsidR="00347A3A" w:rsidRDefault="00347A3A">
      <w:pPr>
        <w:pStyle w:val="FootnoteText"/>
      </w:pPr>
      <w:r>
        <w:rPr>
          <w:rStyle w:val="FootnoteReference"/>
        </w:rPr>
        <w:footnoteRef/>
      </w:r>
      <w:r>
        <w:t xml:space="preserve"> </w:t>
      </w:r>
      <w:r w:rsidRPr="00347A3A">
        <w:t>42 U.S.C. § 12112; 29 C.F.R. § 1630.14(c), (d).</w:t>
      </w:r>
    </w:p>
  </w:footnote>
  <w:footnote w:id="31">
    <w:p w14:paraId="237BA272" w14:textId="14B43847" w:rsidR="00617CBF" w:rsidRDefault="00617CBF">
      <w:pPr>
        <w:pStyle w:val="FootnoteText"/>
      </w:pPr>
      <w:r>
        <w:rPr>
          <w:rStyle w:val="FootnoteReference"/>
        </w:rPr>
        <w:footnoteRef/>
      </w:r>
      <w:r>
        <w:t xml:space="preserve"> </w:t>
      </w:r>
      <w:r w:rsidR="00E35C0D" w:rsidRPr="00E35C0D">
        <w:t>42 U.S.C. § 12112(d)(3); 29 C.F.R. § 1630.14(c), (d).</w:t>
      </w:r>
    </w:p>
  </w:footnote>
  <w:footnote w:id="32">
    <w:p w14:paraId="3052188A" w14:textId="21136EA4" w:rsidR="00B7568C" w:rsidRDefault="00B7568C" w:rsidP="00B7568C">
      <w:pPr>
        <w:pStyle w:val="FootnoteText"/>
      </w:pPr>
      <w:r>
        <w:rPr>
          <w:rStyle w:val="FootnoteReference"/>
        </w:rPr>
        <w:footnoteRef/>
      </w:r>
      <w:r>
        <w:t xml:space="preserve"> </w:t>
      </w:r>
      <w:r w:rsidRPr="00EF3B60">
        <w:t xml:space="preserve">U.S. Equal Employment Commission. The ADA: Your Employment Rights as an Individual </w:t>
      </w:r>
      <w:r w:rsidR="00BD63F5">
        <w:t>w</w:t>
      </w:r>
      <w:r w:rsidRPr="00EF3B60">
        <w:t>ith a Disability</w:t>
      </w:r>
      <w:r w:rsidR="00BD63F5">
        <w:t>.</w:t>
      </w:r>
      <w:r w:rsidRPr="00EF3B60">
        <w:t xml:space="preserve"> </w:t>
      </w:r>
      <w:r w:rsidR="00BD63F5">
        <w:t>Retrieved from</w:t>
      </w:r>
      <w:r w:rsidRPr="00EF3B60">
        <w:t xml:space="preserve"> </w:t>
      </w:r>
      <w:hyperlink r:id="rId10" w:history="1">
        <w:r w:rsidR="00BD63F5" w:rsidRPr="00EE3401">
          <w:rPr>
            <w:rStyle w:val="Hyperlink"/>
          </w:rPr>
          <w:t>http://www.eeoc.gov/facts/ada</w:t>
        </w:r>
        <w:r w:rsidR="00BD63F5" w:rsidRPr="00EE3401">
          <w:rPr>
            <w:rStyle w:val="Hyperlink"/>
          </w:rPr>
          <w:t>1</w:t>
        </w:r>
        <w:r w:rsidR="00BD63F5" w:rsidRPr="00EE3401">
          <w:rPr>
            <w:rStyle w:val="Hyperlink"/>
          </w:rPr>
          <w:t>8.html</w:t>
        </w:r>
      </w:hyperlink>
      <w:r w:rsidRPr="00EF3B60">
        <w:t>.</w:t>
      </w:r>
      <w:r w:rsidR="00BD63F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E9697" w14:textId="02B3D62A" w:rsidR="00F04EE7" w:rsidRPr="00F04EE7" w:rsidRDefault="00F04EE7" w:rsidP="00F04EE7">
    <w:pPr>
      <w:pStyle w:val="Header"/>
      <w:jc w:val="center"/>
      <w:rPr>
        <w:b/>
        <w:bCs/>
      </w:rPr>
    </w:pPr>
    <w:r w:rsidRPr="00F04EE7">
      <w:rPr>
        <w:b/>
        <w:bCs/>
        <w:highlight w:val="yellow"/>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BC8"/>
    <w:multiLevelType w:val="hybridMultilevel"/>
    <w:tmpl w:val="E7345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9723D8A"/>
    <w:multiLevelType w:val="hybridMultilevel"/>
    <w:tmpl w:val="1270B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527ACA"/>
    <w:multiLevelType w:val="hybridMultilevel"/>
    <w:tmpl w:val="B3DA4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23A0A04"/>
    <w:multiLevelType w:val="hybridMultilevel"/>
    <w:tmpl w:val="C62C3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0D7976"/>
    <w:multiLevelType w:val="multilevel"/>
    <w:tmpl w:val="D2CE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7D19D5"/>
    <w:multiLevelType w:val="hybridMultilevel"/>
    <w:tmpl w:val="60868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AF34EA"/>
    <w:multiLevelType w:val="multilevel"/>
    <w:tmpl w:val="6BFAB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6664E9"/>
    <w:multiLevelType w:val="multilevel"/>
    <w:tmpl w:val="F9442D0A"/>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7"/>
  </w:num>
  <w:num w:numId="4">
    <w:abstractNumId w:val="2"/>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7BC"/>
    <w:rsid w:val="00007EB2"/>
    <w:rsid w:val="0002545E"/>
    <w:rsid w:val="00040D7A"/>
    <w:rsid w:val="000D2E23"/>
    <w:rsid w:val="0010352B"/>
    <w:rsid w:val="001403FA"/>
    <w:rsid w:val="001440C1"/>
    <w:rsid w:val="00151278"/>
    <w:rsid w:val="00173197"/>
    <w:rsid w:val="00184DA2"/>
    <w:rsid w:val="0020369F"/>
    <w:rsid w:val="002225B8"/>
    <w:rsid w:val="00243CE5"/>
    <w:rsid w:val="00266959"/>
    <w:rsid w:val="00283E20"/>
    <w:rsid w:val="002A0C27"/>
    <w:rsid w:val="003142EC"/>
    <w:rsid w:val="0034167B"/>
    <w:rsid w:val="00347A3A"/>
    <w:rsid w:val="00394961"/>
    <w:rsid w:val="00414080"/>
    <w:rsid w:val="0043417D"/>
    <w:rsid w:val="00442D54"/>
    <w:rsid w:val="00450F2E"/>
    <w:rsid w:val="00476446"/>
    <w:rsid w:val="00507E7A"/>
    <w:rsid w:val="00510773"/>
    <w:rsid w:val="0051598F"/>
    <w:rsid w:val="005627BC"/>
    <w:rsid w:val="005B35C6"/>
    <w:rsid w:val="005F4940"/>
    <w:rsid w:val="00617CBF"/>
    <w:rsid w:val="00655620"/>
    <w:rsid w:val="006B0626"/>
    <w:rsid w:val="006E7B28"/>
    <w:rsid w:val="0072594F"/>
    <w:rsid w:val="007635B0"/>
    <w:rsid w:val="007E2375"/>
    <w:rsid w:val="007F4333"/>
    <w:rsid w:val="0084225C"/>
    <w:rsid w:val="008B1890"/>
    <w:rsid w:val="00952286"/>
    <w:rsid w:val="00955817"/>
    <w:rsid w:val="00957C91"/>
    <w:rsid w:val="009856E7"/>
    <w:rsid w:val="00A1313A"/>
    <w:rsid w:val="00A55C1E"/>
    <w:rsid w:val="00A6176F"/>
    <w:rsid w:val="00A6472D"/>
    <w:rsid w:val="00A92C9F"/>
    <w:rsid w:val="00A96822"/>
    <w:rsid w:val="00AA4235"/>
    <w:rsid w:val="00AB0F70"/>
    <w:rsid w:val="00AE1AA4"/>
    <w:rsid w:val="00AE2FD1"/>
    <w:rsid w:val="00B04854"/>
    <w:rsid w:val="00B11B62"/>
    <w:rsid w:val="00B4033D"/>
    <w:rsid w:val="00B73F1C"/>
    <w:rsid w:val="00B7568C"/>
    <w:rsid w:val="00B75B7F"/>
    <w:rsid w:val="00BB11BD"/>
    <w:rsid w:val="00BD63F5"/>
    <w:rsid w:val="00BF4D62"/>
    <w:rsid w:val="00C655CA"/>
    <w:rsid w:val="00C77A27"/>
    <w:rsid w:val="00C906E5"/>
    <w:rsid w:val="00CE7FB6"/>
    <w:rsid w:val="00D102A0"/>
    <w:rsid w:val="00D25B73"/>
    <w:rsid w:val="00D43824"/>
    <w:rsid w:val="00D725FE"/>
    <w:rsid w:val="00DF1D19"/>
    <w:rsid w:val="00E315CC"/>
    <w:rsid w:val="00E35C0D"/>
    <w:rsid w:val="00E47648"/>
    <w:rsid w:val="00EC26A8"/>
    <w:rsid w:val="00EE2E0E"/>
    <w:rsid w:val="00EF0D58"/>
    <w:rsid w:val="00EF0F86"/>
    <w:rsid w:val="00EF3B60"/>
    <w:rsid w:val="00F04EE7"/>
    <w:rsid w:val="00F13436"/>
    <w:rsid w:val="00F15E3F"/>
    <w:rsid w:val="00F220D6"/>
    <w:rsid w:val="00F25407"/>
    <w:rsid w:val="00F3110C"/>
    <w:rsid w:val="00F42370"/>
    <w:rsid w:val="00F70526"/>
    <w:rsid w:val="00FB2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21D39269"/>
  <w15:chartTrackingRefBased/>
  <w15:docId w15:val="{9B1D73CB-1902-4E94-917E-CDC6529AF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627B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627B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627B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7B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627B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627B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627BC"/>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627BC"/>
    <w:rPr>
      <w:i/>
      <w:iCs/>
    </w:rPr>
  </w:style>
  <w:style w:type="character" w:styleId="Hyperlink">
    <w:name w:val="Hyperlink"/>
    <w:basedOn w:val="DefaultParagraphFont"/>
    <w:uiPriority w:val="99"/>
    <w:unhideWhenUsed/>
    <w:rsid w:val="005627BC"/>
    <w:rPr>
      <w:color w:val="0000FF"/>
      <w:u w:val="single"/>
    </w:rPr>
  </w:style>
  <w:style w:type="paragraph" w:styleId="Header">
    <w:name w:val="header"/>
    <w:basedOn w:val="Normal"/>
    <w:link w:val="HeaderChar"/>
    <w:uiPriority w:val="99"/>
    <w:unhideWhenUsed/>
    <w:rsid w:val="00510773"/>
    <w:pPr>
      <w:tabs>
        <w:tab w:val="center" w:pos="4680"/>
        <w:tab w:val="right" w:pos="9360"/>
      </w:tabs>
    </w:pPr>
  </w:style>
  <w:style w:type="character" w:customStyle="1" w:styleId="HeaderChar">
    <w:name w:val="Header Char"/>
    <w:basedOn w:val="DefaultParagraphFont"/>
    <w:link w:val="Header"/>
    <w:uiPriority w:val="99"/>
    <w:rsid w:val="00510773"/>
  </w:style>
  <w:style w:type="paragraph" w:styleId="Footer">
    <w:name w:val="footer"/>
    <w:basedOn w:val="Normal"/>
    <w:link w:val="FooterChar"/>
    <w:uiPriority w:val="99"/>
    <w:unhideWhenUsed/>
    <w:rsid w:val="00510773"/>
    <w:pPr>
      <w:tabs>
        <w:tab w:val="center" w:pos="4680"/>
        <w:tab w:val="right" w:pos="9360"/>
      </w:tabs>
    </w:pPr>
  </w:style>
  <w:style w:type="character" w:customStyle="1" w:styleId="FooterChar">
    <w:name w:val="Footer Char"/>
    <w:basedOn w:val="DefaultParagraphFont"/>
    <w:link w:val="Footer"/>
    <w:uiPriority w:val="99"/>
    <w:rsid w:val="00510773"/>
  </w:style>
  <w:style w:type="paragraph" w:styleId="ListParagraph">
    <w:name w:val="List Paragraph"/>
    <w:basedOn w:val="Normal"/>
    <w:uiPriority w:val="34"/>
    <w:qFormat/>
    <w:rsid w:val="001440C1"/>
    <w:pPr>
      <w:ind w:left="720"/>
      <w:contextualSpacing/>
    </w:pPr>
  </w:style>
  <w:style w:type="paragraph" w:styleId="FootnoteText">
    <w:name w:val="footnote text"/>
    <w:basedOn w:val="Normal"/>
    <w:link w:val="FootnoteTextChar"/>
    <w:uiPriority w:val="99"/>
    <w:semiHidden/>
    <w:unhideWhenUsed/>
    <w:rsid w:val="00AE2FD1"/>
    <w:rPr>
      <w:sz w:val="20"/>
      <w:szCs w:val="20"/>
    </w:rPr>
  </w:style>
  <w:style w:type="character" w:customStyle="1" w:styleId="FootnoteTextChar">
    <w:name w:val="Footnote Text Char"/>
    <w:basedOn w:val="DefaultParagraphFont"/>
    <w:link w:val="FootnoteText"/>
    <w:uiPriority w:val="99"/>
    <w:semiHidden/>
    <w:rsid w:val="00AE2FD1"/>
    <w:rPr>
      <w:sz w:val="20"/>
      <w:szCs w:val="20"/>
    </w:rPr>
  </w:style>
  <w:style w:type="character" w:styleId="FootnoteReference">
    <w:name w:val="footnote reference"/>
    <w:basedOn w:val="DefaultParagraphFont"/>
    <w:uiPriority w:val="99"/>
    <w:semiHidden/>
    <w:unhideWhenUsed/>
    <w:rsid w:val="00AE2FD1"/>
    <w:rPr>
      <w:vertAlign w:val="superscript"/>
    </w:rPr>
  </w:style>
  <w:style w:type="paragraph" w:customStyle="1" w:styleId="15para">
    <w:name w:val="1.5 para"/>
    <w:basedOn w:val="Normal"/>
    <w:qFormat/>
    <w:rsid w:val="0034167B"/>
    <w:pPr>
      <w:spacing w:line="360" w:lineRule="auto"/>
    </w:pPr>
    <w:rPr>
      <w:rFonts w:ascii="Calibri" w:eastAsia="Times New Roman" w:hAnsi="Calibri" w:cs="Calibri"/>
      <w:szCs w:val="20"/>
    </w:rPr>
  </w:style>
  <w:style w:type="character" w:styleId="CommentReference">
    <w:name w:val="annotation reference"/>
    <w:basedOn w:val="DefaultParagraphFont"/>
    <w:uiPriority w:val="99"/>
    <w:semiHidden/>
    <w:unhideWhenUsed/>
    <w:rsid w:val="00D43824"/>
    <w:rPr>
      <w:sz w:val="16"/>
      <w:szCs w:val="16"/>
    </w:rPr>
  </w:style>
  <w:style w:type="paragraph" w:styleId="CommentText">
    <w:name w:val="annotation text"/>
    <w:basedOn w:val="Normal"/>
    <w:link w:val="CommentTextChar"/>
    <w:uiPriority w:val="99"/>
    <w:semiHidden/>
    <w:unhideWhenUsed/>
    <w:rsid w:val="00D43824"/>
    <w:rPr>
      <w:sz w:val="20"/>
      <w:szCs w:val="20"/>
    </w:rPr>
  </w:style>
  <w:style w:type="character" w:customStyle="1" w:styleId="CommentTextChar">
    <w:name w:val="Comment Text Char"/>
    <w:basedOn w:val="DefaultParagraphFont"/>
    <w:link w:val="CommentText"/>
    <w:uiPriority w:val="99"/>
    <w:semiHidden/>
    <w:rsid w:val="00D43824"/>
    <w:rPr>
      <w:sz w:val="20"/>
      <w:szCs w:val="20"/>
    </w:rPr>
  </w:style>
  <w:style w:type="paragraph" w:styleId="CommentSubject">
    <w:name w:val="annotation subject"/>
    <w:basedOn w:val="CommentText"/>
    <w:next w:val="CommentText"/>
    <w:link w:val="CommentSubjectChar"/>
    <w:uiPriority w:val="99"/>
    <w:semiHidden/>
    <w:unhideWhenUsed/>
    <w:rsid w:val="00D43824"/>
    <w:rPr>
      <w:b/>
      <w:bCs/>
    </w:rPr>
  </w:style>
  <w:style w:type="character" w:customStyle="1" w:styleId="CommentSubjectChar">
    <w:name w:val="Comment Subject Char"/>
    <w:basedOn w:val="CommentTextChar"/>
    <w:link w:val="CommentSubject"/>
    <w:uiPriority w:val="99"/>
    <w:semiHidden/>
    <w:rsid w:val="00D43824"/>
    <w:rPr>
      <w:b/>
      <w:bCs/>
      <w:sz w:val="20"/>
      <w:szCs w:val="20"/>
    </w:rPr>
  </w:style>
  <w:style w:type="paragraph" w:styleId="BalloonText">
    <w:name w:val="Balloon Text"/>
    <w:basedOn w:val="Normal"/>
    <w:link w:val="BalloonTextChar"/>
    <w:uiPriority w:val="99"/>
    <w:semiHidden/>
    <w:unhideWhenUsed/>
    <w:rsid w:val="00D438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824"/>
    <w:rPr>
      <w:rFonts w:ascii="Segoe UI" w:hAnsi="Segoe UI" w:cs="Segoe UI"/>
      <w:sz w:val="18"/>
      <w:szCs w:val="18"/>
    </w:rPr>
  </w:style>
  <w:style w:type="character" w:styleId="UnresolvedMention">
    <w:name w:val="Unresolved Mention"/>
    <w:basedOn w:val="DefaultParagraphFont"/>
    <w:uiPriority w:val="99"/>
    <w:semiHidden/>
    <w:unhideWhenUsed/>
    <w:rsid w:val="009856E7"/>
    <w:rPr>
      <w:color w:val="605E5C"/>
      <w:shd w:val="clear" w:color="auto" w:fill="E1DFDD"/>
    </w:rPr>
  </w:style>
  <w:style w:type="character" w:styleId="FollowedHyperlink">
    <w:name w:val="FollowedHyperlink"/>
    <w:basedOn w:val="DefaultParagraphFont"/>
    <w:uiPriority w:val="99"/>
    <w:semiHidden/>
    <w:unhideWhenUsed/>
    <w:rsid w:val="009856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847087">
      <w:bodyDiv w:val="1"/>
      <w:marLeft w:val="0"/>
      <w:marRight w:val="0"/>
      <w:marTop w:val="0"/>
      <w:marBottom w:val="0"/>
      <w:divBdr>
        <w:top w:val="none" w:sz="0" w:space="0" w:color="auto"/>
        <w:left w:val="none" w:sz="0" w:space="0" w:color="auto"/>
        <w:bottom w:val="none" w:sz="0" w:space="0" w:color="auto"/>
        <w:right w:val="none" w:sz="0" w:space="0" w:color="auto"/>
      </w:divBdr>
    </w:div>
    <w:div w:id="161955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eeoc.gov/facts/ada18.html" TargetMode="External"/><Relationship Id="rId3" Type="http://schemas.openxmlformats.org/officeDocument/2006/relationships/hyperlink" Target="http://www.eeoc.gov/laws/statutes/rehab.cfm" TargetMode="External"/><Relationship Id="rId7" Type="http://schemas.openxmlformats.org/officeDocument/2006/relationships/hyperlink" Target="http://eeoc.gov/facts/evacuation.html#N_2" TargetMode="External"/><Relationship Id="rId2" Type="http://schemas.openxmlformats.org/officeDocument/2006/relationships/hyperlink" Target="https://www.ada.gov/ada_title_II.htm" TargetMode="External"/><Relationship Id="rId1" Type="http://schemas.openxmlformats.org/officeDocument/2006/relationships/hyperlink" Target="http://www.eeoc.gov/facts/ada18.html" TargetMode="External"/><Relationship Id="rId6" Type="http://schemas.openxmlformats.org/officeDocument/2006/relationships/hyperlink" Target="https://adata.org/guide/americans-disabilities-act-questions-and-answers" TargetMode="External"/><Relationship Id="rId5" Type="http://schemas.openxmlformats.org/officeDocument/2006/relationships/hyperlink" Target="https://adata.org/guide/americans-disabilities-act-questions-and-answers" TargetMode="External"/><Relationship Id="rId10" Type="http://schemas.openxmlformats.org/officeDocument/2006/relationships/hyperlink" Target="http://www.eeoc.gov/facts/ada18.html" TargetMode="External"/><Relationship Id="rId4" Type="http://schemas.openxmlformats.org/officeDocument/2006/relationships/hyperlink" Target="http://www.eeoc.gov/laws/statutes/rehab.cfm" TargetMode="External"/><Relationship Id="rId9" Type="http://schemas.openxmlformats.org/officeDocument/2006/relationships/hyperlink" Target="http://www.eeoc.gov/facts/ada1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22850-9F3F-46D9-BE1D-7B083B7F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6</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74</cp:revision>
  <dcterms:created xsi:type="dcterms:W3CDTF">2020-03-07T22:42:00Z</dcterms:created>
  <dcterms:modified xsi:type="dcterms:W3CDTF">2020-03-10T17:05:00Z</dcterms:modified>
</cp:coreProperties>
</file>