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1FF72" w14:textId="1443F045" w:rsidR="00B97EAE" w:rsidRDefault="00B97EAE" w:rsidP="009F3A3F">
      <w:pPr>
        <w:spacing w:line="360" w:lineRule="auto"/>
        <w:jc w:val="center"/>
        <w:rPr>
          <w:rFonts w:eastAsia="Times New Roman" w:cstheme="minorHAnsi"/>
          <w:b/>
          <w:bCs/>
          <w:color w:val="333333"/>
          <w:spacing w:val="15"/>
          <w:kern w:val="36"/>
          <w:sz w:val="24"/>
          <w:szCs w:val="24"/>
        </w:rPr>
      </w:pPr>
      <w:r>
        <w:rPr>
          <w:rFonts w:eastAsia="Times New Roman" w:cstheme="minorHAnsi"/>
          <w:b/>
          <w:bCs/>
          <w:color w:val="333333"/>
          <w:spacing w:val="15"/>
          <w:kern w:val="36"/>
          <w:sz w:val="24"/>
          <w:szCs w:val="24"/>
        </w:rPr>
        <w:t>PUBLIC HEALTH &amp; INFORMATION SHARING</w:t>
      </w:r>
      <w:r w:rsidRPr="00FB2B3B">
        <w:rPr>
          <w:rFonts w:eastAsia="Times New Roman" w:cstheme="minorHAnsi"/>
          <w:b/>
          <w:bCs/>
          <w:color w:val="333333"/>
          <w:spacing w:val="15"/>
          <w:kern w:val="36"/>
          <w:sz w:val="24"/>
          <w:szCs w:val="24"/>
        </w:rPr>
        <w:t xml:space="preserve"> </w:t>
      </w:r>
      <w:r>
        <w:rPr>
          <w:rFonts w:eastAsia="Times New Roman" w:cstheme="minorHAnsi"/>
          <w:b/>
          <w:bCs/>
          <w:color w:val="333333"/>
          <w:spacing w:val="15"/>
          <w:kern w:val="36"/>
          <w:sz w:val="24"/>
          <w:szCs w:val="24"/>
        </w:rPr>
        <w:t>TOOLKIT</w:t>
      </w:r>
    </w:p>
    <w:p w14:paraId="2BB171D0" w14:textId="77777777" w:rsidR="00B97EAE" w:rsidRPr="00FB2B3B" w:rsidRDefault="00B97EAE" w:rsidP="009F3A3F">
      <w:pPr>
        <w:spacing w:line="360" w:lineRule="auto"/>
        <w:jc w:val="center"/>
        <w:rPr>
          <w:rFonts w:eastAsia="Times New Roman" w:cstheme="minorHAnsi"/>
          <w:b/>
          <w:bCs/>
          <w:color w:val="3C3030"/>
          <w:sz w:val="24"/>
          <w:szCs w:val="24"/>
        </w:rPr>
      </w:pPr>
      <w:r w:rsidRPr="00FB2B3B">
        <w:rPr>
          <w:rFonts w:eastAsia="Times New Roman" w:cstheme="minorHAnsi"/>
          <w:b/>
          <w:bCs/>
          <w:color w:val="3C3030"/>
          <w:sz w:val="24"/>
          <w:szCs w:val="24"/>
        </w:rPr>
        <w:t>EXECUTIVE SUMMARY</w:t>
      </w:r>
    </w:p>
    <w:p w14:paraId="5167F148" w14:textId="77777777" w:rsidR="00B97EAE" w:rsidRDefault="00B97EAE" w:rsidP="009F3A3F">
      <w:pPr>
        <w:spacing w:line="360" w:lineRule="auto"/>
        <w:jc w:val="center"/>
        <w:rPr>
          <w:b/>
          <w:bCs/>
          <w:sz w:val="24"/>
          <w:szCs w:val="24"/>
        </w:rPr>
      </w:pPr>
    </w:p>
    <w:p w14:paraId="1BA04441" w14:textId="743C6D7E" w:rsidR="00B97EAE" w:rsidRDefault="00B97EAE" w:rsidP="002B0E19">
      <w:pPr>
        <w:spacing w:after="120" w:line="360" w:lineRule="auto"/>
        <w:rPr>
          <w:rFonts w:ascii="Calibri" w:eastAsia="Times New Roman" w:hAnsi="Calibri" w:cs="Calibri"/>
          <w:szCs w:val="20"/>
        </w:rPr>
      </w:pPr>
      <w:r>
        <w:rPr>
          <w:rFonts w:ascii="Calibri" w:eastAsia="Times New Roman" w:hAnsi="Calibri" w:cs="Calibri"/>
          <w:szCs w:val="20"/>
        </w:rPr>
        <w:t>This document provides an overview of important concepts and laws related to the collection, use</w:t>
      </w:r>
      <w:r w:rsidR="00D75CF9">
        <w:rPr>
          <w:rFonts w:ascii="Calibri" w:eastAsia="Times New Roman" w:hAnsi="Calibri" w:cs="Calibri"/>
          <w:szCs w:val="20"/>
        </w:rPr>
        <w:t>,</w:t>
      </w:r>
      <w:r>
        <w:rPr>
          <w:rFonts w:ascii="Calibri" w:eastAsia="Times New Roman" w:hAnsi="Calibri" w:cs="Calibri"/>
          <w:szCs w:val="20"/>
        </w:rPr>
        <w:t xml:space="preserve"> and sharing of information by state, tribal, local, and territorial </w:t>
      </w:r>
      <w:r w:rsidR="0001684D">
        <w:rPr>
          <w:rFonts w:ascii="Calibri" w:eastAsia="Times New Roman" w:hAnsi="Calibri" w:cs="Calibri"/>
          <w:szCs w:val="20"/>
        </w:rPr>
        <w:t xml:space="preserve">(STLT) </w:t>
      </w:r>
      <w:r>
        <w:rPr>
          <w:rFonts w:ascii="Calibri" w:eastAsia="Times New Roman" w:hAnsi="Calibri" w:cs="Calibri"/>
          <w:szCs w:val="20"/>
        </w:rPr>
        <w:t>health agencies during emergency preparedness and response activities. It covers:</w:t>
      </w:r>
    </w:p>
    <w:p w14:paraId="6E673712" w14:textId="751AEE88" w:rsidR="00B97EAE" w:rsidRDefault="00B814DC" w:rsidP="002B0E19">
      <w:pPr>
        <w:pStyle w:val="ListParagraph"/>
        <w:numPr>
          <w:ilvl w:val="0"/>
          <w:numId w:val="1"/>
        </w:numPr>
        <w:spacing w:after="120" w:line="360" w:lineRule="auto"/>
        <w:contextualSpacing w:val="0"/>
        <w:rPr>
          <w:rFonts w:ascii="Calibri" w:eastAsia="Times New Roman" w:hAnsi="Calibri" w:cs="Calibri"/>
          <w:szCs w:val="20"/>
        </w:rPr>
      </w:pPr>
      <w:r w:rsidRPr="002B0E19">
        <w:rPr>
          <w:rFonts w:ascii="Calibri" w:eastAsia="Times New Roman" w:hAnsi="Calibri" w:cs="Calibri"/>
          <w:szCs w:val="20"/>
        </w:rPr>
        <w:t xml:space="preserve">The collection, use, and sharing of information </w:t>
      </w:r>
      <w:r w:rsidR="005B3FAF" w:rsidRPr="002B0E19">
        <w:rPr>
          <w:rFonts w:ascii="Calibri" w:eastAsia="Times New Roman" w:hAnsi="Calibri" w:cs="Calibri"/>
          <w:szCs w:val="20"/>
        </w:rPr>
        <w:t xml:space="preserve">by </w:t>
      </w:r>
      <w:r w:rsidR="002B0E19" w:rsidRPr="002B0E19">
        <w:rPr>
          <w:rFonts w:ascii="Calibri" w:eastAsia="Times New Roman" w:hAnsi="Calibri" w:cs="Calibri"/>
          <w:szCs w:val="20"/>
        </w:rPr>
        <w:t>a health agency</w:t>
      </w:r>
      <w:r w:rsidR="00686B2E">
        <w:rPr>
          <w:rFonts w:ascii="Calibri" w:eastAsia="Times New Roman" w:hAnsi="Calibri" w:cs="Calibri"/>
          <w:szCs w:val="20"/>
        </w:rPr>
        <w:t xml:space="preserve"> to protect the public</w:t>
      </w:r>
      <w:r w:rsidR="00BB73B6">
        <w:rPr>
          <w:rFonts w:ascii="Calibri" w:eastAsia="Times New Roman" w:hAnsi="Calibri" w:cs="Calibri"/>
          <w:szCs w:val="20"/>
        </w:rPr>
        <w:t>’s health.</w:t>
      </w:r>
    </w:p>
    <w:p w14:paraId="253DDB0F" w14:textId="020D9407" w:rsidR="00BB73B6" w:rsidRPr="002B0E19" w:rsidRDefault="00BB73B6" w:rsidP="002B0E19">
      <w:pPr>
        <w:pStyle w:val="ListParagraph"/>
        <w:numPr>
          <w:ilvl w:val="0"/>
          <w:numId w:val="1"/>
        </w:numPr>
        <w:spacing w:after="120" w:line="360" w:lineRule="auto"/>
        <w:contextualSpacing w:val="0"/>
        <w:rPr>
          <w:rFonts w:ascii="Calibri" w:eastAsia="Times New Roman" w:hAnsi="Calibri" w:cs="Calibri"/>
          <w:szCs w:val="20"/>
        </w:rPr>
      </w:pPr>
      <w:r>
        <w:rPr>
          <w:rFonts w:ascii="Calibri" w:eastAsia="Times New Roman" w:hAnsi="Calibri" w:cs="Calibri"/>
          <w:szCs w:val="20"/>
        </w:rPr>
        <w:t>The sharing of information by a health agency with law enforcement.</w:t>
      </w:r>
    </w:p>
    <w:p w14:paraId="53A8B0A3" w14:textId="1822ECC5" w:rsidR="002B0E19" w:rsidRPr="002B0E19" w:rsidRDefault="002B0E19" w:rsidP="002B0E19">
      <w:pPr>
        <w:pStyle w:val="ListParagraph"/>
        <w:numPr>
          <w:ilvl w:val="0"/>
          <w:numId w:val="1"/>
        </w:numPr>
        <w:spacing w:after="120" w:line="360" w:lineRule="auto"/>
        <w:contextualSpacing w:val="0"/>
        <w:rPr>
          <w:rFonts w:ascii="Calibri" w:eastAsia="Times New Roman" w:hAnsi="Calibri" w:cs="Calibri"/>
          <w:szCs w:val="20"/>
        </w:rPr>
      </w:pPr>
      <w:r w:rsidRPr="002B0E19">
        <w:rPr>
          <w:rFonts w:ascii="Calibri" w:eastAsia="Times New Roman" w:hAnsi="Calibri" w:cs="Calibri"/>
          <w:szCs w:val="20"/>
        </w:rPr>
        <w:t xml:space="preserve">The collection, use, and sharing of information by a health agency in its role as an employer </w:t>
      </w:r>
    </w:p>
    <w:p w14:paraId="50B0DD74" w14:textId="56CD50FE" w:rsidR="00B97EAE" w:rsidRDefault="00B97EAE" w:rsidP="009F3A3F">
      <w:pPr>
        <w:spacing w:line="360" w:lineRule="auto"/>
        <w:rPr>
          <w:rFonts w:eastAsia="Times New Roman" w:cstheme="minorHAnsi"/>
          <w:szCs w:val="20"/>
        </w:rPr>
      </w:pPr>
      <w:r w:rsidRPr="00BC079F">
        <w:rPr>
          <w:rFonts w:eastAsia="Times New Roman" w:cstheme="minorHAnsi"/>
          <w:szCs w:val="20"/>
        </w:rPr>
        <w:t xml:space="preserve">More information about these and other related concepts are contained in </w:t>
      </w:r>
      <w:r>
        <w:rPr>
          <w:rFonts w:eastAsia="Times New Roman" w:cstheme="minorHAnsi"/>
          <w:szCs w:val="20"/>
        </w:rPr>
        <w:t xml:space="preserve">the Public Health &amp; Information Sharing </w:t>
      </w:r>
      <w:r w:rsidRPr="00BC079F">
        <w:rPr>
          <w:rFonts w:eastAsia="Times New Roman" w:cstheme="minorHAnsi"/>
          <w:szCs w:val="20"/>
        </w:rPr>
        <w:t>Toolkit.</w:t>
      </w:r>
    </w:p>
    <w:p w14:paraId="299ED8AA" w14:textId="6DE2A937" w:rsidR="00B75B7F" w:rsidRDefault="00B75B7F" w:rsidP="009F3A3F">
      <w:pPr>
        <w:spacing w:line="360" w:lineRule="auto"/>
      </w:pPr>
    </w:p>
    <w:p w14:paraId="2B829F5D" w14:textId="0EB7198C" w:rsidR="009F3A3F" w:rsidRPr="00A80E54" w:rsidRDefault="0013227C" w:rsidP="009F3A3F">
      <w:pPr>
        <w:spacing w:line="360" w:lineRule="auto"/>
        <w:rPr>
          <w:b/>
          <w:bCs/>
          <w:sz w:val="24"/>
          <w:szCs w:val="24"/>
        </w:rPr>
      </w:pPr>
      <w:r>
        <w:rPr>
          <w:b/>
          <w:bCs/>
          <w:sz w:val="24"/>
          <w:szCs w:val="24"/>
        </w:rPr>
        <w:t>Overview</w:t>
      </w:r>
    </w:p>
    <w:p w14:paraId="0CE5A54F" w14:textId="4B55F3E2" w:rsidR="00EB2703" w:rsidRDefault="00A43CCF" w:rsidP="00EB2703">
      <w:pPr>
        <w:spacing w:after="120" w:line="360" w:lineRule="auto"/>
        <w:textAlignment w:val="baseline"/>
        <w:rPr>
          <w:rFonts w:eastAsia="Times New Roman" w:cstheme="minorHAnsi"/>
        </w:rPr>
      </w:pPr>
      <w:r w:rsidRPr="000B749C">
        <w:rPr>
          <w:rFonts w:eastAsia="Times New Roman" w:cstheme="minorHAnsi"/>
          <w:color w:val="000000" w:themeColor="text1"/>
          <w:szCs w:val="20"/>
        </w:rPr>
        <w:t>Public health agencies must collect, use</w:t>
      </w:r>
      <w:r w:rsidR="0095538B">
        <w:rPr>
          <w:rFonts w:eastAsia="Times New Roman" w:cstheme="minorHAnsi"/>
          <w:color w:val="000000" w:themeColor="text1"/>
          <w:szCs w:val="20"/>
        </w:rPr>
        <w:t>,</w:t>
      </w:r>
      <w:r w:rsidRPr="000B749C">
        <w:rPr>
          <w:rFonts w:eastAsia="Times New Roman" w:cstheme="minorHAnsi"/>
          <w:color w:val="000000" w:themeColor="text1"/>
          <w:szCs w:val="20"/>
        </w:rPr>
        <w:t xml:space="preserve"> and share information to prevent disease and injury, as well as protect the public against natural, accidental, and intentional health threats</w:t>
      </w:r>
      <w:r w:rsidR="00624410">
        <w:rPr>
          <w:rFonts w:eastAsia="Times New Roman" w:cstheme="minorHAnsi"/>
          <w:color w:val="000000" w:themeColor="text1"/>
          <w:szCs w:val="20"/>
        </w:rPr>
        <w:t xml:space="preserve"> to accomplish its mi</w:t>
      </w:r>
      <w:r w:rsidR="00F2164F">
        <w:rPr>
          <w:rFonts w:eastAsia="Times New Roman" w:cstheme="minorHAnsi"/>
          <w:color w:val="000000" w:themeColor="text1"/>
          <w:szCs w:val="20"/>
        </w:rPr>
        <w:t xml:space="preserve">ssion </w:t>
      </w:r>
      <w:r w:rsidR="00206110">
        <w:rPr>
          <w:rFonts w:eastAsia="Times New Roman" w:cstheme="minorHAnsi"/>
          <w:color w:val="000000" w:themeColor="text1"/>
          <w:szCs w:val="20"/>
        </w:rPr>
        <w:t>to protect the public’s health</w:t>
      </w:r>
      <w:r w:rsidRPr="000B749C">
        <w:rPr>
          <w:rFonts w:eastAsia="Times New Roman" w:cstheme="minorHAnsi"/>
          <w:color w:val="000000" w:themeColor="text1"/>
          <w:szCs w:val="20"/>
        </w:rPr>
        <w:t>.</w:t>
      </w:r>
      <w:r w:rsidR="00EB2703">
        <w:rPr>
          <w:rFonts w:eastAsia="Times New Roman" w:cstheme="minorHAnsi"/>
          <w:color w:val="000000" w:themeColor="text1"/>
          <w:szCs w:val="20"/>
        </w:rPr>
        <w:t xml:space="preserve"> </w:t>
      </w:r>
      <w:r w:rsidR="00EB2703" w:rsidRPr="00D95B5F">
        <w:rPr>
          <w:rFonts w:eastAsia="Times New Roman" w:cstheme="minorHAnsi"/>
        </w:rPr>
        <w:t xml:space="preserve">Often, </w:t>
      </w:r>
      <w:r w:rsidR="00945887">
        <w:rPr>
          <w:rFonts w:eastAsia="Times New Roman" w:cstheme="minorHAnsi"/>
        </w:rPr>
        <w:t xml:space="preserve">this </w:t>
      </w:r>
      <w:r w:rsidR="0074245F">
        <w:rPr>
          <w:rFonts w:eastAsia="Times New Roman" w:cstheme="minorHAnsi"/>
        </w:rPr>
        <w:t xml:space="preserve">work </w:t>
      </w:r>
      <w:r w:rsidR="00945887">
        <w:rPr>
          <w:rFonts w:eastAsia="Times New Roman" w:cstheme="minorHAnsi"/>
        </w:rPr>
        <w:t>involves</w:t>
      </w:r>
      <w:r w:rsidR="00EB2703" w:rsidRPr="00D95B5F">
        <w:rPr>
          <w:rFonts w:eastAsia="Times New Roman" w:cstheme="minorHAnsi"/>
        </w:rPr>
        <w:t xml:space="preserve"> personal and health information that identify individuals. </w:t>
      </w:r>
      <w:r w:rsidR="00086980">
        <w:rPr>
          <w:rFonts w:eastAsia="Times New Roman" w:cstheme="minorHAnsi"/>
        </w:rPr>
        <w:t>T</w:t>
      </w:r>
      <w:r w:rsidR="00EB2703" w:rsidRPr="00D95B5F">
        <w:rPr>
          <w:rFonts w:eastAsia="Times New Roman" w:cstheme="minorHAnsi"/>
        </w:rPr>
        <w:t xml:space="preserve">o prevent and manage a public health emergency, </w:t>
      </w:r>
      <w:r w:rsidR="00962F72">
        <w:rPr>
          <w:rFonts w:eastAsia="Times New Roman" w:cstheme="minorHAnsi"/>
        </w:rPr>
        <w:t xml:space="preserve">public health </w:t>
      </w:r>
      <w:r w:rsidR="00EB2703" w:rsidRPr="00D95B5F">
        <w:rPr>
          <w:rFonts w:eastAsia="Times New Roman" w:cstheme="minorHAnsi"/>
        </w:rPr>
        <w:t xml:space="preserve">agencies must understand federal and </w:t>
      </w:r>
      <w:r w:rsidR="00C5047C">
        <w:rPr>
          <w:rFonts w:eastAsia="Times New Roman" w:cstheme="minorHAnsi"/>
        </w:rPr>
        <w:t>STLT</w:t>
      </w:r>
      <w:r w:rsidR="00EB2703" w:rsidRPr="00D95B5F">
        <w:rPr>
          <w:rFonts w:eastAsia="Times New Roman" w:cstheme="minorHAnsi"/>
        </w:rPr>
        <w:t xml:space="preserve"> laws that apply to this information</w:t>
      </w:r>
      <w:r w:rsidR="00086980">
        <w:rPr>
          <w:rFonts w:eastAsia="Times New Roman" w:cstheme="minorHAnsi"/>
        </w:rPr>
        <w:t xml:space="preserve">, including </w:t>
      </w:r>
      <w:r w:rsidR="00CA461B">
        <w:rPr>
          <w:rFonts w:eastAsia="Times New Roman" w:cstheme="minorHAnsi"/>
        </w:rPr>
        <w:t>requirements and limitations on sharing with law enforcement personne</w:t>
      </w:r>
      <w:r w:rsidR="00C220D1">
        <w:rPr>
          <w:rFonts w:eastAsia="Times New Roman" w:cstheme="minorHAnsi"/>
        </w:rPr>
        <w:t>l. Health agencies are also employers and</w:t>
      </w:r>
      <w:r w:rsidR="00FE2B68">
        <w:rPr>
          <w:rFonts w:eastAsia="Times New Roman" w:cstheme="minorHAnsi"/>
        </w:rPr>
        <w:t xml:space="preserve"> as such</w:t>
      </w:r>
      <w:r w:rsidR="00C220D1">
        <w:rPr>
          <w:rFonts w:eastAsia="Times New Roman" w:cstheme="minorHAnsi"/>
        </w:rPr>
        <w:t xml:space="preserve"> are governed by </w:t>
      </w:r>
      <w:r w:rsidR="00FE2B68">
        <w:rPr>
          <w:rFonts w:eastAsia="Times New Roman" w:cstheme="minorHAnsi"/>
        </w:rPr>
        <w:t xml:space="preserve">the same rules as other employers </w:t>
      </w:r>
      <w:proofErr w:type="gramStart"/>
      <w:r w:rsidR="00FE2B68">
        <w:rPr>
          <w:rFonts w:eastAsia="Times New Roman" w:cstheme="minorHAnsi"/>
        </w:rPr>
        <w:t>with regard to</w:t>
      </w:r>
      <w:proofErr w:type="gramEnd"/>
      <w:r w:rsidR="00FE2B68">
        <w:rPr>
          <w:rFonts w:eastAsia="Times New Roman" w:cstheme="minorHAnsi"/>
        </w:rPr>
        <w:t xml:space="preserve"> collecting, using</w:t>
      </w:r>
      <w:r w:rsidR="003831ED">
        <w:rPr>
          <w:rFonts w:eastAsia="Times New Roman" w:cstheme="minorHAnsi"/>
        </w:rPr>
        <w:t>,</w:t>
      </w:r>
      <w:r w:rsidR="00FE2B68">
        <w:rPr>
          <w:rFonts w:eastAsia="Times New Roman" w:cstheme="minorHAnsi"/>
        </w:rPr>
        <w:t xml:space="preserve"> and sharing personal and health information about </w:t>
      </w:r>
      <w:r w:rsidR="004615EC">
        <w:rPr>
          <w:rFonts w:eastAsia="Times New Roman" w:cstheme="minorHAnsi"/>
        </w:rPr>
        <w:t>employees</w:t>
      </w:r>
      <w:r w:rsidR="00DB23A7">
        <w:rPr>
          <w:rFonts w:eastAsia="Times New Roman" w:cstheme="minorHAnsi"/>
        </w:rPr>
        <w:t>. Thus</w:t>
      </w:r>
      <w:r w:rsidR="003A132E">
        <w:rPr>
          <w:rFonts w:eastAsia="Times New Roman" w:cstheme="minorHAnsi"/>
        </w:rPr>
        <w:t>, w</w:t>
      </w:r>
      <w:r w:rsidR="00EB2703" w:rsidRPr="00D95B5F">
        <w:rPr>
          <w:rFonts w:eastAsia="Times New Roman" w:cstheme="minorHAnsi"/>
        </w:rPr>
        <w:t xml:space="preserve">hen </w:t>
      </w:r>
      <w:r w:rsidR="003A132E">
        <w:rPr>
          <w:rFonts w:eastAsia="Times New Roman" w:cstheme="minorHAnsi"/>
        </w:rPr>
        <w:t>preparing for or r</w:t>
      </w:r>
      <w:r w:rsidR="00EB2703" w:rsidRPr="00D95B5F">
        <w:rPr>
          <w:rFonts w:eastAsia="Times New Roman" w:cstheme="minorHAnsi"/>
        </w:rPr>
        <w:t>esponding to a</w:t>
      </w:r>
      <w:r w:rsidR="008A38B5">
        <w:rPr>
          <w:rFonts w:eastAsia="Times New Roman" w:cstheme="minorHAnsi"/>
        </w:rPr>
        <w:t>n</w:t>
      </w:r>
      <w:r w:rsidR="00EB2703" w:rsidRPr="00D95B5F">
        <w:rPr>
          <w:rFonts w:eastAsia="Times New Roman" w:cstheme="minorHAnsi"/>
        </w:rPr>
        <w:t xml:space="preserve"> </w:t>
      </w:r>
      <w:r w:rsidR="003A132E">
        <w:rPr>
          <w:rFonts w:eastAsia="Times New Roman" w:cstheme="minorHAnsi"/>
        </w:rPr>
        <w:t>emergency</w:t>
      </w:r>
      <w:r w:rsidR="00EB2703" w:rsidRPr="00D95B5F">
        <w:rPr>
          <w:rFonts w:eastAsia="Times New Roman" w:cstheme="minorHAnsi"/>
        </w:rPr>
        <w:t>, public health officials must understand both their authority and their responsibilities</w:t>
      </w:r>
      <w:r w:rsidR="00326F6A">
        <w:rPr>
          <w:rFonts w:eastAsia="Times New Roman" w:cstheme="minorHAnsi"/>
        </w:rPr>
        <w:t xml:space="preserve"> with respect to each of these roles</w:t>
      </w:r>
      <w:r w:rsidR="00EB2703" w:rsidRPr="00D95B5F">
        <w:rPr>
          <w:rFonts w:eastAsia="Times New Roman" w:cstheme="minorHAnsi"/>
        </w:rPr>
        <w:t xml:space="preserve">. </w:t>
      </w:r>
    </w:p>
    <w:p w14:paraId="6481AF86" w14:textId="6B947A41" w:rsidR="00A43CCF" w:rsidRDefault="00A43CCF" w:rsidP="009F3A3F">
      <w:pPr>
        <w:spacing w:line="360" w:lineRule="auto"/>
      </w:pPr>
    </w:p>
    <w:p w14:paraId="3A2308A0" w14:textId="39F33B95" w:rsidR="000F7C4A" w:rsidRPr="00291452" w:rsidRDefault="000F7C4A" w:rsidP="009F3A3F">
      <w:pPr>
        <w:spacing w:line="360" w:lineRule="auto"/>
        <w:rPr>
          <w:b/>
          <w:bCs/>
          <w:sz w:val="24"/>
          <w:szCs w:val="24"/>
        </w:rPr>
      </w:pPr>
      <w:r w:rsidRPr="00291452">
        <w:rPr>
          <w:b/>
          <w:bCs/>
          <w:sz w:val="24"/>
          <w:szCs w:val="24"/>
        </w:rPr>
        <w:t>Collection</w:t>
      </w:r>
      <w:r w:rsidR="00F518A9">
        <w:rPr>
          <w:b/>
          <w:bCs/>
          <w:sz w:val="24"/>
          <w:szCs w:val="24"/>
        </w:rPr>
        <w:t xml:space="preserve">, </w:t>
      </w:r>
      <w:r w:rsidRPr="00291452">
        <w:rPr>
          <w:b/>
          <w:bCs/>
          <w:sz w:val="24"/>
          <w:szCs w:val="24"/>
        </w:rPr>
        <w:t>U</w:t>
      </w:r>
      <w:r w:rsidR="00874BDE" w:rsidRPr="00291452">
        <w:rPr>
          <w:b/>
          <w:bCs/>
          <w:sz w:val="24"/>
          <w:szCs w:val="24"/>
        </w:rPr>
        <w:t>s</w:t>
      </w:r>
      <w:r w:rsidRPr="00291452">
        <w:rPr>
          <w:b/>
          <w:bCs/>
          <w:sz w:val="24"/>
          <w:szCs w:val="24"/>
        </w:rPr>
        <w:t>e</w:t>
      </w:r>
      <w:r w:rsidR="0062440C">
        <w:rPr>
          <w:b/>
          <w:bCs/>
          <w:sz w:val="24"/>
          <w:szCs w:val="24"/>
        </w:rPr>
        <w:t>,</w:t>
      </w:r>
      <w:r w:rsidR="00F518A9">
        <w:rPr>
          <w:b/>
          <w:bCs/>
          <w:sz w:val="24"/>
          <w:szCs w:val="24"/>
        </w:rPr>
        <w:t xml:space="preserve"> and Sharing Data to Protect Public Health</w:t>
      </w:r>
    </w:p>
    <w:p w14:paraId="44B38003" w14:textId="01309672" w:rsidR="00874BDE" w:rsidRDefault="00923CC2" w:rsidP="00EF4C62">
      <w:pPr>
        <w:spacing w:line="360" w:lineRule="auto"/>
        <w:textAlignment w:val="baseline"/>
        <w:rPr>
          <w:rFonts w:eastAsia="Times New Roman" w:cstheme="minorHAnsi"/>
        </w:rPr>
      </w:pPr>
      <w:r>
        <w:rPr>
          <w:rFonts w:eastAsia="Times New Roman" w:cstheme="minorHAnsi"/>
        </w:rPr>
        <w:t>Under the</w:t>
      </w:r>
      <w:r w:rsidR="00F315BC">
        <w:rPr>
          <w:rFonts w:eastAsia="Times New Roman" w:cstheme="minorHAnsi"/>
        </w:rPr>
        <w:t xml:space="preserve"> Tenth Amendment to the</w:t>
      </w:r>
      <w:r w:rsidR="001D605F">
        <w:rPr>
          <w:rFonts w:eastAsia="Times New Roman" w:cstheme="minorHAnsi"/>
        </w:rPr>
        <w:t xml:space="preserve"> U.S. Constitution, s</w:t>
      </w:r>
      <w:r w:rsidR="003A6044" w:rsidRPr="009123A6">
        <w:rPr>
          <w:rFonts w:eastAsia="Times New Roman" w:cstheme="minorHAnsi"/>
        </w:rPr>
        <w:t>tates may exercise police powers to protect the public's health</w:t>
      </w:r>
      <w:r w:rsidR="00FD7254">
        <w:rPr>
          <w:rFonts w:eastAsia="Times New Roman" w:cstheme="minorHAnsi"/>
        </w:rPr>
        <w:t xml:space="preserve">, </w:t>
      </w:r>
      <w:r w:rsidR="003A6044" w:rsidRPr="009123A6">
        <w:rPr>
          <w:rFonts w:eastAsia="Times New Roman" w:cstheme="minorHAnsi"/>
        </w:rPr>
        <w:t>safety</w:t>
      </w:r>
      <w:r w:rsidR="00FD7254">
        <w:rPr>
          <w:rFonts w:eastAsia="Times New Roman" w:cstheme="minorHAnsi"/>
        </w:rPr>
        <w:t>, and welfare</w:t>
      </w:r>
      <w:r w:rsidR="003A6044" w:rsidRPr="009123A6">
        <w:rPr>
          <w:rFonts w:eastAsia="Times New Roman" w:cstheme="minorHAnsi"/>
        </w:rPr>
        <w:t>.</w:t>
      </w:r>
      <w:r>
        <w:rPr>
          <w:rFonts w:eastAsia="Times New Roman" w:cstheme="minorHAnsi"/>
        </w:rPr>
        <w:t xml:space="preserve"> This police power has been </w:t>
      </w:r>
      <w:r w:rsidR="00304AFF">
        <w:rPr>
          <w:rFonts w:eastAsia="Times New Roman" w:cstheme="minorHAnsi"/>
        </w:rPr>
        <w:t xml:space="preserve">used to </w:t>
      </w:r>
      <w:r>
        <w:rPr>
          <w:rFonts w:eastAsia="Times New Roman" w:cstheme="minorHAnsi"/>
        </w:rPr>
        <w:t xml:space="preserve">authorize states </w:t>
      </w:r>
      <w:r w:rsidR="00A3037A">
        <w:rPr>
          <w:rFonts w:eastAsia="Times New Roman" w:cstheme="minorHAnsi"/>
        </w:rPr>
        <w:t xml:space="preserve">to enact a variety of </w:t>
      </w:r>
      <w:r w:rsidRPr="009123A6">
        <w:rPr>
          <w:rFonts w:eastAsia="Times New Roman" w:cstheme="minorHAnsi"/>
        </w:rPr>
        <w:t xml:space="preserve">laws </w:t>
      </w:r>
      <w:r w:rsidR="00490B14">
        <w:rPr>
          <w:rFonts w:eastAsia="Times New Roman" w:cstheme="minorHAnsi"/>
        </w:rPr>
        <w:t xml:space="preserve">that support disease surveillance activities, </w:t>
      </w:r>
      <w:r w:rsidR="00B535C3">
        <w:rPr>
          <w:rFonts w:eastAsia="Times New Roman" w:cstheme="minorHAnsi"/>
        </w:rPr>
        <w:t xml:space="preserve">such as </w:t>
      </w:r>
      <w:r w:rsidR="004011F7">
        <w:rPr>
          <w:rFonts w:eastAsia="Times New Roman" w:cstheme="minorHAnsi"/>
        </w:rPr>
        <w:t xml:space="preserve">authority to </w:t>
      </w:r>
      <w:r w:rsidRPr="009123A6">
        <w:rPr>
          <w:rFonts w:eastAsia="Times New Roman" w:cstheme="minorHAnsi"/>
        </w:rPr>
        <w:t xml:space="preserve">require reporting of private health data, </w:t>
      </w:r>
      <w:r w:rsidR="009E7773">
        <w:rPr>
          <w:rFonts w:eastAsia="Times New Roman" w:cstheme="minorHAnsi"/>
        </w:rPr>
        <w:t xml:space="preserve">to </w:t>
      </w:r>
      <w:r w:rsidRPr="009123A6">
        <w:rPr>
          <w:rFonts w:eastAsia="Times New Roman" w:cstheme="minorHAnsi"/>
        </w:rPr>
        <w:t xml:space="preserve">search medical and hospital records to locate information about the source and spread of communicable disease, </w:t>
      </w:r>
      <w:r w:rsidR="009E7773">
        <w:rPr>
          <w:rFonts w:eastAsia="Times New Roman" w:cstheme="minorHAnsi"/>
        </w:rPr>
        <w:t xml:space="preserve">to </w:t>
      </w:r>
      <w:r w:rsidRPr="009123A6">
        <w:rPr>
          <w:rFonts w:eastAsia="Times New Roman" w:cstheme="minorHAnsi"/>
        </w:rPr>
        <w:t xml:space="preserve">collect and test specimens, and </w:t>
      </w:r>
      <w:r w:rsidR="009E7773">
        <w:rPr>
          <w:rFonts w:eastAsia="Times New Roman" w:cstheme="minorHAnsi"/>
        </w:rPr>
        <w:t xml:space="preserve">to </w:t>
      </w:r>
      <w:r w:rsidRPr="009123A6">
        <w:rPr>
          <w:rFonts w:eastAsia="Times New Roman" w:cstheme="minorHAnsi"/>
        </w:rPr>
        <w:t xml:space="preserve">disclose information to the </w:t>
      </w:r>
      <w:r w:rsidRPr="009123A6">
        <w:rPr>
          <w:rFonts w:eastAsia="Times New Roman" w:cstheme="minorHAnsi"/>
        </w:rPr>
        <w:lastRenderedPageBreak/>
        <w:t>extent necessary to protect the public from communicable diseases and other public health threats.</w:t>
      </w:r>
      <w:r>
        <w:rPr>
          <w:rFonts w:eastAsia="Times New Roman" w:cstheme="minorHAnsi"/>
        </w:rPr>
        <w:t xml:space="preserve"> </w:t>
      </w:r>
      <w:r w:rsidR="002F43C8">
        <w:rPr>
          <w:rFonts w:eastAsia="Times New Roman" w:cstheme="minorHAnsi"/>
        </w:rPr>
        <w:t xml:space="preserve">Health agencies are authorized to gather information for sources such as case reports, </w:t>
      </w:r>
      <w:r w:rsidR="0057431E">
        <w:rPr>
          <w:rFonts w:eastAsia="Times New Roman" w:cstheme="minorHAnsi"/>
        </w:rPr>
        <w:t>electronic health records, and syndromic surveillance data.</w:t>
      </w:r>
      <w:r w:rsidR="00076301">
        <w:rPr>
          <w:rFonts w:eastAsia="Times New Roman" w:cstheme="minorHAnsi"/>
        </w:rPr>
        <w:t xml:space="preserve"> </w:t>
      </w:r>
      <w:r w:rsidR="00D8612E" w:rsidRPr="004D42AB">
        <w:rPr>
          <w:rFonts w:eastAsia="Times New Roman" w:cstheme="minorHAnsi"/>
        </w:rPr>
        <w:t>The U.S. Supreme Court has upheld public health surveillance and reporting requirements against challenges based on individual privacy</w:t>
      </w:r>
      <w:r w:rsidR="003E2471">
        <w:rPr>
          <w:rFonts w:eastAsia="Times New Roman" w:cstheme="minorHAnsi"/>
        </w:rPr>
        <w:t xml:space="preserve"> arguments</w:t>
      </w:r>
      <w:r w:rsidR="00D76028">
        <w:rPr>
          <w:rFonts w:eastAsia="Times New Roman" w:cstheme="minorHAnsi"/>
        </w:rPr>
        <w:t>:</w:t>
      </w:r>
      <w:r w:rsidR="00EB152C">
        <w:rPr>
          <w:rFonts w:eastAsia="Times New Roman" w:cstheme="minorHAnsi"/>
        </w:rPr>
        <w:t xml:space="preserve"> </w:t>
      </w:r>
      <w:r w:rsidR="00EB152C" w:rsidRPr="004D42AB">
        <w:rPr>
          <w:rFonts w:eastAsia="Times New Roman" w:cstheme="minorHAnsi"/>
        </w:rPr>
        <w:t>public health reporting requirements and access to health information are permissible when they are reasonably directed to the preservation of health and properly respect a patient's confidentiality and privacy</w:t>
      </w:r>
      <w:r w:rsidR="000A05E4">
        <w:rPr>
          <w:rFonts w:eastAsia="Times New Roman" w:cstheme="minorHAnsi"/>
        </w:rPr>
        <w:t xml:space="preserve">. </w:t>
      </w:r>
      <w:r w:rsidR="0074253A">
        <w:rPr>
          <w:rFonts w:eastAsia="Times New Roman" w:cstheme="minorHAnsi"/>
        </w:rPr>
        <w:t xml:space="preserve">Yet the Court </w:t>
      </w:r>
      <w:r w:rsidR="000A05E4" w:rsidRPr="004D42AB">
        <w:rPr>
          <w:rFonts w:eastAsia="Times New Roman" w:cstheme="minorHAnsi"/>
        </w:rPr>
        <w:t>recognized that the government's right to accumulate great quantities of information</w:t>
      </w:r>
      <w:r w:rsidR="0074253A">
        <w:rPr>
          <w:rFonts w:eastAsia="Times New Roman" w:cstheme="minorHAnsi"/>
        </w:rPr>
        <w:t xml:space="preserve"> has limits </w:t>
      </w:r>
      <w:r w:rsidR="005725BB">
        <w:rPr>
          <w:rFonts w:eastAsia="Times New Roman" w:cstheme="minorHAnsi"/>
        </w:rPr>
        <w:t xml:space="preserve">and has a duty to </w:t>
      </w:r>
      <w:r w:rsidR="000A05E4" w:rsidRPr="004D42AB">
        <w:rPr>
          <w:rFonts w:eastAsia="Times New Roman" w:cstheme="minorHAnsi"/>
        </w:rPr>
        <w:t>avoid unwarranted disclosures."</w:t>
      </w:r>
      <w:r w:rsidR="000A05E4">
        <w:rPr>
          <w:rStyle w:val="FootnoteReference"/>
          <w:rFonts w:eastAsia="Times New Roman" w:cstheme="minorHAnsi"/>
        </w:rPr>
        <w:footnoteReference w:id="1"/>
      </w:r>
      <w:r w:rsidR="005725BB">
        <w:rPr>
          <w:rFonts w:eastAsia="Times New Roman" w:cstheme="minorHAnsi"/>
        </w:rPr>
        <w:t xml:space="preserve"> Thus, t</w:t>
      </w:r>
      <w:r w:rsidR="005725BB" w:rsidRPr="00D95B5F">
        <w:rPr>
          <w:rFonts w:eastAsia="Times New Roman" w:cstheme="minorHAnsi"/>
        </w:rPr>
        <w:t>h</w:t>
      </w:r>
      <w:r w:rsidR="005725BB">
        <w:rPr>
          <w:rFonts w:eastAsia="Times New Roman" w:cstheme="minorHAnsi"/>
        </w:rPr>
        <w:t>e</w:t>
      </w:r>
      <w:r w:rsidR="005725BB" w:rsidRPr="00D95B5F">
        <w:rPr>
          <w:rFonts w:eastAsia="Times New Roman" w:cstheme="minorHAnsi"/>
        </w:rPr>
        <w:t xml:space="preserve"> responsibility </w:t>
      </w:r>
      <w:r w:rsidR="005725BB">
        <w:rPr>
          <w:rFonts w:eastAsia="Times New Roman" w:cstheme="minorHAnsi"/>
        </w:rPr>
        <w:t xml:space="preserve">to </w:t>
      </w:r>
      <w:r w:rsidR="005725BB" w:rsidRPr="00D95B5F">
        <w:rPr>
          <w:rFonts w:eastAsia="Times New Roman" w:cstheme="minorHAnsi"/>
        </w:rPr>
        <w:t>protect the public and inform it of public health threats within the community</w:t>
      </w:r>
      <w:r w:rsidR="005725BB">
        <w:rPr>
          <w:rFonts w:eastAsia="Times New Roman" w:cstheme="minorHAnsi"/>
        </w:rPr>
        <w:t xml:space="preserve"> must be balanced with the responsibility to protect the privacy of individuals</w:t>
      </w:r>
      <w:r w:rsidR="005725BB" w:rsidRPr="00D95B5F">
        <w:rPr>
          <w:rFonts w:eastAsia="Times New Roman" w:cstheme="minorHAnsi"/>
        </w:rPr>
        <w:t>.</w:t>
      </w:r>
      <w:r w:rsidR="005725BB">
        <w:rPr>
          <w:rFonts w:eastAsia="Times New Roman" w:cstheme="minorHAnsi"/>
        </w:rPr>
        <w:t xml:space="preserve"> Public health a</w:t>
      </w:r>
      <w:r w:rsidR="005725BB" w:rsidRPr="00D95B5F">
        <w:rPr>
          <w:rFonts w:eastAsia="Times New Roman" w:cstheme="minorHAnsi"/>
        </w:rPr>
        <w:t>gencies must also understand laws that define the public's right to information held by government and exemptions that might apply to protect sensitive or private information from public disclosure.</w:t>
      </w:r>
    </w:p>
    <w:p w14:paraId="40084B29" w14:textId="77777777" w:rsidR="007C1890" w:rsidRDefault="007C1890" w:rsidP="00EF4C62">
      <w:pPr>
        <w:spacing w:line="360" w:lineRule="auto"/>
        <w:textAlignment w:val="baseline"/>
      </w:pPr>
    </w:p>
    <w:p w14:paraId="02DFD487" w14:textId="48CE6BC7" w:rsidR="00046AE4" w:rsidRPr="007C1890" w:rsidRDefault="009504E4" w:rsidP="009F3A3F">
      <w:pPr>
        <w:spacing w:line="360" w:lineRule="auto"/>
        <w:rPr>
          <w:b/>
          <w:bCs/>
        </w:rPr>
      </w:pPr>
      <w:r w:rsidRPr="007C1890">
        <w:rPr>
          <w:b/>
          <w:bCs/>
        </w:rPr>
        <w:t xml:space="preserve">Public Health </w:t>
      </w:r>
      <w:r w:rsidR="0033028B" w:rsidRPr="007C1890">
        <w:rPr>
          <w:b/>
          <w:bCs/>
        </w:rPr>
        <w:t>Investigations</w:t>
      </w:r>
    </w:p>
    <w:p w14:paraId="0AF1F0F1" w14:textId="6A36DE87" w:rsidR="00BD5FBA" w:rsidRDefault="006F70FC" w:rsidP="00BD5FBA">
      <w:pPr>
        <w:spacing w:line="360" w:lineRule="auto"/>
        <w:rPr>
          <w:rFonts w:eastAsia="Times New Roman" w:cstheme="minorHAnsi"/>
        </w:rPr>
      </w:pPr>
      <w:r w:rsidRPr="006F70FC">
        <w:rPr>
          <w:rFonts w:eastAsia="Times New Roman" w:cstheme="minorHAnsi"/>
        </w:rPr>
        <w:t xml:space="preserve">When </w:t>
      </w:r>
      <w:r w:rsidR="00052F46">
        <w:rPr>
          <w:rFonts w:eastAsia="Times New Roman" w:cstheme="minorHAnsi"/>
        </w:rPr>
        <w:t xml:space="preserve">disease </w:t>
      </w:r>
      <w:r w:rsidRPr="006F70FC">
        <w:rPr>
          <w:rFonts w:eastAsia="Times New Roman" w:cstheme="minorHAnsi"/>
        </w:rPr>
        <w:t xml:space="preserve">surveillance systems detect cases or clusters of usual disease or other potential health threats, a public health investigation may be initiated. </w:t>
      </w:r>
      <w:r w:rsidR="00BD4488" w:rsidRPr="004D42AB">
        <w:rPr>
          <w:rFonts w:eastAsia="Times New Roman" w:cstheme="minorHAnsi"/>
        </w:rPr>
        <w:t>State laws provide general legal authority to public health agencies to investigate the causes of disease, illness, disability, or other conditions.</w:t>
      </w:r>
      <w:r w:rsidR="00BD5FBA">
        <w:rPr>
          <w:rFonts w:eastAsia="Times New Roman" w:cstheme="minorHAnsi"/>
        </w:rPr>
        <w:t xml:space="preserve"> </w:t>
      </w:r>
      <w:r w:rsidR="00BD5FBA" w:rsidRPr="004D42AB">
        <w:rPr>
          <w:rFonts w:eastAsia="Times New Roman" w:cstheme="minorHAnsi"/>
        </w:rPr>
        <w:t>During an investigation, public health investigators may need to enter and search the premises of an individual or business, copy records, take biological specimens or environmental samples for testing, and remove evidence that might be relevant to the public health concern. Usually, individuals, families, and businesses cooperate with public health investigations by providing access to premises, records, samples and specimens. However, absent consent, public health officials may need to obtain an administrative warrant to search premises and obtain evidence. A knowing and voluntary consent by an individual with actual or apparent authority over the premises to be searched or items to be seized is an exception to the warrant requirement established by the United States Constitution.</w:t>
      </w:r>
      <w:r w:rsidR="00BD5FBA">
        <w:rPr>
          <w:rStyle w:val="FootnoteReference"/>
          <w:rFonts w:eastAsia="Times New Roman" w:cstheme="minorHAnsi"/>
        </w:rPr>
        <w:footnoteReference w:id="2"/>
      </w:r>
    </w:p>
    <w:p w14:paraId="17122F30" w14:textId="77777777" w:rsidR="00BB2418" w:rsidRDefault="00BB2418" w:rsidP="00BD5FBA">
      <w:pPr>
        <w:spacing w:line="360" w:lineRule="auto"/>
        <w:rPr>
          <w:rFonts w:eastAsia="Times New Roman" w:cstheme="minorHAnsi"/>
          <w:b/>
          <w:bCs/>
        </w:rPr>
      </w:pPr>
    </w:p>
    <w:p w14:paraId="15AFD39C" w14:textId="29055F44" w:rsidR="006F70FC" w:rsidRPr="006F70FC" w:rsidRDefault="00C56E59" w:rsidP="006F70FC">
      <w:pPr>
        <w:spacing w:line="360" w:lineRule="auto"/>
        <w:rPr>
          <w:rFonts w:eastAsia="Times New Roman" w:cstheme="minorHAnsi"/>
          <w:b/>
          <w:bCs/>
        </w:rPr>
      </w:pPr>
      <w:r w:rsidRPr="004D42AB">
        <w:rPr>
          <w:rFonts w:eastAsia="Times New Roman" w:cstheme="minorHAnsi"/>
        </w:rPr>
        <w:t>The Fourth Amendment of the U.S. Constitution protects against unreasonable searches and seizures and requires a warrant</w:t>
      </w:r>
      <w:r>
        <w:rPr>
          <w:rFonts w:eastAsia="Times New Roman" w:cstheme="minorHAnsi"/>
        </w:rPr>
        <w:t xml:space="preserve">. </w:t>
      </w:r>
      <w:r w:rsidR="00BB2418" w:rsidRPr="004D42AB">
        <w:rPr>
          <w:rFonts w:eastAsia="Times New Roman" w:cstheme="minorHAnsi"/>
        </w:rPr>
        <w:t xml:space="preserve">Absent an exception, the Fourth Amendment applies to health and safety inspections and to public health investigations, requiring an administrative warrant. However, the </w:t>
      </w:r>
      <w:r w:rsidR="00BB2418" w:rsidRPr="004D42AB">
        <w:rPr>
          <w:rFonts w:eastAsia="Times New Roman" w:cstheme="minorHAnsi"/>
        </w:rPr>
        <w:lastRenderedPageBreak/>
        <w:t>standard for an administrative warrant is not as high as it is for criminal investigations.</w:t>
      </w:r>
      <w:r w:rsidR="007B191D">
        <w:rPr>
          <w:rFonts w:eastAsia="Times New Roman" w:cstheme="minorHAnsi"/>
        </w:rPr>
        <w:t xml:space="preserve"> </w:t>
      </w:r>
      <w:r w:rsidR="007B191D" w:rsidRPr="004D42AB">
        <w:rPr>
          <w:rFonts w:eastAsia="Times New Roman" w:cstheme="minorHAnsi"/>
        </w:rPr>
        <w:t>Generally, the Fourth Amendment warrant requirement does not apply to information provided by third parties. Mandatory reporting schemes for information obtained by medical personnel during the ordinary course of treatment do not violate the Fourth Amendment, even if that information is ultimately provided to law enforcement.</w:t>
      </w:r>
      <w:r w:rsidR="007B191D">
        <w:rPr>
          <w:rStyle w:val="FootnoteReference"/>
          <w:rFonts w:eastAsia="Times New Roman" w:cstheme="minorHAnsi"/>
        </w:rPr>
        <w:footnoteReference w:id="3"/>
      </w:r>
    </w:p>
    <w:p w14:paraId="3B0E62B0" w14:textId="34446706" w:rsidR="008F7F11" w:rsidRDefault="008F7F11" w:rsidP="009F3A3F">
      <w:pPr>
        <w:spacing w:line="360" w:lineRule="auto"/>
      </w:pPr>
    </w:p>
    <w:p w14:paraId="3F31294C" w14:textId="32C8B3E6" w:rsidR="002A3A71" w:rsidRPr="002A3A71" w:rsidRDefault="002A3A71" w:rsidP="009F3A3F">
      <w:pPr>
        <w:spacing w:line="360" w:lineRule="auto"/>
        <w:rPr>
          <w:b/>
          <w:bCs/>
        </w:rPr>
      </w:pPr>
      <w:r w:rsidRPr="002A3A71">
        <w:rPr>
          <w:b/>
          <w:bCs/>
        </w:rPr>
        <w:t>Sharing Information</w:t>
      </w:r>
    </w:p>
    <w:p w14:paraId="7B2DFEFA" w14:textId="77777777" w:rsidR="004F1219" w:rsidRDefault="004C4F18" w:rsidP="009F3A3F">
      <w:pPr>
        <w:spacing w:line="360" w:lineRule="auto"/>
        <w:rPr>
          <w:rFonts w:eastAsia="Times New Roman" w:cstheme="minorHAnsi"/>
        </w:rPr>
      </w:pPr>
      <w:r w:rsidRPr="004D42AB">
        <w:rPr>
          <w:rFonts w:eastAsia="Times New Roman" w:cstheme="minorHAnsi"/>
        </w:rPr>
        <w:t>Public health agencies must often decide what information, if any, to share outside the public health agency. They may face competing interests when trying to protect individual privacy, protect the public, and inform the public</w:t>
      </w:r>
      <w:r w:rsidR="00873627">
        <w:rPr>
          <w:rFonts w:eastAsia="Times New Roman" w:cstheme="minorHAnsi"/>
        </w:rPr>
        <w:t xml:space="preserve">. </w:t>
      </w:r>
      <w:r w:rsidR="00ED7E23" w:rsidRPr="004D42AB">
        <w:rPr>
          <w:rFonts w:eastAsia="Times New Roman" w:cstheme="minorHAnsi"/>
        </w:rPr>
        <w:t xml:space="preserve">Public health agencies must often decide whether to share identifiable information with other entities in the public and private sector that have a role in protecting the public's health, safety, and welfare. </w:t>
      </w:r>
      <w:r w:rsidR="00873627" w:rsidRPr="004D42AB">
        <w:rPr>
          <w:rFonts w:eastAsia="Times New Roman" w:cstheme="minorHAnsi"/>
        </w:rPr>
        <w:t>Some states have statutory language recognizing the need to share information to investigate and respond to a threat; other states may rely on their general authority to support such sharing. When identifiable information is not necessary, public health agencies might be able to avoid legal questions by simply providing de-identified information.</w:t>
      </w:r>
      <w:r w:rsidR="00283591">
        <w:rPr>
          <w:rFonts w:eastAsia="Times New Roman" w:cstheme="minorHAnsi"/>
        </w:rPr>
        <w:t xml:space="preserve"> </w:t>
      </w:r>
    </w:p>
    <w:p w14:paraId="2678EEE5" w14:textId="77777777" w:rsidR="004F1219" w:rsidRDefault="004F1219" w:rsidP="009F3A3F">
      <w:pPr>
        <w:spacing w:line="360" w:lineRule="auto"/>
        <w:rPr>
          <w:rFonts w:eastAsia="Times New Roman" w:cstheme="minorHAnsi"/>
        </w:rPr>
      </w:pPr>
    </w:p>
    <w:p w14:paraId="6040B45B" w14:textId="5CFF4804" w:rsidR="004C4F18" w:rsidRDefault="00283591" w:rsidP="009F3A3F">
      <w:pPr>
        <w:spacing w:line="360" w:lineRule="auto"/>
        <w:rPr>
          <w:rFonts w:eastAsia="Times New Roman" w:cstheme="minorHAnsi"/>
        </w:rPr>
      </w:pPr>
      <w:r w:rsidRPr="004D42AB">
        <w:rPr>
          <w:rFonts w:eastAsia="Times New Roman" w:cstheme="minorHAnsi"/>
        </w:rPr>
        <w:t>Public health agencies must also decide what information to share with the public and the media and the timing of such disclosures</w:t>
      </w:r>
      <w:r w:rsidR="0014644F">
        <w:rPr>
          <w:rFonts w:eastAsia="Times New Roman" w:cstheme="minorHAnsi"/>
        </w:rPr>
        <w:t xml:space="preserve"> </w:t>
      </w:r>
      <w:r w:rsidR="00B85375">
        <w:rPr>
          <w:rFonts w:eastAsia="Times New Roman" w:cstheme="minorHAnsi"/>
        </w:rPr>
        <w:t xml:space="preserve">normally and </w:t>
      </w:r>
      <w:r w:rsidR="0014644F">
        <w:rPr>
          <w:rFonts w:eastAsia="Times New Roman" w:cstheme="minorHAnsi"/>
        </w:rPr>
        <w:t>during an emergency</w:t>
      </w:r>
      <w:r w:rsidRPr="004D42AB">
        <w:rPr>
          <w:rFonts w:eastAsia="Times New Roman" w:cstheme="minorHAnsi"/>
        </w:rPr>
        <w:t>, especially when information is preliminary or incomplete.</w:t>
      </w:r>
      <w:r w:rsidR="00AD4E44">
        <w:rPr>
          <w:rFonts w:eastAsia="Times New Roman" w:cstheme="minorHAnsi"/>
        </w:rPr>
        <w:t xml:space="preserve"> </w:t>
      </w:r>
      <w:r w:rsidR="000C61A6">
        <w:rPr>
          <w:rFonts w:eastAsia="Times New Roman" w:cstheme="minorHAnsi"/>
        </w:rPr>
        <w:t>However, p</w:t>
      </w:r>
      <w:r w:rsidRPr="004D42AB">
        <w:rPr>
          <w:rFonts w:eastAsia="Times New Roman" w:cstheme="minorHAnsi"/>
        </w:rPr>
        <w:t>ublic health agencies</w:t>
      </w:r>
      <w:r w:rsidR="00FD05AB">
        <w:rPr>
          <w:rFonts w:eastAsia="Times New Roman" w:cstheme="minorHAnsi"/>
        </w:rPr>
        <w:t xml:space="preserve"> </w:t>
      </w:r>
      <w:r w:rsidRPr="004D42AB">
        <w:rPr>
          <w:rFonts w:eastAsia="Times New Roman" w:cstheme="minorHAnsi"/>
        </w:rPr>
        <w:t>must comply with Freedom of Information laws</w:t>
      </w:r>
      <w:r w:rsidR="000C61A6">
        <w:rPr>
          <w:rFonts w:eastAsia="Times New Roman" w:cstheme="minorHAnsi"/>
        </w:rPr>
        <w:t xml:space="preserve"> in their </w:t>
      </w:r>
      <w:r w:rsidR="00FF0ECA">
        <w:rPr>
          <w:rFonts w:eastAsia="Times New Roman" w:cstheme="minorHAnsi"/>
        </w:rPr>
        <w:t>jurisdictions</w:t>
      </w:r>
      <w:r w:rsidRPr="004D42AB">
        <w:rPr>
          <w:rFonts w:eastAsia="Times New Roman" w:cstheme="minorHAnsi"/>
        </w:rPr>
        <w:t>.</w:t>
      </w:r>
      <w:r w:rsidR="00AD4741">
        <w:rPr>
          <w:rFonts w:eastAsia="Times New Roman" w:cstheme="minorHAnsi"/>
        </w:rPr>
        <w:t xml:space="preserve"> </w:t>
      </w:r>
      <w:r w:rsidR="00D971E8">
        <w:rPr>
          <w:rFonts w:eastAsia="Times New Roman" w:cstheme="minorHAnsi"/>
        </w:rPr>
        <w:t>A</w:t>
      </w:r>
      <w:r w:rsidR="00B03FFB" w:rsidRPr="004D42AB">
        <w:rPr>
          <w:rFonts w:eastAsia="Times New Roman" w:cstheme="minorHAnsi"/>
        </w:rPr>
        <w:t xml:space="preserve"> government's ability to restrict access to public records is extremely limited and depends on the applicability of an exemption to disclosure</w:t>
      </w:r>
      <w:r w:rsidR="00E438D3">
        <w:rPr>
          <w:rFonts w:eastAsia="Times New Roman" w:cstheme="minorHAnsi"/>
        </w:rPr>
        <w:t>, especially during regular operation</w:t>
      </w:r>
      <w:r w:rsidR="00B03FFB" w:rsidRPr="004D42AB">
        <w:rPr>
          <w:rFonts w:eastAsia="Times New Roman" w:cstheme="minorHAnsi"/>
        </w:rPr>
        <w:t>.</w:t>
      </w:r>
      <w:r w:rsidR="00134CB8">
        <w:rPr>
          <w:rFonts w:eastAsia="Times New Roman" w:cstheme="minorHAnsi"/>
        </w:rPr>
        <w:t xml:space="preserve"> </w:t>
      </w:r>
      <w:r w:rsidR="00167CC3">
        <w:rPr>
          <w:rFonts w:eastAsia="Times New Roman" w:cstheme="minorHAnsi"/>
        </w:rPr>
        <w:t xml:space="preserve">Depending on the law is a specific jurisdiction, exemptions </w:t>
      </w:r>
      <w:r w:rsidR="00D5301E">
        <w:rPr>
          <w:rFonts w:eastAsia="Times New Roman" w:cstheme="minorHAnsi"/>
        </w:rPr>
        <w:t xml:space="preserve">to FOI requirements that </w:t>
      </w:r>
      <w:r w:rsidR="00187C50">
        <w:rPr>
          <w:rFonts w:eastAsia="Times New Roman" w:cstheme="minorHAnsi"/>
        </w:rPr>
        <w:t xml:space="preserve">can apply </w:t>
      </w:r>
      <w:r w:rsidR="00644876">
        <w:rPr>
          <w:rFonts w:eastAsia="Times New Roman" w:cstheme="minorHAnsi"/>
        </w:rPr>
        <w:t>include</w:t>
      </w:r>
      <w:r w:rsidR="00072CC1">
        <w:rPr>
          <w:rFonts w:eastAsia="Times New Roman" w:cstheme="minorHAnsi"/>
        </w:rPr>
        <w:t>:</w:t>
      </w:r>
      <w:r w:rsidR="008543D2">
        <w:rPr>
          <w:rFonts w:eastAsia="Times New Roman" w:cstheme="minorHAnsi"/>
        </w:rPr>
        <w:t xml:space="preserve"> </w:t>
      </w:r>
      <w:r w:rsidR="00AA217B">
        <w:rPr>
          <w:rFonts w:eastAsia="Times New Roman" w:cstheme="minorHAnsi"/>
        </w:rPr>
        <w:t>personally private</w:t>
      </w:r>
      <w:r w:rsidR="00AA217B">
        <w:rPr>
          <w:rFonts w:eastAsia="Times New Roman" w:cstheme="minorHAnsi"/>
        </w:rPr>
        <w:t xml:space="preserve"> </w:t>
      </w:r>
      <w:r w:rsidR="0056785D">
        <w:rPr>
          <w:rFonts w:eastAsia="Times New Roman" w:cstheme="minorHAnsi"/>
        </w:rPr>
        <w:t>information</w:t>
      </w:r>
      <w:r w:rsidR="00AA217B">
        <w:rPr>
          <w:rFonts w:eastAsia="Times New Roman" w:cstheme="minorHAnsi"/>
        </w:rPr>
        <w:t xml:space="preserve"> (e.g., </w:t>
      </w:r>
      <w:r w:rsidR="00B46F3E">
        <w:rPr>
          <w:rFonts w:eastAsia="Times New Roman" w:cstheme="minorHAnsi"/>
        </w:rPr>
        <w:t>psy</w:t>
      </w:r>
      <w:r w:rsidR="000D5953">
        <w:rPr>
          <w:rFonts w:eastAsia="Times New Roman" w:cstheme="minorHAnsi"/>
        </w:rPr>
        <w:t>chological</w:t>
      </w:r>
      <w:r w:rsidR="004E0D36">
        <w:rPr>
          <w:rFonts w:eastAsia="Times New Roman" w:cstheme="minorHAnsi"/>
        </w:rPr>
        <w:t>, financial</w:t>
      </w:r>
      <w:r w:rsidR="00072CC1">
        <w:rPr>
          <w:rFonts w:eastAsia="Times New Roman" w:cstheme="minorHAnsi"/>
        </w:rPr>
        <w:t>;</w:t>
      </w:r>
      <w:r w:rsidR="00B24BF1">
        <w:rPr>
          <w:rFonts w:eastAsia="Times New Roman" w:cstheme="minorHAnsi"/>
        </w:rPr>
        <w:t xml:space="preserve"> </w:t>
      </w:r>
      <w:r w:rsidR="00B46F3E">
        <w:rPr>
          <w:rFonts w:eastAsia="Times New Roman" w:cstheme="minorHAnsi"/>
        </w:rPr>
        <w:t>health information or medical records</w:t>
      </w:r>
      <w:r w:rsidR="00072CC1">
        <w:rPr>
          <w:rFonts w:eastAsia="Times New Roman" w:cstheme="minorHAnsi"/>
        </w:rPr>
        <w:t xml:space="preserve">; business records; </w:t>
      </w:r>
      <w:r w:rsidR="00B23013">
        <w:rPr>
          <w:rFonts w:eastAsia="Times New Roman" w:cstheme="minorHAnsi"/>
        </w:rPr>
        <w:t>investigatory records</w:t>
      </w:r>
      <w:r w:rsidR="00072CC1">
        <w:rPr>
          <w:rFonts w:eastAsia="Times New Roman" w:cstheme="minorHAnsi"/>
        </w:rPr>
        <w:t xml:space="preserve">; </w:t>
      </w:r>
      <w:r w:rsidR="00B23013">
        <w:rPr>
          <w:rFonts w:eastAsia="Times New Roman" w:cstheme="minorHAnsi"/>
        </w:rPr>
        <w:t xml:space="preserve">items relating national </w:t>
      </w:r>
      <w:r w:rsidR="00D71927">
        <w:rPr>
          <w:rFonts w:eastAsia="Times New Roman" w:cstheme="minorHAnsi"/>
        </w:rPr>
        <w:t xml:space="preserve">and/or state </w:t>
      </w:r>
      <w:r w:rsidR="00B23013">
        <w:rPr>
          <w:rFonts w:eastAsia="Times New Roman" w:cstheme="minorHAnsi"/>
        </w:rPr>
        <w:t>security</w:t>
      </w:r>
      <w:r w:rsidR="00D71927">
        <w:rPr>
          <w:rFonts w:eastAsia="Times New Roman" w:cstheme="minorHAnsi"/>
        </w:rPr>
        <w:t xml:space="preserve">; </w:t>
      </w:r>
      <w:r w:rsidR="00BB5BD9">
        <w:rPr>
          <w:rFonts w:eastAsia="Times New Roman" w:cstheme="minorHAnsi"/>
        </w:rPr>
        <w:t xml:space="preserve">or </w:t>
      </w:r>
      <w:r w:rsidR="008543D2">
        <w:rPr>
          <w:rFonts w:eastAsia="Times New Roman" w:cstheme="minorHAnsi"/>
        </w:rPr>
        <w:t>i</w:t>
      </w:r>
      <w:r w:rsidR="008543D2" w:rsidRPr="008543D2">
        <w:rPr>
          <w:rFonts w:eastAsia="Times New Roman" w:cstheme="minorHAnsi"/>
        </w:rPr>
        <w:t xml:space="preserve">nformation </w:t>
      </w:r>
      <w:r w:rsidR="00EC5828">
        <w:rPr>
          <w:rFonts w:eastAsia="Times New Roman" w:cstheme="minorHAnsi"/>
        </w:rPr>
        <w:t>that can</w:t>
      </w:r>
      <w:r w:rsidR="008543D2" w:rsidRPr="008543D2">
        <w:rPr>
          <w:rFonts w:eastAsia="Times New Roman" w:cstheme="minorHAnsi"/>
        </w:rPr>
        <w:t xml:space="preserve">not </w:t>
      </w:r>
      <w:r w:rsidR="00EC5828">
        <w:rPr>
          <w:rFonts w:eastAsia="Times New Roman" w:cstheme="minorHAnsi"/>
        </w:rPr>
        <w:t xml:space="preserve">be disclosed because </w:t>
      </w:r>
      <w:r w:rsidR="001A7E1F">
        <w:rPr>
          <w:rFonts w:eastAsia="Times New Roman" w:cstheme="minorHAnsi"/>
        </w:rPr>
        <w:t>its release is prohibited under another law</w:t>
      </w:r>
      <w:r w:rsidR="007D35C1">
        <w:rPr>
          <w:rFonts w:eastAsia="Times New Roman" w:cstheme="minorHAnsi"/>
        </w:rPr>
        <w:t xml:space="preserve"> (e.g., </w:t>
      </w:r>
      <w:r w:rsidR="001D4DD8">
        <w:rPr>
          <w:rFonts w:eastAsia="Times New Roman" w:cstheme="minorHAnsi"/>
        </w:rPr>
        <w:t xml:space="preserve">HIV status, </w:t>
      </w:r>
      <w:r w:rsidR="00EF303C">
        <w:rPr>
          <w:rFonts w:eastAsia="Times New Roman" w:cstheme="minorHAnsi"/>
        </w:rPr>
        <w:t xml:space="preserve">vital records). </w:t>
      </w:r>
      <w:r w:rsidR="006B2C8E">
        <w:rPr>
          <w:rFonts w:eastAsia="Times New Roman" w:cstheme="minorHAnsi"/>
        </w:rPr>
        <w:t xml:space="preserve">Once an emergency has been declared in a jurisdiction, </w:t>
      </w:r>
      <w:r w:rsidR="006B2C8E">
        <w:rPr>
          <w:rFonts w:eastAsia="Times New Roman" w:cstheme="minorHAnsi"/>
        </w:rPr>
        <w:t xml:space="preserve">its </w:t>
      </w:r>
      <w:r w:rsidR="006B2C8E">
        <w:rPr>
          <w:rFonts w:eastAsia="Times New Roman" w:cstheme="minorHAnsi"/>
        </w:rPr>
        <w:t xml:space="preserve">FOI laws may be </w:t>
      </w:r>
      <w:r w:rsidR="00B3601A">
        <w:rPr>
          <w:rFonts w:eastAsia="Times New Roman" w:cstheme="minorHAnsi"/>
        </w:rPr>
        <w:t xml:space="preserve">temporarily </w:t>
      </w:r>
      <w:r w:rsidR="006B2C8E">
        <w:rPr>
          <w:rFonts w:eastAsia="Times New Roman" w:cstheme="minorHAnsi"/>
        </w:rPr>
        <w:t>altered.</w:t>
      </w:r>
    </w:p>
    <w:p w14:paraId="00600DB9" w14:textId="77943C47" w:rsidR="00144E5E" w:rsidRDefault="00144E5E" w:rsidP="009F3A3F">
      <w:pPr>
        <w:spacing w:line="360" w:lineRule="auto"/>
        <w:rPr>
          <w:rFonts w:eastAsia="Times New Roman" w:cstheme="minorHAnsi"/>
        </w:rPr>
      </w:pPr>
    </w:p>
    <w:p w14:paraId="0CD976E4" w14:textId="4CB8A155" w:rsidR="00236B77" w:rsidRPr="00526E16" w:rsidRDefault="00236B77" w:rsidP="009F3A3F">
      <w:pPr>
        <w:spacing w:line="360" w:lineRule="auto"/>
        <w:rPr>
          <w:rFonts w:eastAsia="Times New Roman" w:cstheme="minorHAnsi"/>
          <w:b/>
          <w:bCs/>
        </w:rPr>
      </w:pPr>
      <w:r w:rsidRPr="00526E16">
        <w:rPr>
          <w:rFonts w:eastAsia="Times New Roman" w:cstheme="minorHAnsi"/>
          <w:b/>
          <w:bCs/>
        </w:rPr>
        <w:t xml:space="preserve">Federal </w:t>
      </w:r>
      <w:r w:rsidR="002874D8" w:rsidRPr="00526E16">
        <w:rPr>
          <w:rFonts w:eastAsia="Times New Roman" w:cstheme="minorHAnsi"/>
          <w:b/>
          <w:bCs/>
        </w:rPr>
        <w:t xml:space="preserve">Disease Surveillance and Privacy </w:t>
      </w:r>
    </w:p>
    <w:p w14:paraId="3744FF8A" w14:textId="681DC919" w:rsidR="00400E4D" w:rsidRDefault="00F12E1E" w:rsidP="00585FF7">
      <w:pPr>
        <w:spacing w:after="120" w:line="360" w:lineRule="auto"/>
        <w:rPr>
          <w:rFonts w:eastAsia="Times New Roman" w:cstheme="minorHAnsi"/>
          <w:b/>
          <w:bCs/>
        </w:rPr>
      </w:pPr>
      <w:r w:rsidRPr="004D42AB">
        <w:rPr>
          <w:rFonts w:eastAsia="Times New Roman" w:cstheme="minorHAnsi"/>
        </w:rPr>
        <w:t>Several laws authorize the federal government to establish surveillance systems and collect surveillance data provided by state and local health departments.</w:t>
      </w:r>
      <w:r w:rsidR="00B43579">
        <w:rPr>
          <w:rFonts w:eastAsia="Times New Roman" w:cstheme="minorHAnsi"/>
        </w:rPr>
        <w:t xml:space="preserve"> For example, </w:t>
      </w:r>
      <w:r w:rsidR="00B43579">
        <w:rPr>
          <w:rFonts w:eastAsia="Times New Roman" w:cstheme="minorHAnsi"/>
        </w:rPr>
        <w:t xml:space="preserve">in the </w:t>
      </w:r>
      <w:r w:rsidR="00B43579" w:rsidRPr="00866D4B">
        <w:t xml:space="preserve">Pandemic and All-Hazards </w:t>
      </w:r>
      <w:r w:rsidR="00B43579" w:rsidRPr="00866D4B">
        <w:lastRenderedPageBreak/>
        <w:t>Preparedness and Advancing Innovation Act of 2019</w:t>
      </w:r>
      <w:r w:rsidR="00B43579">
        <w:rPr>
          <w:rStyle w:val="FootnoteReference"/>
          <w:rFonts w:eastAsia="Times New Roman" w:cstheme="minorHAnsi"/>
        </w:rPr>
        <w:footnoteReference w:id="4"/>
      </w:r>
      <w:r w:rsidR="00F44B7D">
        <w:t xml:space="preserve"> renewed federal programs to</w:t>
      </w:r>
      <w:r w:rsidR="001A6FEC" w:rsidRPr="001A6FEC">
        <w:t xml:space="preserve"> improve public health surveillance and reporting at the state and local level and to integrate federal, state, and local systems</w:t>
      </w:r>
      <w:r w:rsidR="001A6FEC">
        <w:t>.</w:t>
      </w:r>
      <w:r w:rsidR="004108D3">
        <w:t xml:space="preserve"> </w:t>
      </w:r>
      <w:r w:rsidR="0016012B">
        <w:t>G</w:t>
      </w:r>
      <w:r w:rsidR="004108D3" w:rsidRPr="004D42AB">
        <w:rPr>
          <w:rFonts w:eastAsia="Times New Roman" w:cstheme="minorHAnsi"/>
        </w:rPr>
        <w:t>enerally</w:t>
      </w:r>
      <w:r w:rsidR="0016012B">
        <w:rPr>
          <w:rFonts w:eastAsia="Times New Roman" w:cstheme="minorHAnsi"/>
        </w:rPr>
        <w:t xml:space="preserve">, STLT </w:t>
      </w:r>
      <w:r w:rsidR="004108D3" w:rsidRPr="004D42AB">
        <w:rPr>
          <w:rFonts w:eastAsia="Times New Roman" w:cstheme="minorHAnsi"/>
        </w:rPr>
        <w:t xml:space="preserve">reporting is voluntary and information is provided consistent with a </w:t>
      </w:r>
      <w:r w:rsidR="00696CD7" w:rsidRPr="004D42AB">
        <w:rPr>
          <w:rFonts w:eastAsia="Times New Roman" w:cstheme="minorHAnsi"/>
        </w:rPr>
        <w:t>jurisdiction’s</w:t>
      </w:r>
      <w:r w:rsidR="004108D3" w:rsidRPr="004D42AB">
        <w:rPr>
          <w:rFonts w:eastAsia="Times New Roman" w:cstheme="minorHAnsi"/>
        </w:rPr>
        <w:t xml:space="preserve"> law. </w:t>
      </w:r>
      <w:r w:rsidR="00BD6537">
        <w:rPr>
          <w:rFonts w:eastAsia="Times New Roman" w:cstheme="minorHAnsi"/>
        </w:rPr>
        <w:t xml:space="preserve">The federal government may </w:t>
      </w:r>
      <w:r w:rsidR="000B3A1B">
        <w:rPr>
          <w:rFonts w:eastAsia="Times New Roman" w:cstheme="minorHAnsi"/>
        </w:rPr>
        <w:t xml:space="preserve">fund </w:t>
      </w:r>
      <w:r w:rsidR="004108D3" w:rsidRPr="004D42AB">
        <w:rPr>
          <w:rFonts w:eastAsia="Times New Roman" w:cstheme="minorHAnsi"/>
        </w:rPr>
        <w:t>state and local governments to improve public health surveillance or engage in other activities to protect the public, conditioning funding on data sharing</w:t>
      </w:r>
      <w:r w:rsidR="00047002">
        <w:rPr>
          <w:rFonts w:eastAsia="Times New Roman" w:cstheme="minorHAnsi"/>
        </w:rPr>
        <w:t xml:space="preserve"> (e.g., di</w:t>
      </w:r>
      <w:r w:rsidR="00A60E4A">
        <w:rPr>
          <w:rFonts w:eastAsia="Times New Roman" w:cstheme="minorHAnsi"/>
        </w:rPr>
        <w:t>sease surveillance) or</w:t>
      </w:r>
      <w:r w:rsidR="009C3C60">
        <w:rPr>
          <w:rFonts w:eastAsia="Times New Roman" w:cstheme="minorHAnsi"/>
        </w:rPr>
        <w:t xml:space="preserve"> data privacy (e.g., cancer registries)</w:t>
      </w:r>
      <w:r w:rsidR="00991703">
        <w:rPr>
          <w:rFonts w:eastAsia="Times New Roman" w:cstheme="minorHAnsi"/>
        </w:rPr>
        <w:t>.</w:t>
      </w:r>
      <w:r w:rsidR="00972AC4" w:rsidRPr="00972AC4">
        <w:rPr>
          <w:rFonts w:eastAsia="Times New Roman" w:cstheme="minorHAnsi"/>
        </w:rPr>
        <w:t xml:space="preserve"> </w:t>
      </w:r>
      <w:r w:rsidR="00972AC4" w:rsidRPr="004D42AB">
        <w:rPr>
          <w:rFonts w:eastAsia="Times New Roman" w:cstheme="minorHAnsi"/>
        </w:rPr>
        <w:t>Federal laws may require that federal, state, and local agencies keep information confidential</w:t>
      </w:r>
      <w:r w:rsidR="00596B8A">
        <w:rPr>
          <w:rFonts w:eastAsia="Times New Roman" w:cstheme="minorHAnsi"/>
        </w:rPr>
        <w:t xml:space="preserve"> (e.g., location of vaccine and </w:t>
      </w:r>
      <w:r w:rsidR="0095706F">
        <w:rPr>
          <w:rFonts w:eastAsia="Times New Roman" w:cstheme="minorHAnsi"/>
        </w:rPr>
        <w:t>medical supply stockpiles)</w:t>
      </w:r>
      <w:r w:rsidR="00972AC4" w:rsidRPr="004D42AB">
        <w:rPr>
          <w:rFonts w:eastAsia="Times New Roman" w:cstheme="minorHAnsi"/>
        </w:rPr>
        <w:t>.</w:t>
      </w:r>
      <w:r w:rsidR="00972AC4">
        <w:rPr>
          <w:rStyle w:val="FootnoteReference"/>
          <w:rFonts w:eastAsia="Times New Roman" w:cstheme="minorHAnsi"/>
        </w:rPr>
        <w:footnoteReference w:id="5"/>
      </w:r>
      <w:r w:rsidR="00972AC4">
        <w:rPr>
          <w:rFonts w:eastAsia="Times New Roman" w:cstheme="minorHAnsi"/>
          <w:bdr w:val="none" w:sz="0" w:space="0" w:color="auto" w:frame="1"/>
        </w:rPr>
        <w:t xml:space="preserve"> </w:t>
      </w:r>
      <w:r w:rsidR="00A94B6F">
        <w:rPr>
          <w:rFonts w:eastAsia="Times New Roman" w:cstheme="minorHAnsi"/>
          <w:bdr w:val="none" w:sz="0" w:space="0" w:color="auto" w:frame="1"/>
        </w:rPr>
        <w:t>Two notable federal laws</w:t>
      </w:r>
      <w:r w:rsidR="00400E4D" w:rsidRPr="004D42AB">
        <w:rPr>
          <w:rFonts w:eastAsia="Times New Roman" w:cstheme="minorHAnsi"/>
        </w:rPr>
        <w:t xml:space="preserve"> also impact public health agencies' collection, use, sharing, and protection of personal and health information</w:t>
      </w:r>
      <w:r w:rsidR="00585FF7">
        <w:rPr>
          <w:rFonts w:eastAsia="Times New Roman" w:cstheme="minorHAnsi"/>
        </w:rPr>
        <w:t>:</w:t>
      </w:r>
    </w:p>
    <w:p w14:paraId="62AC1C3E" w14:textId="4CCC0C8C" w:rsidR="00F12E1E" w:rsidRPr="006266E5" w:rsidRDefault="0077680E" w:rsidP="006266E5">
      <w:pPr>
        <w:pStyle w:val="ListParagraph"/>
        <w:numPr>
          <w:ilvl w:val="0"/>
          <w:numId w:val="4"/>
        </w:numPr>
        <w:spacing w:after="120" w:line="360" w:lineRule="auto"/>
        <w:contextualSpacing w:val="0"/>
        <w:rPr>
          <w:rFonts w:eastAsia="Times New Roman" w:cstheme="minorHAnsi"/>
        </w:rPr>
      </w:pPr>
      <w:r w:rsidRPr="00EE1E6B">
        <w:rPr>
          <w:rFonts w:eastAsia="Times New Roman" w:cstheme="minorHAnsi"/>
          <w:b/>
          <w:bCs/>
        </w:rPr>
        <w:t>Health Insurance Portability and Accountability Act (HIPAA)</w:t>
      </w:r>
      <w:r w:rsidRPr="00C13DCB">
        <w:rPr>
          <w:vertAlign w:val="superscript"/>
        </w:rPr>
        <w:footnoteReference w:id="6"/>
      </w:r>
      <w:r w:rsidR="008B623B" w:rsidRPr="00EE1E6B">
        <w:rPr>
          <w:rFonts w:eastAsia="Times New Roman" w:cstheme="minorHAnsi"/>
          <w:b/>
          <w:bCs/>
        </w:rPr>
        <w:t xml:space="preserve"> – </w:t>
      </w:r>
      <w:r w:rsidR="00C7340E" w:rsidRPr="00EE1E6B">
        <w:rPr>
          <w:rFonts w:eastAsia="Times New Roman" w:cstheme="minorHAnsi"/>
          <w:b/>
          <w:bCs/>
        </w:rPr>
        <w:t>Privacy Rule</w:t>
      </w:r>
      <w:r w:rsidR="00C7340E" w:rsidRPr="00C13DCB">
        <w:rPr>
          <w:vertAlign w:val="superscript"/>
        </w:rPr>
        <w:footnoteReference w:id="7"/>
      </w:r>
      <w:r w:rsidR="00EE1E6B">
        <w:rPr>
          <w:rFonts w:eastAsia="Times New Roman" w:cstheme="minorHAnsi"/>
        </w:rPr>
        <w:t xml:space="preserve"> </w:t>
      </w:r>
      <w:r w:rsidR="006266E5">
        <w:rPr>
          <w:rFonts w:eastAsia="Times New Roman" w:cstheme="minorHAnsi"/>
        </w:rPr>
        <w:t>—</w:t>
      </w:r>
      <w:r w:rsidR="00C7340E" w:rsidRPr="006266E5">
        <w:rPr>
          <w:rFonts w:eastAsia="Times New Roman" w:cstheme="minorHAnsi"/>
        </w:rPr>
        <w:t xml:space="preserve"> </w:t>
      </w:r>
      <w:r w:rsidR="008B623B" w:rsidRPr="006266E5">
        <w:rPr>
          <w:rFonts w:eastAsia="Times New Roman" w:cstheme="minorHAnsi"/>
        </w:rPr>
        <w:t>E</w:t>
      </w:r>
      <w:r w:rsidR="00C7340E" w:rsidRPr="006266E5">
        <w:rPr>
          <w:rFonts w:eastAsia="Times New Roman" w:cstheme="minorHAnsi"/>
        </w:rPr>
        <w:t xml:space="preserve">stablished national privacy protections for individually identifiable health information. Depending on a public health agency's organization, the Privacy Rule may apply to a public health agency when it discloses individually identifiable information. The Privacy Rule is not intended to interfere with public health functions and contains provisions that allow public health agencies to collect identifiable health information and disclose it, including to law enforcement, when authorized by law or when necessary to protect the public from an imminent threat. </w:t>
      </w:r>
    </w:p>
    <w:p w14:paraId="6FF61462" w14:textId="4BFCAE46" w:rsidR="00104716" w:rsidRPr="00104716" w:rsidRDefault="00EE1E6B" w:rsidP="007303EF">
      <w:pPr>
        <w:pStyle w:val="ListParagraph"/>
        <w:numPr>
          <w:ilvl w:val="0"/>
          <w:numId w:val="4"/>
        </w:numPr>
        <w:spacing w:line="360" w:lineRule="auto"/>
        <w:rPr>
          <w:rFonts w:eastAsia="Times New Roman" w:cstheme="minorHAnsi"/>
        </w:rPr>
      </w:pPr>
      <w:r w:rsidRPr="00C13DCB">
        <w:rPr>
          <w:rFonts w:eastAsia="Times New Roman" w:cstheme="minorHAnsi"/>
          <w:b/>
          <w:bCs/>
        </w:rPr>
        <w:t>Family Educational Rights and Privacy Act (FERPA)</w:t>
      </w:r>
      <w:r w:rsidRPr="00C13DCB">
        <w:rPr>
          <w:rFonts w:eastAsia="Times New Roman" w:cstheme="minorHAnsi"/>
          <w:vertAlign w:val="superscript"/>
        </w:rPr>
        <w:footnoteReference w:id="8"/>
      </w:r>
      <w:r w:rsidR="00C13DCB">
        <w:rPr>
          <w:rFonts w:eastAsia="Times New Roman" w:cstheme="minorHAnsi"/>
        </w:rPr>
        <w:t xml:space="preserve"> – </w:t>
      </w:r>
      <w:r w:rsidR="004F4863" w:rsidRPr="004F4863">
        <w:rPr>
          <w:rFonts w:eastAsia="Times New Roman" w:cstheme="minorHAnsi"/>
        </w:rPr>
        <w:t xml:space="preserve">Privacy protections established by FERPA limit information that schools may provide to public health agencies about students. However, exceptions allow schools to provide certain directory information, such as student name and contact information, and </w:t>
      </w:r>
      <w:r w:rsidR="009D07A3">
        <w:rPr>
          <w:rFonts w:eastAsia="Times New Roman" w:cstheme="minorHAnsi"/>
        </w:rPr>
        <w:t xml:space="preserve">other </w:t>
      </w:r>
      <w:r w:rsidR="004F4863" w:rsidRPr="004F4863">
        <w:rPr>
          <w:rFonts w:eastAsia="Times New Roman" w:cstheme="minorHAnsi"/>
        </w:rPr>
        <w:t>necessary information to appropriate officials in cases of health and safety emergencies.</w:t>
      </w:r>
      <w:r w:rsidR="004F4863" w:rsidRPr="004F4863">
        <w:rPr>
          <w:rFonts w:eastAsia="Times New Roman" w:cstheme="minorHAnsi"/>
          <w:vertAlign w:val="superscript"/>
        </w:rPr>
        <w:footnoteReference w:id="9"/>
      </w:r>
    </w:p>
    <w:p w14:paraId="70A124DF" w14:textId="77777777" w:rsidR="00600C93" w:rsidRDefault="00600C93" w:rsidP="009F3A3F">
      <w:pPr>
        <w:spacing w:line="360" w:lineRule="auto"/>
      </w:pPr>
    </w:p>
    <w:p w14:paraId="014B5C33" w14:textId="7116C460" w:rsidR="000C2995" w:rsidRPr="00291452" w:rsidRDefault="000C2995" w:rsidP="000C2995">
      <w:pPr>
        <w:spacing w:line="360" w:lineRule="auto"/>
        <w:rPr>
          <w:b/>
          <w:bCs/>
          <w:sz w:val="24"/>
          <w:szCs w:val="24"/>
        </w:rPr>
      </w:pPr>
      <w:r>
        <w:rPr>
          <w:b/>
          <w:bCs/>
          <w:sz w:val="24"/>
          <w:szCs w:val="24"/>
        </w:rPr>
        <w:t>Public Health Information Sharing with Law Enforcement</w:t>
      </w:r>
    </w:p>
    <w:p w14:paraId="605BF47A" w14:textId="5C7075F4" w:rsidR="00AC3FF8" w:rsidRDefault="00467F2F" w:rsidP="00CD3D8B">
      <w:pPr>
        <w:spacing w:line="360" w:lineRule="auto"/>
        <w:rPr>
          <w:rFonts w:ascii="Calibri" w:eastAsia="Times New Roman" w:hAnsi="Calibri" w:cs="Calibri"/>
        </w:rPr>
      </w:pPr>
      <w:r>
        <w:rPr>
          <w:rFonts w:ascii="Calibri" w:eastAsia="Times New Roman" w:hAnsi="Calibri" w:cs="Calibri"/>
        </w:rPr>
        <w:t xml:space="preserve">Public health and law enforcement have different roles: </w:t>
      </w:r>
      <w:r w:rsidR="00AC3FF8" w:rsidRPr="0006474F">
        <w:rPr>
          <w:rFonts w:ascii="Calibri" w:eastAsia="Times New Roman" w:hAnsi="Calibri" w:cs="Calibri"/>
        </w:rPr>
        <w:t xml:space="preserve">Public health is responsible for protecting and promoting the health of communities through prevention, policy development, and population health </w:t>
      </w:r>
      <w:r w:rsidR="00AC3FF8" w:rsidRPr="0006474F">
        <w:rPr>
          <w:rFonts w:ascii="Calibri" w:eastAsia="Times New Roman" w:hAnsi="Calibri" w:cs="Calibri"/>
        </w:rPr>
        <w:lastRenderedPageBreak/>
        <w:t>surveillance. Law enforcement is responsible for identifying and apprehending people who have committed crimes or pose a threat to others.</w:t>
      </w:r>
      <w:r w:rsidR="00AC3FF8" w:rsidRPr="0006474F">
        <w:rPr>
          <w:rFonts w:ascii="Calibri" w:eastAsia="Times New Roman" w:hAnsi="Calibri" w:cs="Calibri"/>
          <w:bdr w:val="none" w:sz="0" w:space="0" w:color="auto" w:frame="1"/>
          <w:vertAlign w:val="superscript"/>
        </w:rPr>
        <w:footnoteReference w:id="10"/>
      </w:r>
      <w:r w:rsidR="0019111A">
        <w:rPr>
          <w:rFonts w:ascii="Calibri" w:eastAsia="Times New Roman" w:hAnsi="Calibri" w:cs="Calibri"/>
        </w:rPr>
        <w:t xml:space="preserve"> </w:t>
      </w:r>
      <w:r w:rsidR="00AC3FF8">
        <w:rPr>
          <w:rFonts w:ascii="Calibri" w:eastAsia="Times New Roman" w:hAnsi="Calibri" w:cs="Calibri"/>
          <w:bdr w:val="none" w:sz="0" w:space="0" w:color="auto" w:frame="1"/>
        </w:rPr>
        <w:t>Even c</w:t>
      </w:r>
      <w:r w:rsidR="00AC3FF8" w:rsidRPr="0006474F">
        <w:rPr>
          <w:rFonts w:ascii="Calibri" w:eastAsia="Times New Roman" w:hAnsi="Calibri" w:cs="Calibri"/>
        </w:rPr>
        <w:t xml:space="preserve">ommon terminology </w:t>
      </w:r>
      <w:r w:rsidR="00AC3FF8">
        <w:rPr>
          <w:rFonts w:ascii="Calibri" w:eastAsia="Times New Roman" w:hAnsi="Calibri" w:cs="Calibri"/>
        </w:rPr>
        <w:t xml:space="preserve">like “surveillance” and “investigation” </w:t>
      </w:r>
      <w:r w:rsidR="00AC3FF8" w:rsidRPr="0006474F">
        <w:rPr>
          <w:rFonts w:ascii="Calibri" w:eastAsia="Times New Roman" w:hAnsi="Calibri" w:cs="Calibri"/>
        </w:rPr>
        <w:t>used in public health and law enforcement reflects their different roles.</w:t>
      </w:r>
      <w:r w:rsidR="00CD3D8B">
        <w:rPr>
          <w:rFonts w:ascii="Calibri" w:eastAsia="Times New Roman" w:hAnsi="Calibri" w:cs="Calibri"/>
        </w:rPr>
        <w:t xml:space="preserve"> However, p</w:t>
      </w:r>
      <w:r w:rsidR="00C43FFB" w:rsidRPr="006C2493">
        <w:rPr>
          <w:rFonts w:ascii="Calibri" w:eastAsia="Times New Roman" w:hAnsi="Calibri" w:cs="Calibri"/>
        </w:rPr>
        <w:t xml:space="preserve">ublic health agencies and law enforcement share responsibility for protecting the public and promoting its welfare. Their cooperation and collaboration are crucial to all </w:t>
      </w:r>
      <w:r w:rsidR="00C43FFB">
        <w:rPr>
          <w:rFonts w:ascii="Calibri" w:eastAsia="Times New Roman" w:hAnsi="Calibri" w:cs="Calibri"/>
        </w:rPr>
        <w:t xml:space="preserve">aspects </w:t>
      </w:r>
      <w:r w:rsidR="00C43FFB" w:rsidRPr="006C2493">
        <w:rPr>
          <w:rFonts w:ascii="Calibri" w:eastAsia="Times New Roman" w:hAnsi="Calibri" w:cs="Calibri"/>
        </w:rPr>
        <w:t>of emergency management: preparedness, mitigation, response, and recovery. Whether a public health emergency is caused by natural, accidental, or intentional means, data about the emergency and its impacts are crucial for both public health and law enforcement to carry out their respective functions.</w:t>
      </w:r>
      <w:r w:rsidR="00B21583">
        <w:rPr>
          <w:rFonts w:ascii="Calibri" w:eastAsia="Times New Roman" w:hAnsi="Calibri" w:cs="Calibri"/>
        </w:rPr>
        <w:t xml:space="preserve"> </w:t>
      </w:r>
      <w:r w:rsidR="00B21583" w:rsidRPr="006C2493">
        <w:rPr>
          <w:rFonts w:ascii="Calibri" w:eastAsia="Times New Roman" w:hAnsi="Calibri" w:cs="Calibri"/>
        </w:rPr>
        <w:t xml:space="preserve">Public health officials must understand their legal authority and limitations in providing information to law enforcement. </w:t>
      </w:r>
      <w:r w:rsidR="00936865" w:rsidRPr="006C2493">
        <w:rPr>
          <w:rFonts w:ascii="Calibri" w:eastAsia="Times New Roman" w:hAnsi="Calibri" w:cs="Calibri"/>
        </w:rPr>
        <w:t>Public</w:t>
      </w:r>
      <w:r w:rsidR="00B21583" w:rsidRPr="006C2493">
        <w:rPr>
          <w:rFonts w:ascii="Calibri" w:eastAsia="Times New Roman" w:hAnsi="Calibri" w:cs="Calibri"/>
        </w:rPr>
        <w:t xml:space="preserve"> health agencies are subject to laws that provide for confidentiality of individually identifiable information</w:t>
      </w:r>
      <w:r w:rsidR="00B21583">
        <w:rPr>
          <w:rFonts w:ascii="Calibri" w:eastAsia="Times New Roman" w:hAnsi="Calibri" w:cs="Calibri"/>
        </w:rPr>
        <w:t>.</w:t>
      </w:r>
      <w:r w:rsidR="00AC3FF8">
        <w:rPr>
          <w:rFonts w:ascii="Calibri" w:eastAsia="Times New Roman" w:hAnsi="Calibri" w:cs="Calibri"/>
        </w:rPr>
        <w:t xml:space="preserve"> </w:t>
      </w:r>
      <w:r w:rsidR="00936865">
        <w:rPr>
          <w:rFonts w:ascii="Calibri" w:eastAsia="Times New Roman" w:hAnsi="Calibri" w:cs="Calibri"/>
        </w:rPr>
        <w:t>F</w:t>
      </w:r>
      <w:r w:rsidR="00AC3FF8" w:rsidRPr="00D96E95">
        <w:rPr>
          <w:rFonts w:ascii="Calibri" w:eastAsia="Times New Roman" w:hAnsi="Calibri" w:cs="Calibri"/>
        </w:rPr>
        <w:t>or some purposes, public health agencies may need to provide identifiable personal, epidemiological, or medical information about patients or other members of the public to enable law enforcement staff to do their job and protect themselves from potentially harmful exposure or carrying contaminants from a scene.</w:t>
      </w:r>
    </w:p>
    <w:p w14:paraId="67DDD127" w14:textId="69E688CA" w:rsidR="000C2995" w:rsidRDefault="000C2995" w:rsidP="009F3A3F">
      <w:pPr>
        <w:spacing w:line="360" w:lineRule="auto"/>
        <w:rPr>
          <w:rFonts w:ascii="Calibri" w:eastAsia="Times New Roman" w:hAnsi="Calibri" w:cs="Calibri"/>
        </w:rPr>
      </w:pPr>
    </w:p>
    <w:p w14:paraId="4C1A9FF3" w14:textId="19F061B6" w:rsidR="00B8108F" w:rsidRPr="00B8108F" w:rsidRDefault="00B8108F" w:rsidP="009F3A3F">
      <w:pPr>
        <w:spacing w:line="360" w:lineRule="auto"/>
        <w:rPr>
          <w:rFonts w:ascii="Calibri" w:eastAsia="Times New Roman" w:hAnsi="Calibri" w:cs="Calibri"/>
          <w:b/>
          <w:bCs/>
        </w:rPr>
      </w:pPr>
      <w:r w:rsidRPr="00B8108F">
        <w:rPr>
          <w:rFonts w:ascii="Calibri" w:eastAsia="Times New Roman" w:hAnsi="Calibri" w:cs="Calibri"/>
          <w:b/>
          <w:bCs/>
        </w:rPr>
        <w:t>Joint Investigations</w:t>
      </w:r>
    </w:p>
    <w:p w14:paraId="6922EDF1" w14:textId="291B8CF8" w:rsidR="00BB76DA" w:rsidRPr="00BB76DA" w:rsidRDefault="0007257B" w:rsidP="00BB76DA">
      <w:pPr>
        <w:spacing w:line="360" w:lineRule="auto"/>
        <w:textAlignment w:val="baseline"/>
        <w:rPr>
          <w:rFonts w:ascii="Calibri" w:eastAsia="Times New Roman" w:hAnsi="Calibri" w:cs="Calibri"/>
        </w:rPr>
      </w:pPr>
      <w:r w:rsidRPr="006C2493">
        <w:rPr>
          <w:rFonts w:ascii="Calibri" w:eastAsia="Times New Roman" w:hAnsi="Calibri" w:cs="Calibri"/>
        </w:rPr>
        <w:t xml:space="preserve">Public health agencies and law enforcement may </w:t>
      </w:r>
      <w:r>
        <w:rPr>
          <w:rFonts w:ascii="Calibri" w:eastAsia="Times New Roman" w:hAnsi="Calibri" w:cs="Calibri"/>
        </w:rPr>
        <w:t xml:space="preserve">share information and </w:t>
      </w:r>
      <w:r w:rsidRPr="006C2493">
        <w:rPr>
          <w:rFonts w:ascii="Calibri" w:eastAsia="Times New Roman" w:hAnsi="Calibri" w:cs="Calibri"/>
        </w:rPr>
        <w:t xml:space="preserve">conduct joint investigations </w:t>
      </w:r>
      <w:r w:rsidR="002074BD">
        <w:rPr>
          <w:rFonts w:ascii="Calibri" w:eastAsia="Times New Roman" w:hAnsi="Calibri" w:cs="Calibri"/>
        </w:rPr>
        <w:t>that</w:t>
      </w:r>
      <w:r w:rsidR="00CB588F">
        <w:rPr>
          <w:rFonts w:ascii="Calibri" w:eastAsia="Times New Roman" w:hAnsi="Calibri" w:cs="Calibri"/>
        </w:rPr>
        <w:t xml:space="preserve"> </w:t>
      </w:r>
      <w:r w:rsidR="00CB588F" w:rsidRPr="00824B6C">
        <w:rPr>
          <w:rFonts w:ascii="Calibri" w:eastAsia="Times New Roman" w:hAnsi="Calibri" w:cs="Calibri"/>
        </w:rPr>
        <w:t xml:space="preserve">may benefit both public health and law enforcement as they carry out their respective roles in protecting the public. Law enforcement may benefit from assistance and information from disease investigation experts. Law enforcement's information may help public health to prevent further spread of a disease or decrease the impact of future threats. </w:t>
      </w:r>
      <w:r w:rsidR="00495A98" w:rsidRPr="00824B6C">
        <w:rPr>
          <w:rFonts w:ascii="Calibri" w:eastAsia="Times New Roman" w:hAnsi="Calibri" w:cs="Calibri"/>
        </w:rPr>
        <w:t xml:space="preserve">Taking advantage of both law enforcement and public health perspectives, joint investigations may be more thorough and cover issues that may have been overlooked during separate investigations. </w:t>
      </w:r>
      <w:r w:rsidR="00CB588F" w:rsidRPr="00824B6C">
        <w:rPr>
          <w:rFonts w:ascii="Calibri" w:eastAsia="Times New Roman" w:hAnsi="Calibri" w:cs="Calibri"/>
        </w:rPr>
        <w:t>Working together strengthens relationships between public health professionals and officers, thereby facilitating future communication and information exchange.</w:t>
      </w:r>
      <w:r w:rsidR="00C06601">
        <w:rPr>
          <w:rFonts w:ascii="Calibri" w:eastAsia="Times New Roman" w:hAnsi="Calibri" w:cs="Calibri"/>
        </w:rPr>
        <w:t xml:space="preserve"> </w:t>
      </w:r>
      <w:r w:rsidR="00BB76DA" w:rsidRPr="00BB76DA">
        <w:rPr>
          <w:rFonts w:ascii="Calibri" w:eastAsia="Times New Roman" w:hAnsi="Calibri" w:cs="Calibri"/>
        </w:rPr>
        <w:t xml:space="preserve">While valuable, joint public health and criminal investigations also present risks and challenges. Community trust is essential to carry out public health's mission. Underserved communities that are traditionally in greatest need of public health services may be suspicious of collaboration </w:t>
      </w:r>
      <w:r w:rsidR="00BB76DA" w:rsidRPr="00BB76DA">
        <w:rPr>
          <w:rFonts w:ascii="Calibri" w:eastAsia="Times New Roman" w:hAnsi="Calibri" w:cs="Calibri"/>
        </w:rPr>
        <w:lastRenderedPageBreak/>
        <w:t>between public health and law enforcement.</w:t>
      </w:r>
      <w:r w:rsidR="00BB76DA" w:rsidRPr="00BB76DA">
        <w:rPr>
          <w:rFonts w:ascii="Calibri" w:eastAsia="Times New Roman" w:hAnsi="Calibri" w:cs="Calibri"/>
          <w:vertAlign w:val="superscript"/>
        </w:rPr>
        <w:footnoteReference w:id="11"/>
      </w:r>
      <w:r w:rsidR="00BB76DA" w:rsidRPr="00BB76DA">
        <w:rPr>
          <w:rFonts w:ascii="Calibri" w:eastAsia="Times New Roman" w:hAnsi="Calibri" w:cs="Calibri"/>
          <w:bdr w:val="none" w:sz="0" w:space="0" w:color="auto" w:frame="1"/>
        </w:rPr>
        <w:t xml:space="preserve"> </w:t>
      </w:r>
      <w:r w:rsidR="00BB76DA" w:rsidRPr="00BB76DA">
        <w:rPr>
          <w:rFonts w:ascii="Calibri" w:eastAsia="Times New Roman" w:hAnsi="Calibri" w:cs="Calibri"/>
        </w:rPr>
        <w:t>Issues may also arise due to tensions between public health's interest in protecting the population's health and law enforcement's interest in collecting evidence that will be admissible in criminal investigations.</w:t>
      </w:r>
      <w:r w:rsidR="00BB76DA" w:rsidRPr="00BB76DA">
        <w:rPr>
          <w:rFonts w:ascii="Calibri" w:eastAsia="Times New Roman" w:hAnsi="Calibri" w:cs="Calibri"/>
          <w:vertAlign w:val="superscript"/>
        </w:rPr>
        <w:footnoteReference w:id="12"/>
      </w:r>
      <w:r w:rsidR="00BB76DA" w:rsidRPr="00BB76DA">
        <w:rPr>
          <w:rFonts w:ascii="Calibri" w:eastAsia="Times New Roman" w:hAnsi="Calibri" w:cs="Calibri"/>
        </w:rPr>
        <w:t xml:space="preserve"> </w:t>
      </w:r>
    </w:p>
    <w:p w14:paraId="1112EBBC" w14:textId="77777777" w:rsidR="00BB76DA" w:rsidRPr="00BB76DA" w:rsidRDefault="00BB76DA" w:rsidP="00BB76DA">
      <w:pPr>
        <w:spacing w:line="360" w:lineRule="auto"/>
        <w:textAlignment w:val="baseline"/>
        <w:rPr>
          <w:rFonts w:ascii="Calibri" w:eastAsia="Times New Roman" w:hAnsi="Calibri" w:cs="Calibri"/>
        </w:rPr>
      </w:pPr>
    </w:p>
    <w:p w14:paraId="449336A4" w14:textId="38A60233" w:rsidR="00262FF8" w:rsidRDefault="00253510" w:rsidP="00262FF8">
      <w:pPr>
        <w:spacing w:line="360" w:lineRule="auto"/>
        <w:textAlignment w:val="baseline"/>
        <w:rPr>
          <w:rFonts w:ascii="Calibri" w:eastAsia="Times New Roman" w:hAnsi="Calibri" w:cs="Calibri"/>
        </w:rPr>
      </w:pPr>
      <w:r w:rsidRPr="00253510">
        <w:rPr>
          <w:rFonts w:ascii="Calibri" w:eastAsia="Times New Roman" w:hAnsi="Calibri" w:cs="Calibri"/>
        </w:rPr>
        <w:t>Joint investigations also raise legal challenges, because legal constraints for public health and criminal investigations differ. The U.S. Supreme Court has steadfastly upheld the broad powers of the state to protect its citizens from threats to public health.</w:t>
      </w:r>
      <w:r w:rsidRPr="00253510">
        <w:rPr>
          <w:rFonts w:ascii="Calibri" w:eastAsia="Times New Roman" w:hAnsi="Calibri" w:cs="Calibri"/>
          <w:vertAlign w:val="superscript"/>
        </w:rPr>
        <w:footnoteReference w:id="13"/>
      </w:r>
      <w:r w:rsidR="0059604C">
        <w:rPr>
          <w:rFonts w:ascii="Calibri" w:eastAsia="Times New Roman" w:hAnsi="Calibri" w:cs="Calibri"/>
        </w:rPr>
        <w:t xml:space="preserve"> </w:t>
      </w:r>
      <w:r w:rsidR="0059604C" w:rsidRPr="006C2493">
        <w:rPr>
          <w:rFonts w:ascii="Calibri" w:eastAsia="Times New Roman" w:hAnsi="Calibri" w:cs="Calibri"/>
        </w:rPr>
        <w:t>In contrast, law enforcement is subject to constitutional constraints that limit the state's powers to prosecute and punish individuals for crimes.</w:t>
      </w:r>
      <w:r w:rsidR="0059604C">
        <w:rPr>
          <w:rStyle w:val="FootnoteReference"/>
          <w:rFonts w:ascii="Calibri" w:eastAsia="Times New Roman" w:hAnsi="Calibri" w:cs="Calibri"/>
        </w:rPr>
        <w:footnoteReference w:id="14"/>
      </w:r>
      <w:r w:rsidR="00262FF8">
        <w:rPr>
          <w:rFonts w:ascii="Calibri" w:eastAsia="Times New Roman" w:hAnsi="Calibri" w:cs="Calibri"/>
        </w:rPr>
        <w:t xml:space="preserve"> </w:t>
      </w:r>
      <w:r w:rsidR="00262FF8" w:rsidRPr="006C2493">
        <w:rPr>
          <w:rFonts w:ascii="Calibri" w:eastAsia="Times New Roman" w:hAnsi="Calibri" w:cs="Calibri"/>
        </w:rPr>
        <w:t>In gathering evidence, the government must comply with the Fourth Amendment prohibition against unreasonable searches and seizures and the Fifth Amendment privilege against self-incrimination. It must also collect and process evidence with a proper chain of custody so that it can be authenticated by an expert and admitted into evidence. Evidence that is not obtained, handled, and secured to meet standards for criminal prosecution may be excluded from trial.</w:t>
      </w:r>
      <w:r w:rsidR="002651B9">
        <w:rPr>
          <w:rFonts w:ascii="Calibri" w:eastAsia="Times New Roman" w:hAnsi="Calibri" w:cs="Calibri"/>
        </w:rPr>
        <w:t xml:space="preserve"> </w:t>
      </w:r>
      <w:r w:rsidR="002651B9" w:rsidRPr="004F40C9">
        <w:rPr>
          <w:rFonts w:ascii="Calibri" w:eastAsia="Times New Roman" w:hAnsi="Calibri" w:cs="Calibri"/>
        </w:rPr>
        <w:t>Joint investigative training can develop effective work relationships between public health and law enforcement, promote an understanding of investigative methods, and facilitate communication and information exchange.</w:t>
      </w:r>
    </w:p>
    <w:p w14:paraId="688390DE" w14:textId="6AE71A3A" w:rsidR="0059604C" w:rsidRDefault="0059604C" w:rsidP="0059604C">
      <w:pPr>
        <w:spacing w:line="360" w:lineRule="auto"/>
        <w:textAlignment w:val="baseline"/>
        <w:rPr>
          <w:rFonts w:ascii="Calibri" w:eastAsia="Times New Roman" w:hAnsi="Calibri" w:cs="Calibri"/>
        </w:rPr>
      </w:pPr>
    </w:p>
    <w:p w14:paraId="3EE60D78" w14:textId="5953D4F4" w:rsidR="006F5987" w:rsidRPr="006F5987" w:rsidRDefault="006F5987" w:rsidP="0059604C">
      <w:pPr>
        <w:spacing w:line="360" w:lineRule="auto"/>
        <w:textAlignment w:val="baseline"/>
        <w:rPr>
          <w:rFonts w:ascii="Calibri" w:eastAsia="Times New Roman" w:hAnsi="Calibri" w:cs="Calibri"/>
          <w:b/>
          <w:bCs/>
        </w:rPr>
      </w:pPr>
      <w:r w:rsidRPr="006F5987">
        <w:rPr>
          <w:rFonts w:ascii="Calibri" w:eastAsia="Times New Roman" w:hAnsi="Calibri" w:cs="Calibri"/>
          <w:b/>
          <w:bCs/>
        </w:rPr>
        <w:t>Laws Governing Sharing and Privacy</w:t>
      </w:r>
    </w:p>
    <w:p w14:paraId="1BF57D44" w14:textId="446A4119" w:rsidR="007911EE" w:rsidRDefault="003D21C3" w:rsidP="007911EE">
      <w:pPr>
        <w:spacing w:line="360" w:lineRule="auto"/>
        <w:rPr>
          <w:rFonts w:ascii="Calibri" w:eastAsia="Times New Roman" w:hAnsi="Calibri" w:cs="Calibri"/>
          <w:b/>
          <w:bCs/>
        </w:rPr>
      </w:pPr>
      <w:r w:rsidRPr="003D21C3">
        <w:rPr>
          <w:rFonts w:ascii="Calibri" w:eastAsia="Times New Roman" w:hAnsi="Calibri" w:cs="Calibri"/>
        </w:rPr>
        <w:t>Public health agencies may be compelled to provide identifiable information to law enforcement, for example, by an FBI administrative order issued under the Patriot Act,</w:t>
      </w:r>
      <w:r w:rsidRPr="003D21C3">
        <w:rPr>
          <w:rFonts w:ascii="Calibri" w:eastAsia="Times New Roman" w:hAnsi="Calibri" w:cs="Calibri"/>
          <w:vertAlign w:val="superscript"/>
        </w:rPr>
        <w:footnoteReference w:id="15"/>
      </w:r>
      <w:r w:rsidRPr="003D21C3">
        <w:rPr>
          <w:rFonts w:ascii="Calibri" w:eastAsia="Times New Roman" w:hAnsi="Calibri" w:cs="Calibri"/>
          <w:bdr w:val="none" w:sz="0" w:space="0" w:color="auto" w:frame="1"/>
        </w:rPr>
        <w:t xml:space="preserve"> </w:t>
      </w:r>
      <w:r w:rsidRPr="003D21C3">
        <w:rPr>
          <w:rFonts w:ascii="Calibri" w:eastAsia="Times New Roman" w:hAnsi="Calibri" w:cs="Calibri"/>
        </w:rPr>
        <w:t>federal subpoena, or other legal process.</w:t>
      </w:r>
      <w:r w:rsidR="005A33BF">
        <w:rPr>
          <w:rFonts w:ascii="Calibri" w:eastAsia="Times New Roman" w:hAnsi="Calibri" w:cs="Calibri"/>
        </w:rPr>
        <w:t xml:space="preserve"> </w:t>
      </w:r>
      <w:r w:rsidR="004038C6" w:rsidRPr="004038C6">
        <w:rPr>
          <w:rFonts w:ascii="Calibri" w:eastAsia="Times New Roman" w:hAnsi="Calibri" w:cs="Calibri"/>
        </w:rPr>
        <w:t>The Privacy Rule adopted by the U.S. Department of Health and Human Services under the Health Insurance Portability and Accountability Act (HIPAA)</w:t>
      </w:r>
      <w:r w:rsidR="004038C6" w:rsidRPr="004038C6">
        <w:rPr>
          <w:rFonts w:ascii="Calibri" w:eastAsia="Times New Roman" w:hAnsi="Calibri" w:cs="Calibri"/>
          <w:vertAlign w:val="superscript"/>
        </w:rPr>
        <w:footnoteReference w:id="16"/>
      </w:r>
      <w:r w:rsidR="004038C6" w:rsidRPr="004038C6">
        <w:rPr>
          <w:rFonts w:ascii="Calibri" w:eastAsia="Times New Roman" w:hAnsi="Calibri" w:cs="Calibri"/>
          <w:bdr w:val="none" w:sz="0" w:space="0" w:color="auto" w:frame="1"/>
        </w:rPr>
        <w:t xml:space="preserve"> </w:t>
      </w:r>
      <w:r w:rsidR="004038C6" w:rsidRPr="004038C6">
        <w:rPr>
          <w:rFonts w:ascii="Calibri" w:eastAsia="Times New Roman" w:hAnsi="Calibri" w:cs="Calibri"/>
        </w:rPr>
        <w:t xml:space="preserve">established national minimum standards to protect the privacy of individually identifiable health information (referred to as "protected health </w:t>
      </w:r>
      <w:r w:rsidR="004038C6" w:rsidRPr="004038C6">
        <w:rPr>
          <w:rFonts w:ascii="Calibri" w:eastAsia="Times New Roman" w:hAnsi="Calibri" w:cs="Calibri"/>
        </w:rPr>
        <w:lastRenderedPageBreak/>
        <w:t>information" or "PHI") and gives patients an array of rights with respect to that information.</w:t>
      </w:r>
      <w:r w:rsidR="005A33BF">
        <w:rPr>
          <w:rFonts w:ascii="Calibri" w:eastAsia="Times New Roman" w:hAnsi="Calibri" w:cs="Calibri"/>
        </w:rPr>
        <w:t xml:space="preserve"> </w:t>
      </w:r>
      <w:r w:rsidR="006B6C37" w:rsidRPr="006B6C37">
        <w:rPr>
          <w:rFonts w:ascii="Calibri" w:eastAsia="Times New Roman" w:hAnsi="Calibri" w:cs="Calibri"/>
        </w:rPr>
        <w:t>Some public health agencies, or programs or services within public health agencies, are covered by the federal Privacy Rule.</w:t>
      </w:r>
      <w:r w:rsidR="006B6C37" w:rsidRPr="006B6C37">
        <w:rPr>
          <w:rFonts w:ascii="Calibri" w:eastAsia="Times New Roman" w:hAnsi="Calibri" w:cs="Calibri"/>
          <w:vertAlign w:val="superscript"/>
        </w:rPr>
        <w:footnoteReference w:id="17"/>
      </w:r>
      <w:r w:rsidR="006B6C37" w:rsidRPr="006B6C37">
        <w:rPr>
          <w:rFonts w:ascii="Calibri" w:eastAsia="Times New Roman" w:hAnsi="Calibri" w:cs="Calibri"/>
          <w:bdr w:val="none" w:sz="0" w:space="0" w:color="auto" w:frame="1"/>
        </w:rPr>
        <w:t xml:space="preserve"> </w:t>
      </w:r>
      <w:r w:rsidR="005A33BF" w:rsidRPr="006C2493">
        <w:rPr>
          <w:rFonts w:ascii="Calibri" w:eastAsia="Times New Roman" w:hAnsi="Calibri" w:cs="Calibri"/>
        </w:rPr>
        <w:t>To the extent that the Privacy Rule applies, it should allow public health agencies to disclose information to law enforcement in many situations that involve disease control, bioterrorism, or other public health threats. In this regard, the Privacy Rule is balanced to protect an individual's privacy while allowing important law enforcement functions to continue.</w:t>
      </w:r>
      <w:r w:rsidR="005A33BF">
        <w:rPr>
          <w:rFonts w:ascii="Calibri" w:eastAsia="Times New Roman" w:hAnsi="Calibri" w:cs="Calibri"/>
        </w:rPr>
        <w:t xml:space="preserve"> </w:t>
      </w:r>
      <w:r w:rsidR="007911EE">
        <w:rPr>
          <w:rFonts w:ascii="Calibri" w:eastAsia="Times New Roman" w:hAnsi="Calibri" w:cs="Calibri"/>
        </w:rPr>
        <w:t xml:space="preserve">Generally, STLT </w:t>
      </w:r>
      <w:r w:rsidR="007911EE" w:rsidRPr="006C2493">
        <w:rPr>
          <w:rFonts w:ascii="Calibri" w:eastAsia="Times New Roman" w:hAnsi="Calibri" w:cs="Calibri"/>
        </w:rPr>
        <w:t xml:space="preserve">law establishes the authority for reporting, collecting, using, and disclosing information for emergency preparedness and response. Before sharing information, </w:t>
      </w:r>
      <w:r w:rsidR="007911EE">
        <w:rPr>
          <w:rFonts w:ascii="Calibri" w:eastAsia="Times New Roman" w:hAnsi="Calibri" w:cs="Calibri"/>
        </w:rPr>
        <w:t>STLT</w:t>
      </w:r>
      <w:r w:rsidR="007911EE" w:rsidRPr="006C2493">
        <w:rPr>
          <w:rFonts w:ascii="Calibri" w:eastAsia="Times New Roman" w:hAnsi="Calibri" w:cs="Calibri"/>
        </w:rPr>
        <w:t xml:space="preserve"> law must be reviewed </w:t>
      </w:r>
      <w:proofErr w:type="gramStart"/>
      <w:r w:rsidR="007911EE" w:rsidRPr="006C2493">
        <w:rPr>
          <w:rFonts w:ascii="Calibri" w:eastAsia="Times New Roman" w:hAnsi="Calibri" w:cs="Calibri"/>
        </w:rPr>
        <w:t>with regard to</w:t>
      </w:r>
      <w:proofErr w:type="gramEnd"/>
      <w:r w:rsidR="007911EE" w:rsidRPr="006C2493">
        <w:rPr>
          <w:rFonts w:ascii="Calibri" w:eastAsia="Times New Roman" w:hAnsi="Calibri" w:cs="Calibri"/>
        </w:rPr>
        <w:t xml:space="preserve"> each type of information that is proposed to be shared. In addition to</w:t>
      </w:r>
      <w:r w:rsidR="007911EE">
        <w:rPr>
          <w:rFonts w:ascii="Calibri" w:eastAsia="Times New Roman" w:hAnsi="Calibri" w:cs="Calibri"/>
        </w:rPr>
        <w:t>–</w:t>
      </w:r>
      <w:r w:rsidR="007911EE" w:rsidRPr="006C2493">
        <w:rPr>
          <w:rFonts w:ascii="Calibri" w:eastAsia="Times New Roman" w:hAnsi="Calibri" w:cs="Calibri"/>
        </w:rPr>
        <w:t>or in lieu of</w:t>
      </w:r>
      <w:r w:rsidR="007911EE">
        <w:rPr>
          <w:rFonts w:ascii="Calibri" w:eastAsia="Times New Roman" w:hAnsi="Calibri" w:cs="Calibri"/>
        </w:rPr>
        <w:t>–</w:t>
      </w:r>
      <w:r w:rsidR="007911EE" w:rsidRPr="006C2493">
        <w:rPr>
          <w:rFonts w:ascii="Calibri" w:eastAsia="Times New Roman" w:hAnsi="Calibri" w:cs="Calibri"/>
        </w:rPr>
        <w:t>laws specific to certain types of data, laws that cover public health powers and responsibilities, health information, and privacy might also apply or provide context for data-specific laws.</w:t>
      </w:r>
    </w:p>
    <w:p w14:paraId="3BC7CD0A" w14:textId="33D358F2" w:rsidR="005A33BF" w:rsidRDefault="005A33BF" w:rsidP="005A33BF">
      <w:pPr>
        <w:spacing w:line="360" w:lineRule="auto"/>
        <w:rPr>
          <w:rFonts w:ascii="Calibri" w:eastAsia="Times New Roman" w:hAnsi="Calibri" w:cs="Calibri"/>
          <w:b/>
          <w:bCs/>
        </w:rPr>
      </w:pPr>
    </w:p>
    <w:p w14:paraId="544F35FD" w14:textId="6CC95797" w:rsidR="00046AE4" w:rsidRPr="00291452" w:rsidRDefault="00C50823" w:rsidP="00046AE4">
      <w:pPr>
        <w:spacing w:line="360" w:lineRule="auto"/>
        <w:rPr>
          <w:b/>
          <w:bCs/>
          <w:sz w:val="24"/>
          <w:szCs w:val="24"/>
        </w:rPr>
      </w:pPr>
      <w:bookmarkStart w:id="3" w:name="_Hlk35094193"/>
      <w:r>
        <w:rPr>
          <w:b/>
          <w:bCs/>
          <w:sz w:val="24"/>
          <w:szCs w:val="24"/>
        </w:rPr>
        <w:t xml:space="preserve">Information and the </w:t>
      </w:r>
      <w:r w:rsidR="00046AE4">
        <w:rPr>
          <w:b/>
          <w:bCs/>
          <w:sz w:val="24"/>
          <w:szCs w:val="24"/>
        </w:rPr>
        <w:t>Public Health Agency as</w:t>
      </w:r>
      <w:r>
        <w:rPr>
          <w:b/>
          <w:bCs/>
          <w:sz w:val="24"/>
          <w:szCs w:val="24"/>
        </w:rPr>
        <w:t xml:space="preserve"> an Employer</w:t>
      </w:r>
    </w:p>
    <w:bookmarkEnd w:id="3"/>
    <w:p w14:paraId="2677D655" w14:textId="38A47FF5" w:rsidR="00E23346" w:rsidRDefault="00855018" w:rsidP="006266F1">
      <w:pPr>
        <w:pStyle w:val="15para"/>
        <w:spacing w:after="120"/>
      </w:pPr>
      <w:r>
        <w:t>C</w:t>
      </w:r>
      <w:r w:rsidR="00CC04B3">
        <w:t>ollecting and using c</w:t>
      </w:r>
      <w:r>
        <w:t xml:space="preserve">ertain personal and health information about employees helps public health agencies and other employers prepare and respond to public health emergencies. </w:t>
      </w:r>
      <w:r w:rsidR="00A23610">
        <w:t xml:space="preserve">Such information helps </w:t>
      </w:r>
      <w:r w:rsidR="00E51295">
        <w:t xml:space="preserve">provide employees with </w:t>
      </w:r>
      <w:r w:rsidR="009B1CDE">
        <w:t>a safe and healthy work environment</w:t>
      </w:r>
      <w:r w:rsidR="00CA0951">
        <w:t xml:space="preserve"> as required under state laws and federal</w:t>
      </w:r>
      <w:r w:rsidR="009B08D1">
        <w:t xml:space="preserve"> requirements in the Occupational </w:t>
      </w:r>
      <w:r w:rsidR="00BE6F22">
        <w:t xml:space="preserve">Safety and Health Act (OSH Act). </w:t>
      </w:r>
      <w:r w:rsidR="0072762C">
        <w:t xml:space="preserve">However, when employers seek or obtain information about employees' health or illness, they must use care to ensure that their actions are </w:t>
      </w:r>
      <w:r w:rsidR="00ED748C">
        <w:t xml:space="preserve">also </w:t>
      </w:r>
      <w:r w:rsidR="0072762C">
        <w:t>consistent with laws that protect employees from discrimination based on disability</w:t>
      </w:r>
      <w:r w:rsidR="004343F4">
        <w:t>.</w:t>
      </w:r>
      <w:r w:rsidR="00CC2276">
        <w:t xml:space="preserve"> </w:t>
      </w:r>
      <w:proofErr w:type="gramStart"/>
      <w:r w:rsidR="00D7626D">
        <w:t>In particular, state</w:t>
      </w:r>
      <w:proofErr w:type="gramEnd"/>
      <w:r w:rsidR="00D7626D">
        <w:t xml:space="preserve"> and local public health agencies must understand information practices that are limited by the Americans with Disabilities Act of 1990 (ADA) and other federal or state laws that protect employees' health information.</w:t>
      </w:r>
      <w:r w:rsidR="00C15424">
        <w:t xml:space="preserve"> </w:t>
      </w:r>
    </w:p>
    <w:p w14:paraId="4388319A" w14:textId="0DD4501B" w:rsidR="00BC1E7F" w:rsidRDefault="00BC1E7F" w:rsidP="00BC1E7F">
      <w:pPr>
        <w:pStyle w:val="15para"/>
        <w:numPr>
          <w:ilvl w:val="0"/>
          <w:numId w:val="2"/>
        </w:numPr>
        <w:spacing w:after="120"/>
      </w:pPr>
      <w:r>
        <w:rPr>
          <w:b/>
          <w:bCs/>
          <w:bdr w:val="none" w:sz="0" w:space="0" w:color="auto" w:frame="1"/>
        </w:rPr>
        <w:t>Occupational Safety and Health Act</w:t>
      </w:r>
      <w:r>
        <w:t xml:space="preserve"> - The OHS Act requires employers to provide employees with a safe and healthful workplace by setting and enforcing standards.</w:t>
      </w:r>
      <w:r>
        <w:rPr>
          <w:rStyle w:val="FootnoteReference"/>
        </w:rPr>
        <w:footnoteReference w:id="18"/>
      </w:r>
      <w:r w:rsidR="00E4212C">
        <w:t xml:space="preserve"> </w:t>
      </w:r>
      <w:r w:rsidR="00E4212C" w:rsidRPr="006D5DF2">
        <w:t>The OSH Act covers most employees in the private sector;</w:t>
      </w:r>
      <w:r w:rsidR="00E4212C" w:rsidRPr="006D5DF2">
        <w:rPr>
          <w:vertAlign w:val="superscript"/>
        </w:rPr>
        <w:footnoteReference w:id="19"/>
      </w:r>
      <w:r w:rsidR="00E4212C" w:rsidRPr="006D5DF2">
        <w:t xml:space="preserve"> state and local government workers are excluded from federal coverage under the OSH Act</w:t>
      </w:r>
      <w:r w:rsidR="00E4212C" w:rsidRPr="006D5DF2">
        <w:rPr>
          <w:vertAlign w:val="superscript"/>
        </w:rPr>
        <w:footnoteReference w:id="20"/>
      </w:r>
      <w:r w:rsidR="004E0E67">
        <w:t xml:space="preserve">, but </w:t>
      </w:r>
      <w:r w:rsidR="00E30483">
        <w:t xml:space="preserve">they may be covered through an </w:t>
      </w:r>
      <w:r w:rsidR="00E4212C" w:rsidRPr="00E4212C">
        <w:t xml:space="preserve">state plan </w:t>
      </w:r>
      <w:r w:rsidR="000A2574">
        <w:t xml:space="preserve">approved by the </w:t>
      </w:r>
      <w:r w:rsidR="00FA6FAF">
        <w:lastRenderedPageBreak/>
        <w:t xml:space="preserve">Occupational </w:t>
      </w:r>
      <w:r w:rsidR="00675C5D">
        <w:t>Safety</w:t>
      </w:r>
      <w:r w:rsidR="00FA6FAF">
        <w:t xml:space="preserve"> and Health Administration (</w:t>
      </w:r>
      <w:r w:rsidR="00675C5D">
        <w:t>OSHA )</w:t>
      </w:r>
      <w:r w:rsidR="00E4212C" w:rsidRPr="00E4212C">
        <w:t>that covers private and state/local government workplaces</w:t>
      </w:r>
      <w:r w:rsidR="00E30483">
        <w:t xml:space="preserve"> or an </w:t>
      </w:r>
      <w:r w:rsidR="00E4212C" w:rsidRPr="00E4212C">
        <w:t>OSHA-approved state plan that covers state/local government workplaces only</w:t>
      </w:r>
      <w:r w:rsidR="00E464B1">
        <w:t xml:space="preserve">. </w:t>
      </w:r>
      <w:r w:rsidR="000712C4">
        <w:t xml:space="preserve">In states that are only covered by the federal </w:t>
      </w:r>
      <w:r w:rsidR="00E4212C" w:rsidRPr="00E4212C">
        <w:t>OSHA program</w:t>
      </w:r>
      <w:r w:rsidR="00276CD4">
        <w:t xml:space="preserve"> (</w:t>
      </w:r>
      <w:r w:rsidR="00DC5B77">
        <w:t xml:space="preserve">which </w:t>
      </w:r>
      <w:r w:rsidR="00E4212C" w:rsidRPr="00E4212C">
        <w:t>covers private workplaces only</w:t>
      </w:r>
      <w:r w:rsidR="00276CD4">
        <w:t>)</w:t>
      </w:r>
      <w:r w:rsidR="00DC5B77">
        <w:t xml:space="preserve">, </w:t>
      </w:r>
      <w:r w:rsidR="00E4212C" w:rsidRPr="00E4212C">
        <w:t>state</w:t>
      </w:r>
      <w:r w:rsidR="00DC5B77">
        <w:t>/</w:t>
      </w:r>
      <w:r w:rsidR="00E4212C" w:rsidRPr="00E4212C">
        <w:t>local government employees are generally covered by health and safety programs found in state statutes, regulations, and policies</w:t>
      </w:r>
      <w:r w:rsidR="00DC5B77">
        <w:t>.</w:t>
      </w:r>
      <w:r w:rsidR="001F7721">
        <w:t xml:space="preserve"> </w:t>
      </w:r>
      <w:r w:rsidR="001F7721" w:rsidRPr="00DD004D">
        <w:t>Employers operating under the federal program or a</w:t>
      </w:r>
      <w:r w:rsidR="00B0342A">
        <w:t>n</w:t>
      </w:r>
      <w:r w:rsidR="001F7721" w:rsidRPr="00DD004D">
        <w:t xml:space="preserve"> OSHA-approved state plan must comply with the OSH Act's general duty clause, which requires employers to keep their workplace free of serious recognized hazards</w:t>
      </w:r>
      <w:r w:rsidR="00B0342A">
        <w:t xml:space="preserve">, as well as specific standards </w:t>
      </w:r>
      <w:r w:rsidR="001F7721" w:rsidRPr="000B72C2">
        <w:t xml:space="preserve">such as hazardous material and blood-borne pathogen exposures. </w:t>
      </w:r>
      <w:r w:rsidR="0017275C" w:rsidRPr="000B72C2">
        <w:t>Depending on the nature of an employee's duties, employers may be required to conduct medical screening and surveillance programs to monitor employee health and workplace exposure levels.</w:t>
      </w:r>
      <w:r w:rsidR="0017275C">
        <w:t xml:space="preserve"> An employer must take care to protect its workforce from emergencies and other serious health threats, as well as exposure to specific hazards that might be encountered while protecting the public's health. That said, when seeking information about employees for this purpose, an employer must ensure that any medical inquiries or examinations are conducted in compliance with the Americans with Disabilities Act, as discussed below.</w:t>
      </w:r>
    </w:p>
    <w:p w14:paraId="66784DE4" w14:textId="32CEA795" w:rsidR="00647D78" w:rsidRPr="001A40AB" w:rsidRDefault="00647D78" w:rsidP="006266F1">
      <w:pPr>
        <w:pStyle w:val="15para"/>
        <w:numPr>
          <w:ilvl w:val="0"/>
          <w:numId w:val="2"/>
        </w:numPr>
        <w:spacing w:after="120"/>
        <w:rPr>
          <w:bdr w:val="none" w:sz="0" w:space="0" w:color="auto" w:frame="1"/>
        </w:rPr>
      </w:pPr>
      <w:r w:rsidRPr="00E950DC">
        <w:rPr>
          <w:b/>
          <w:bCs/>
          <w:bdr w:val="none" w:sz="0" w:space="0" w:color="auto" w:frame="1"/>
        </w:rPr>
        <w:t>Americans with Disabilities Act of 1990 (ADA)</w:t>
      </w:r>
      <w:r w:rsidRPr="00E950DC">
        <w:rPr>
          <w:bdr w:val="none" w:sz="0" w:space="0" w:color="auto" w:frame="1"/>
        </w:rPr>
        <w:t xml:space="preserve"> - </w:t>
      </w:r>
      <w:r>
        <w:t>ADA is a broad civil rights law that prohibits discrimination based on disability.</w:t>
      </w:r>
      <w:r>
        <w:rPr>
          <w:rStyle w:val="FootnoteReference"/>
        </w:rPr>
        <w:footnoteReference w:id="21"/>
      </w:r>
      <w:r>
        <w:t xml:space="preserve"> </w:t>
      </w:r>
      <w:r w:rsidRPr="00D101F1">
        <w:t>Although the federal Privacy Rule,</w:t>
      </w:r>
      <w:r w:rsidRPr="00D101F1">
        <w:rPr>
          <w:vertAlign w:val="superscript"/>
        </w:rPr>
        <w:footnoteReference w:id="22"/>
      </w:r>
      <w:r w:rsidRPr="00D101F1">
        <w:rPr>
          <w:vertAlign w:val="superscript"/>
        </w:rPr>
        <w:t xml:space="preserve"> </w:t>
      </w:r>
      <w:r w:rsidRPr="00D101F1">
        <w:t>adopted under the Health Insurance Portability and Accountability Act (HIPAA),</w:t>
      </w:r>
      <w:r w:rsidRPr="00D101F1">
        <w:rPr>
          <w:vertAlign w:val="superscript"/>
        </w:rPr>
        <w:footnoteReference w:id="23"/>
      </w:r>
      <w:r w:rsidRPr="00D101F1">
        <w:t xml:space="preserve"> sets national standards to protect identifiable health information, the rule does not protect information that is included in employment records held by a covered entity in its role as employer.</w:t>
      </w:r>
      <w:r w:rsidRPr="00D101F1">
        <w:rPr>
          <w:vertAlign w:val="superscript"/>
        </w:rPr>
        <w:footnoteReference w:id="24"/>
      </w:r>
      <w:r w:rsidR="00074B64">
        <w:t xml:space="preserve"> </w:t>
      </w:r>
      <w:r>
        <w:t>The ADA makes it unlawful to discriminate in employment against a qualified individual with a disability.</w:t>
      </w:r>
      <w:r w:rsidRPr="00E950DC">
        <w:rPr>
          <w:vertAlign w:val="superscript"/>
        </w:rPr>
        <w:t xml:space="preserve">3 </w:t>
      </w:r>
      <w:r>
        <w:t>ADA’s prohibition on disability discrimination in employment applies to most private employers (Title I) and to all state and local government agencies (Title II).</w:t>
      </w:r>
      <w:r w:rsidRPr="00E950DC">
        <w:rPr>
          <w:vertAlign w:val="superscript"/>
        </w:rPr>
        <w:t xml:space="preserve">2 </w:t>
      </w:r>
      <w:r>
        <w:t>To protect job applicants and employees from discrimination, ADA restricts questions that an employer may ask individuals about medical problems or disabilities, and restricts requests for medical examinations.</w:t>
      </w:r>
      <w:r w:rsidRPr="00E950DC">
        <w:rPr>
          <w:vertAlign w:val="superscript"/>
        </w:rPr>
        <w:t>5</w:t>
      </w:r>
      <w:r w:rsidR="00E14B26">
        <w:t xml:space="preserve"> </w:t>
      </w:r>
      <w:r>
        <w:t xml:space="preserve">These restrictions affect information that public health agencies and other employers may obtain related to their workforce when preparing for a public health emergency to ensure continuity of operations and effective response. </w:t>
      </w:r>
      <w:r w:rsidRPr="00967C71">
        <w:t xml:space="preserve">ADA does not prevent employers from collecting and appropriately using information necessary for a comprehensive </w:t>
      </w:r>
      <w:r w:rsidRPr="00967C71">
        <w:lastRenderedPageBreak/>
        <w:t>emergency evacuation plan. An employer may ask employees whether they will require assistance in the event of an evacuation and, if so, what type of assistance they would need.</w:t>
      </w:r>
      <w:r>
        <w:t xml:space="preserve"> ADA requires that employers reasonably accommodate an otherwise qualified applicant or employee's </w:t>
      </w:r>
      <w:proofErr w:type="gramStart"/>
      <w:r>
        <w:t>known physical or mental limitations</w:t>
      </w:r>
      <w:proofErr w:type="gramEnd"/>
      <w:r>
        <w:t xml:space="preserve"> unless doing so would impose an undue hardship on the operation of the employer's business. </w:t>
      </w:r>
      <w:r w:rsidR="00C62CED">
        <w:t xml:space="preserve">Depending on the nature of an emergency event, </w:t>
      </w:r>
      <w:r>
        <w:t>reasonable accommodation may include, but is not limited to, telework, altered work schedules, and infection control strategies.</w:t>
      </w:r>
      <w:r>
        <w:rPr>
          <w:rStyle w:val="FootnoteReference"/>
        </w:rPr>
        <w:footnoteReference w:id="25"/>
      </w:r>
      <w:r>
        <w:t xml:space="preserve"> </w:t>
      </w:r>
    </w:p>
    <w:p w14:paraId="53BD2427" w14:textId="0FB21C97" w:rsidR="009E4ABF" w:rsidRPr="009E4ABF" w:rsidRDefault="001A40AB" w:rsidP="00824CD7">
      <w:pPr>
        <w:pStyle w:val="15para"/>
        <w:numPr>
          <w:ilvl w:val="0"/>
          <w:numId w:val="2"/>
        </w:numPr>
        <w:rPr>
          <w:bdr w:val="none" w:sz="0" w:space="0" w:color="auto" w:frame="1"/>
        </w:rPr>
      </w:pPr>
      <w:r w:rsidRPr="00AC5173">
        <w:rPr>
          <w:b/>
          <w:bCs/>
          <w:bdr w:val="none" w:sz="0" w:space="0" w:color="auto" w:frame="1"/>
        </w:rPr>
        <w:t>Jurisdicti</w:t>
      </w:r>
      <w:r w:rsidR="00B22364" w:rsidRPr="00AC5173">
        <w:rPr>
          <w:b/>
          <w:bCs/>
          <w:bdr w:val="none" w:sz="0" w:space="0" w:color="auto" w:frame="1"/>
        </w:rPr>
        <w:t>on-specific laws</w:t>
      </w:r>
      <w:r w:rsidR="00B22364" w:rsidRPr="00AC5173">
        <w:rPr>
          <w:bdr w:val="none" w:sz="0" w:space="0" w:color="auto" w:frame="1"/>
        </w:rPr>
        <w:t xml:space="preserve"> - </w:t>
      </w:r>
      <w:r w:rsidR="009E4ABF" w:rsidRPr="00AC5173">
        <w:rPr>
          <w:bdr w:val="none" w:sz="0" w:space="0" w:color="auto" w:frame="1"/>
        </w:rPr>
        <w:t xml:space="preserve">A public health agency must identify, understand, and comply with all </w:t>
      </w:r>
      <w:r w:rsidR="00F7758A" w:rsidRPr="00AC5173">
        <w:rPr>
          <w:bdr w:val="none" w:sz="0" w:space="0" w:color="auto" w:frame="1"/>
        </w:rPr>
        <w:t>relevant STLT laws</w:t>
      </w:r>
      <w:r w:rsidR="009E4ABF" w:rsidRPr="00AC5173">
        <w:rPr>
          <w:bdr w:val="none" w:sz="0" w:space="0" w:color="auto" w:frame="1"/>
        </w:rPr>
        <w:t xml:space="preserve"> that govern the collection, use, disclosure, and protection of employee health information</w:t>
      </w:r>
      <w:r w:rsidR="00736F0B" w:rsidRPr="00AC5173">
        <w:rPr>
          <w:bdr w:val="none" w:sz="0" w:space="0" w:color="auto" w:frame="1"/>
        </w:rPr>
        <w:t>, inc</w:t>
      </w:r>
      <w:r w:rsidR="0091266E" w:rsidRPr="00AC5173">
        <w:rPr>
          <w:bdr w:val="none" w:sz="0" w:space="0" w:color="auto" w:frame="1"/>
        </w:rPr>
        <w:t>luding</w:t>
      </w:r>
      <w:r w:rsidR="000B6807" w:rsidRPr="00AC5173">
        <w:rPr>
          <w:bdr w:val="none" w:sz="0" w:space="0" w:color="auto" w:frame="1"/>
        </w:rPr>
        <w:t>: (1) laws g</w:t>
      </w:r>
      <w:r w:rsidR="009E4ABF" w:rsidRPr="009E4ABF">
        <w:rPr>
          <w:bdr w:val="none" w:sz="0" w:space="0" w:color="auto" w:frame="1"/>
        </w:rPr>
        <w:t>overning public health agencies</w:t>
      </w:r>
      <w:r w:rsidR="000B6807" w:rsidRPr="00AC5173">
        <w:rPr>
          <w:bdr w:val="none" w:sz="0" w:space="0" w:color="auto" w:frame="1"/>
        </w:rPr>
        <w:t xml:space="preserve"> and health facilities; (2) </w:t>
      </w:r>
      <w:r w:rsidR="009E4ABF" w:rsidRPr="009E4ABF">
        <w:rPr>
          <w:bdr w:val="none" w:sz="0" w:space="0" w:color="auto" w:frame="1"/>
        </w:rPr>
        <w:t>privacy and health information privacy laws</w:t>
      </w:r>
      <w:r w:rsidR="004A084C" w:rsidRPr="00AC5173">
        <w:rPr>
          <w:bdr w:val="none" w:sz="0" w:space="0" w:color="auto" w:frame="1"/>
        </w:rPr>
        <w:t xml:space="preserve">; </w:t>
      </w:r>
      <w:r w:rsidR="00D632EB" w:rsidRPr="00AC5173">
        <w:rPr>
          <w:bdr w:val="none" w:sz="0" w:space="0" w:color="auto" w:frame="1"/>
        </w:rPr>
        <w:t xml:space="preserve">(3) </w:t>
      </w:r>
      <w:r w:rsidR="004A084C" w:rsidRPr="00AC5173">
        <w:rPr>
          <w:bdr w:val="none" w:sz="0" w:space="0" w:color="auto" w:frame="1"/>
        </w:rPr>
        <w:t>d</w:t>
      </w:r>
      <w:r w:rsidR="009E4ABF" w:rsidRPr="009E4ABF">
        <w:rPr>
          <w:bdr w:val="none" w:sz="0" w:space="0" w:color="auto" w:frame="1"/>
        </w:rPr>
        <w:t>ata collection and management laws, including laws that apply to electronic information</w:t>
      </w:r>
      <w:r w:rsidR="004A084C" w:rsidRPr="00AC5173">
        <w:rPr>
          <w:bdr w:val="none" w:sz="0" w:space="0" w:color="auto" w:frame="1"/>
        </w:rPr>
        <w:t xml:space="preserve">; </w:t>
      </w:r>
      <w:r w:rsidR="00D632EB" w:rsidRPr="00AC5173">
        <w:rPr>
          <w:bdr w:val="none" w:sz="0" w:space="0" w:color="auto" w:frame="1"/>
        </w:rPr>
        <w:t xml:space="preserve">(4) </w:t>
      </w:r>
      <w:r w:rsidR="004A084C" w:rsidRPr="00AC5173">
        <w:rPr>
          <w:bdr w:val="none" w:sz="0" w:space="0" w:color="auto" w:frame="1"/>
        </w:rPr>
        <w:t>f</w:t>
      </w:r>
      <w:r w:rsidR="009E4ABF" w:rsidRPr="009E4ABF">
        <w:rPr>
          <w:bdr w:val="none" w:sz="0" w:space="0" w:color="auto" w:frame="1"/>
        </w:rPr>
        <w:t>reedom of information laws</w:t>
      </w:r>
      <w:r w:rsidR="004A084C" w:rsidRPr="00AC5173">
        <w:rPr>
          <w:bdr w:val="none" w:sz="0" w:space="0" w:color="auto" w:frame="1"/>
        </w:rPr>
        <w:t xml:space="preserve">; </w:t>
      </w:r>
      <w:r w:rsidR="00D632EB" w:rsidRPr="00AC5173">
        <w:rPr>
          <w:bdr w:val="none" w:sz="0" w:space="0" w:color="auto" w:frame="1"/>
        </w:rPr>
        <w:t xml:space="preserve">(5) </w:t>
      </w:r>
      <w:r w:rsidR="004A084C" w:rsidRPr="00AC5173">
        <w:rPr>
          <w:bdr w:val="none" w:sz="0" w:space="0" w:color="auto" w:frame="1"/>
        </w:rPr>
        <w:t>e</w:t>
      </w:r>
      <w:r w:rsidR="009E4ABF" w:rsidRPr="009E4ABF">
        <w:rPr>
          <w:bdr w:val="none" w:sz="0" w:space="0" w:color="auto" w:frame="1"/>
        </w:rPr>
        <w:t>mergency preparedness laws</w:t>
      </w:r>
      <w:r w:rsidR="00D632EB" w:rsidRPr="00AC5173">
        <w:rPr>
          <w:bdr w:val="none" w:sz="0" w:space="0" w:color="auto" w:frame="1"/>
        </w:rPr>
        <w:t>;</w:t>
      </w:r>
      <w:r w:rsidR="00AC5173" w:rsidRPr="00AC5173">
        <w:rPr>
          <w:bdr w:val="none" w:sz="0" w:space="0" w:color="auto" w:frame="1"/>
        </w:rPr>
        <w:t xml:space="preserve"> </w:t>
      </w:r>
      <w:r w:rsidR="009E4ABF" w:rsidRPr="009E4ABF">
        <w:rPr>
          <w:bdr w:val="none" w:sz="0" w:space="0" w:color="auto" w:frame="1"/>
        </w:rPr>
        <w:t>occupational safety and health laws</w:t>
      </w:r>
      <w:r w:rsidR="00AC5173" w:rsidRPr="00AC5173">
        <w:rPr>
          <w:bdr w:val="none" w:sz="0" w:space="0" w:color="auto" w:frame="1"/>
        </w:rPr>
        <w:t xml:space="preserve">; and (6) </w:t>
      </w:r>
      <w:r w:rsidR="009E4ABF" w:rsidRPr="009E4ABF">
        <w:rPr>
          <w:bdr w:val="none" w:sz="0" w:space="0" w:color="auto" w:frame="1"/>
        </w:rPr>
        <w:t>common law (i.e. law developed through court opinions).</w:t>
      </w:r>
    </w:p>
    <w:p w14:paraId="59A34708" w14:textId="77777777" w:rsidR="00F418CC" w:rsidRDefault="00F418CC" w:rsidP="00152333">
      <w:pPr>
        <w:pStyle w:val="15para"/>
      </w:pPr>
    </w:p>
    <w:p w14:paraId="68107F30" w14:textId="55594A29" w:rsidR="002F2000" w:rsidRDefault="00F418CC" w:rsidP="00152333">
      <w:pPr>
        <w:pStyle w:val="15para"/>
      </w:pPr>
      <w:r>
        <w:t xml:space="preserve">Monitoring employees' health helps employers provide safe workplaces, preventing the spread of disease among employees and to the public and ensuring that employees obtain treatment. However, ADA-which protects people against discrimination because of disability-restricts public health agencies' ability to ask employees about their health or to require medical examinations. A public health agency must understand these limitations' nature and scope so that it may effectively carry out its responsibilities to all employees and the public, </w:t>
      </w:r>
      <w:proofErr w:type="gramStart"/>
      <w:r>
        <w:t>whether or not</w:t>
      </w:r>
      <w:proofErr w:type="gramEnd"/>
      <w:r>
        <w:t xml:space="preserve"> an emergency exists.</w:t>
      </w:r>
      <w:r w:rsidR="002800DC">
        <w:t xml:space="preserve"> </w:t>
      </w:r>
      <w:r w:rsidR="007261B4">
        <w:t xml:space="preserve">In preparation for an emergency, </w:t>
      </w:r>
      <w:r>
        <w:t xml:space="preserve">tools such as </w:t>
      </w:r>
      <w:r w:rsidR="007261B4">
        <w:t>e</w:t>
      </w:r>
      <w:r w:rsidR="00855018">
        <w:t xml:space="preserve">mployee surveys </w:t>
      </w:r>
      <w:r w:rsidR="00730658">
        <w:t xml:space="preserve">which </w:t>
      </w:r>
      <w:r w:rsidR="000F4A66">
        <w:t xml:space="preserve">inquire generally about </w:t>
      </w:r>
      <w:r w:rsidR="009F564A">
        <w:t xml:space="preserve">medical and nonmedical considerations </w:t>
      </w:r>
      <w:r w:rsidR="00855018">
        <w:t>may help public health agencies determine potential absences from work that impact vital public health functions and emergency response efforts.</w:t>
      </w:r>
      <w:r w:rsidR="006518BA">
        <w:rPr>
          <w:rStyle w:val="FootnoteReference"/>
        </w:rPr>
        <w:footnoteReference w:id="26"/>
      </w:r>
      <w:r w:rsidR="00855018">
        <w:t xml:space="preserve"> </w:t>
      </w:r>
    </w:p>
    <w:p w14:paraId="134736F6" w14:textId="77777777" w:rsidR="002F2000" w:rsidRDefault="002F2000" w:rsidP="00152333">
      <w:pPr>
        <w:pStyle w:val="15para"/>
      </w:pPr>
    </w:p>
    <w:sectPr w:rsidR="002F200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ED9F0" w14:textId="77777777" w:rsidR="00DA5893" w:rsidRDefault="00DA5893" w:rsidP="00B90EB6">
      <w:r>
        <w:separator/>
      </w:r>
    </w:p>
  </w:endnote>
  <w:endnote w:type="continuationSeparator" w:id="0">
    <w:p w14:paraId="5DB56A67" w14:textId="77777777" w:rsidR="00DA5893" w:rsidRDefault="00DA5893" w:rsidP="00B9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870913"/>
      <w:docPartObj>
        <w:docPartGallery w:val="Page Numbers (Bottom of Page)"/>
        <w:docPartUnique/>
      </w:docPartObj>
    </w:sdtPr>
    <w:sdtEndPr>
      <w:rPr>
        <w:noProof/>
      </w:rPr>
    </w:sdtEndPr>
    <w:sdtContent>
      <w:p w14:paraId="421B3114" w14:textId="61442FF6" w:rsidR="00DF0C0C" w:rsidRDefault="00DF0C0C" w:rsidP="00DF0C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EBDBB" w14:textId="77777777" w:rsidR="00DA5893" w:rsidRDefault="00DA5893" w:rsidP="00B90EB6">
      <w:r>
        <w:separator/>
      </w:r>
    </w:p>
  </w:footnote>
  <w:footnote w:type="continuationSeparator" w:id="0">
    <w:p w14:paraId="05D18F9F" w14:textId="77777777" w:rsidR="00DA5893" w:rsidRDefault="00DA5893" w:rsidP="00B90EB6">
      <w:r>
        <w:continuationSeparator/>
      </w:r>
    </w:p>
  </w:footnote>
  <w:footnote w:id="1">
    <w:p w14:paraId="5DC18002" w14:textId="05D1401F" w:rsidR="00AE1F78" w:rsidRPr="00426FA1" w:rsidRDefault="00426FA1" w:rsidP="00426FA1">
      <w:pPr>
        <w:tabs>
          <w:tab w:val="left" w:pos="686"/>
        </w:tabs>
        <w:rPr>
          <w:b/>
          <w:bCs/>
          <w:sz w:val="20"/>
          <w:szCs w:val="20"/>
        </w:rPr>
      </w:pPr>
      <w:r w:rsidRPr="00977BBA">
        <w:rPr>
          <w:b/>
          <w:bCs/>
          <w:sz w:val="20"/>
          <w:szCs w:val="20"/>
          <w:highlight w:val="yellow"/>
        </w:rPr>
        <w:t>Footnotes will be streamlined and edited to style guide once text is finalized</w:t>
      </w:r>
    </w:p>
    <w:p w14:paraId="7D337CF9" w14:textId="07AB9D62" w:rsidR="000A05E4" w:rsidRDefault="000A05E4" w:rsidP="000A05E4">
      <w:pPr>
        <w:pStyle w:val="FootnoteText"/>
      </w:pPr>
      <w:r>
        <w:rPr>
          <w:rStyle w:val="FootnoteReference"/>
        </w:rPr>
        <w:footnoteRef/>
      </w:r>
      <w:r>
        <w:t xml:space="preserve"> </w:t>
      </w:r>
      <w:r w:rsidRPr="007D3046">
        <w:t>Whalen v. Roe, 429 U.S. 589 (1977).</w:t>
      </w:r>
    </w:p>
  </w:footnote>
  <w:footnote w:id="2">
    <w:p w14:paraId="7EDBB365" w14:textId="77777777" w:rsidR="00BD5FBA" w:rsidRDefault="00BD5FBA" w:rsidP="00BD5FBA">
      <w:pPr>
        <w:pStyle w:val="FootnoteText"/>
      </w:pPr>
      <w:r>
        <w:rPr>
          <w:rStyle w:val="FootnoteReference"/>
        </w:rPr>
        <w:footnoteRef/>
      </w:r>
      <w:r>
        <w:t xml:space="preserve"> </w:t>
      </w:r>
      <w:r w:rsidRPr="003A22A6">
        <w:t xml:space="preserve">Florida v. Jimeno, 500 U.S. 248 (1991). </w:t>
      </w:r>
    </w:p>
  </w:footnote>
  <w:footnote w:id="3">
    <w:p w14:paraId="4E247CE9" w14:textId="77777777" w:rsidR="007B191D" w:rsidRDefault="007B191D" w:rsidP="007B191D">
      <w:pPr>
        <w:pStyle w:val="FootnoteText"/>
      </w:pPr>
      <w:r>
        <w:rPr>
          <w:rStyle w:val="FootnoteReference"/>
        </w:rPr>
        <w:footnoteRef/>
      </w:r>
      <w:bookmarkStart w:id="0" w:name="_Hlk34508923"/>
      <w:r>
        <w:t xml:space="preserve"> </w:t>
      </w:r>
      <w:r w:rsidRPr="003C3BE4">
        <w:t xml:space="preserve">Ferguson v. City of Charleston, 532 U.S. 67, 121 S. Ct. 1281, 149 L. Ed. 2d.205 (2001). </w:t>
      </w:r>
      <w:bookmarkEnd w:id="0"/>
    </w:p>
  </w:footnote>
  <w:footnote w:id="4">
    <w:p w14:paraId="44851F40" w14:textId="77777777" w:rsidR="00B43579" w:rsidRDefault="00B43579" w:rsidP="00B43579">
      <w:pPr>
        <w:pStyle w:val="FootnoteText"/>
      </w:pPr>
      <w:r>
        <w:rPr>
          <w:rStyle w:val="FootnoteReference"/>
        </w:rPr>
        <w:footnoteRef/>
      </w:r>
      <w:r>
        <w:t xml:space="preserve"> </w:t>
      </w:r>
      <w:r w:rsidRPr="00866D4B">
        <w:t>Pandemic and All-Hazards Preparedness and Advancing Innovation Act of 2019, Pub. L. No. 116-22.</w:t>
      </w:r>
    </w:p>
  </w:footnote>
  <w:footnote w:id="5">
    <w:p w14:paraId="79E5B7C0" w14:textId="77777777" w:rsidR="00972AC4" w:rsidRDefault="00972AC4" w:rsidP="00972AC4">
      <w:pPr>
        <w:pStyle w:val="FootnoteText"/>
      </w:pPr>
      <w:r>
        <w:rPr>
          <w:rStyle w:val="FootnoteReference"/>
        </w:rPr>
        <w:footnoteRef/>
      </w:r>
      <w:r>
        <w:t xml:space="preserve"> </w:t>
      </w:r>
      <w:r w:rsidRPr="00BF0E5F">
        <w:t>Homefront Confidential. "Prepared by How the War on Terrorism Affects Access to Information and the Public's Right to Know." September 2005. p 73</w:t>
      </w:r>
      <w:r>
        <w:t>. Retrieved from</w:t>
      </w:r>
      <w:r w:rsidRPr="00BF0E5F">
        <w:t xml:space="preserve"> </w:t>
      </w:r>
      <w:hyperlink r:id="rId1" w:history="1">
        <w:r w:rsidRPr="00CA61B1">
          <w:rPr>
            <w:rStyle w:val="Hyperlink"/>
          </w:rPr>
          <w:t>http://www.rcfp.org/sites/default/files/homefront-confidential.pdf</w:t>
        </w:r>
      </w:hyperlink>
      <w:r w:rsidRPr="00BF0E5F">
        <w:t>.</w:t>
      </w:r>
    </w:p>
  </w:footnote>
  <w:footnote w:id="6">
    <w:p w14:paraId="6B7825B3" w14:textId="77777777" w:rsidR="0077680E" w:rsidRDefault="0077680E" w:rsidP="0077680E">
      <w:pPr>
        <w:pStyle w:val="FootnoteText"/>
      </w:pPr>
      <w:r>
        <w:rPr>
          <w:rStyle w:val="FootnoteReference"/>
        </w:rPr>
        <w:footnoteRef/>
      </w:r>
      <w:r>
        <w:t xml:space="preserve"> </w:t>
      </w:r>
      <w:r w:rsidRPr="00785E89">
        <w:t>Pub. L. 104-191, 42 U.S.C. § 300gg et seq.</w:t>
      </w:r>
    </w:p>
  </w:footnote>
  <w:footnote w:id="7">
    <w:p w14:paraId="1E57874F" w14:textId="77777777" w:rsidR="00C7340E" w:rsidRDefault="00C7340E" w:rsidP="00C7340E">
      <w:pPr>
        <w:pStyle w:val="FootnoteText"/>
      </w:pPr>
      <w:r>
        <w:rPr>
          <w:rStyle w:val="FootnoteReference"/>
        </w:rPr>
        <w:footnoteRef/>
      </w:r>
      <w:r>
        <w:t xml:space="preserve"> </w:t>
      </w:r>
      <w:r w:rsidRPr="002C4A88">
        <w:rPr>
          <w:rFonts w:eastAsia="Times New Roman" w:cstheme="minorHAnsi"/>
        </w:rPr>
        <w:t>45 C.F.R. Parts 160 and 164.</w:t>
      </w:r>
    </w:p>
  </w:footnote>
  <w:footnote w:id="8">
    <w:p w14:paraId="4E3B79D7" w14:textId="77777777" w:rsidR="00EE1E6B" w:rsidRDefault="00EE1E6B" w:rsidP="00EE1E6B">
      <w:pPr>
        <w:pStyle w:val="FootnoteText"/>
      </w:pPr>
      <w:r>
        <w:rPr>
          <w:rStyle w:val="FootnoteReference"/>
        </w:rPr>
        <w:footnoteRef/>
      </w:r>
      <w:r>
        <w:t xml:space="preserve"> </w:t>
      </w:r>
      <w:r w:rsidRPr="00CD716E">
        <w:t>Pub. L. 93-380, 20 U.S.C. § 1232g, implemented by 34 C.F.R. Part 99.</w:t>
      </w:r>
    </w:p>
  </w:footnote>
  <w:footnote w:id="9">
    <w:p w14:paraId="7E6EA051" w14:textId="77777777" w:rsidR="004F4863" w:rsidRDefault="004F4863" w:rsidP="004F4863">
      <w:pPr>
        <w:pStyle w:val="FootnoteText"/>
      </w:pPr>
      <w:r>
        <w:rPr>
          <w:rStyle w:val="FootnoteReference"/>
        </w:rPr>
        <w:footnoteRef/>
      </w:r>
      <w:r>
        <w:t xml:space="preserve"> </w:t>
      </w:r>
      <w:r w:rsidRPr="00CD716E">
        <w:t>34 C.F.R. § 99.31.</w:t>
      </w:r>
    </w:p>
  </w:footnote>
  <w:footnote w:id="10">
    <w:p w14:paraId="58B56C1B" w14:textId="77777777" w:rsidR="00AC3FF8" w:rsidRDefault="00AC3FF8" w:rsidP="00AC3FF8">
      <w:pPr>
        <w:pStyle w:val="FootnoteText"/>
      </w:pPr>
      <w:r>
        <w:rPr>
          <w:rStyle w:val="FootnoteReference"/>
        </w:rPr>
        <w:footnoteRef/>
      </w:r>
      <w:r>
        <w:t xml:space="preserve"> </w:t>
      </w:r>
      <w:r w:rsidRPr="002F6949">
        <w:t xml:space="preserve">CDC and Bureau of Justice Assistance. A Framework for Improving Cross-Sector Coordination for Emergency Preparedness and Response, Action Steps for Public Health, Law Enforcement, the Judiciary, and Corrections. July 2008. </w:t>
      </w:r>
      <w:r>
        <w:t xml:space="preserve">Retrieved from </w:t>
      </w:r>
      <w:hyperlink r:id="rId2" w:history="1">
        <w:r w:rsidRPr="009E6404">
          <w:rPr>
            <w:rStyle w:val="Hyperlink"/>
          </w:rPr>
          <w:t>http://cdc.gov/phlp/docs/CDC_BJA_Framework.pdf</w:t>
        </w:r>
      </w:hyperlink>
      <w:r w:rsidRPr="002F6949">
        <w:t>.</w:t>
      </w:r>
    </w:p>
  </w:footnote>
  <w:footnote w:id="11">
    <w:p w14:paraId="1DEA4332" w14:textId="77777777" w:rsidR="00BB76DA" w:rsidRDefault="00BB76DA" w:rsidP="00BB76DA">
      <w:pPr>
        <w:pStyle w:val="FootnoteText"/>
      </w:pPr>
      <w:r>
        <w:rPr>
          <w:rStyle w:val="FootnoteReference"/>
        </w:rPr>
        <w:footnoteRef/>
      </w:r>
      <w:r>
        <w:t xml:space="preserve"> </w:t>
      </w:r>
      <w:r w:rsidRPr="0041582A">
        <w:t xml:space="preserve">Butler JC, Cohen ML, Friedman CR, </w:t>
      </w:r>
      <w:bookmarkStart w:id="1" w:name="_GoBack"/>
      <w:proofErr w:type="spellStart"/>
      <w:r w:rsidRPr="0041582A">
        <w:t>Scripp</w:t>
      </w:r>
      <w:bookmarkEnd w:id="1"/>
      <w:proofErr w:type="spellEnd"/>
      <w:r w:rsidRPr="0041582A">
        <w:t xml:space="preserve"> RM, </w:t>
      </w:r>
      <w:proofErr w:type="spellStart"/>
      <w:r w:rsidRPr="0041582A">
        <w:t>Watz</w:t>
      </w:r>
      <w:proofErr w:type="spellEnd"/>
      <w:r w:rsidRPr="0041582A">
        <w:t xml:space="preserve"> CG. Collaboration Between Public Health </w:t>
      </w:r>
      <w:r>
        <w:t>a</w:t>
      </w:r>
      <w:r w:rsidRPr="0041582A">
        <w:t xml:space="preserve">nd Law Enforcement: New Paradigms </w:t>
      </w:r>
      <w:r>
        <w:t>a</w:t>
      </w:r>
      <w:r w:rsidRPr="0041582A">
        <w:t xml:space="preserve">nd Partnerships </w:t>
      </w:r>
      <w:r>
        <w:t>f</w:t>
      </w:r>
      <w:r w:rsidRPr="0041582A">
        <w:t xml:space="preserve">or Bioterrorism Planning </w:t>
      </w:r>
      <w:r>
        <w:t>a</w:t>
      </w:r>
      <w:r w:rsidRPr="0041582A">
        <w:t>nd Response</w:t>
      </w:r>
      <w:r>
        <w:t>.</w:t>
      </w:r>
      <w:r w:rsidRPr="0041582A">
        <w:t xml:space="preserve"> Emerging Infectious Disease. 2002. 8(10):1152-1156. Retrieved from </w:t>
      </w:r>
      <w:hyperlink r:id="rId3" w:history="1">
        <w:r w:rsidRPr="00CA61B1">
          <w:rPr>
            <w:rStyle w:val="Hyperlink"/>
          </w:rPr>
          <w:t>http://wwwnc.cdc.gov/eid/article/8/10/02-0400.htm</w:t>
        </w:r>
      </w:hyperlink>
      <w:r w:rsidRPr="0041582A">
        <w:t>.</w:t>
      </w:r>
    </w:p>
  </w:footnote>
  <w:footnote w:id="12">
    <w:p w14:paraId="3493A16E" w14:textId="77777777" w:rsidR="00BB76DA" w:rsidRDefault="00BB76DA" w:rsidP="00BB76DA">
      <w:pPr>
        <w:pStyle w:val="FootnoteText"/>
      </w:pPr>
      <w:r>
        <w:rPr>
          <w:rStyle w:val="FootnoteReference"/>
        </w:rPr>
        <w:footnoteRef/>
      </w:r>
      <w:r>
        <w:t xml:space="preserve"> </w:t>
      </w:r>
      <w:bookmarkStart w:id="2" w:name="_Hlk34936263"/>
      <w:r w:rsidRPr="00672D06">
        <w:t xml:space="preserve">Richards, EP. Collaboration Between Public Health and Law Enforcement: The Constitutional Challenge. Emerging Infectious Diseases. 2002. 8(10):1157-1159. </w:t>
      </w:r>
      <w:r>
        <w:t xml:space="preserve">Retrieved from </w:t>
      </w:r>
      <w:hyperlink r:id="rId4" w:history="1">
        <w:r w:rsidRPr="00CA61B1">
          <w:rPr>
            <w:rStyle w:val="Hyperlink"/>
          </w:rPr>
          <w:t>http://wwwnc.cdc.gov/eid/article/8/10/02-0465_article.htm</w:t>
        </w:r>
      </w:hyperlink>
      <w:r w:rsidRPr="00672D06">
        <w:t>.</w:t>
      </w:r>
      <w:bookmarkEnd w:id="2"/>
    </w:p>
  </w:footnote>
  <w:footnote w:id="13">
    <w:p w14:paraId="2C369A65" w14:textId="77777777" w:rsidR="00253510" w:rsidRDefault="00253510" w:rsidP="00253510">
      <w:pPr>
        <w:pStyle w:val="FootnoteText"/>
      </w:pPr>
      <w:r>
        <w:rPr>
          <w:rStyle w:val="FootnoteReference"/>
        </w:rPr>
        <w:footnoteRef/>
      </w:r>
      <w:r>
        <w:t xml:space="preserve"> </w:t>
      </w:r>
      <w:r w:rsidRPr="002B2F4F">
        <w:t xml:space="preserve">U.S. Department of Justice and Bureau of Justice Assistance. "The Role of Law Enforcement in Public Health Emergencies: Special Considerations for an All-Hazards Approach." September 2006. Available at </w:t>
      </w:r>
      <w:hyperlink r:id="rId5" w:history="1">
        <w:r w:rsidRPr="00CA61B1">
          <w:rPr>
            <w:rStyle w:val="Hyperlink"/>
          </w:rPr>
          <w:t>https://www.ncjrs.gov/pdffiles1/bja/214333.pdf</w:t>
        </w:r>
      </w:hyperlink>
      <w:r w:rsidRPr="002B2F4F">
        <w:t>.</w:t>
      </w:r>
      <w:r>
        <w:t xml:space="preserve"> </w:t>
      </w:r>
      <w:r w:rsidRPr="002B2F4F">
        <w:t xml:space="preserve"> Accessed June 29, 2012; Jacobson v. Massachusetts, 197 U.S. 11 (1905).</w:t>
      </w:r>
    </w:p>
  </w:footnote>
  <w:footnote w:id="14">
    <w:p w14:paraId="78F56945" w14:textId="77777777" w:rsidR="0059604C" w:rsidRDefault="0059604C" w:rsidP="0059604C">
      <w:pPr>
        <w:pStyle w:val="FootnoteText"/>
      </w:pPr>
      <w:r>
        <w:rPr>
          <w:rStyle w:val="FootnoteReference"/>
        </w:rPr>
        <w:footnoteRef/>
      </w:r>
      <w:r>
        <w:t xml:space="preserve"> </w:t>
      </w:r>
      <w:r w:rsidRPr="00540AF8">
        <w:t xml:space="preserve">Richards, EP. "Collaboration Between Public Health and Law Enforcement: The Constitutional Challenge. Emerging Infectious Diseases. 2002. 8(10):1157-1159. </w:t>
      </w:r>
      <w:r>
        <w:t>Retrieved from</w:t>
      </w:r>
      <w:r w:rsidRPr="00540AF8">
        <w:t xml:space="preserve"> </w:t>
      </w:r>
      <w:hyperlink r:id="rId6" w:history="1">
        <w:r w:rsidRPr="00CA61B1">
          <w:rPr>
            <w:rStyle w:val="Hyperlink"/>
          </w:rPr>
          <w:t>http://wwwnc.cdc.gov/eid/article/8/10/02-0465_article.htm</w:t>
        </w:r>
      </w:hyperlink>
      <w:r w:rsidRPr="00540AF8">
        <w:t>.</w:t>
      </w:r>
    </w:p>
  </w:footnote>
  <w:footnote w:id="15">
    <w:p w14:paraId="47EC64BC" w14:textId="77777777" w:rsidR="003D21C3" w:rsidRDefault="003D21C3" w:rsidP="003D21C3">
      <w:pPr>
        <w:pStyle w:val="FootnoteText"/>
      </w:pPr>
      <w:r>
        <w:rPr>
          <w:rStyle w:val="FootnoteReference"/>
        </w:rPr>
        <w:footnoteRef/>
      </w:r>
      <w:r>
        <w:t xml:space="preserve"> </w:t>
      </w:r>
      <w:r w:rsidRPr="00C641CE">
        <w:t>USA Patriot Act (P.L. 107-56).</w:t>
      </w:r>
    </w:p>
  </w:footnote>
  <w:footnote w:id="16">
    <w:p w14:paraId="31685805" w14:textId="77777777" w:rsidR="004038C6" w:rsidRDefault="004038C6" w:rsidP="004038C6">
      <w:pPr>
        <w:pStyle w:val="FootnoteText"/>
      </w:pPr>
      <w:r>
        <w:rPr>
          <w:rStyle w:val="FootnoteReference"/>
        </w:rPr>
        <w:footnoteRef/>
      </w:r>
      <w:r>
        <w:t xml:space="preserve"> </w:t>
      </w:r>
      <w:r w:rsidRPr="00452B39">
        <w:t>42 U.S.C. § 300gg et seq.</w:t>
      </w:r>
    </w:p>
  </w:footnote>
  <w:footnote w:id="17">
    <w:p w14:paraId="45CF4F76" w14:textId="77777777" w:rsidR="006B6C37" w:rsidRDefault="006B6C37" w:rsidP="006B6C37">
      <w:pPr>
        <w:pStyle w:val="FootnoteText"/>
      </w:pPr>
      <w:r>
        <w:rPr>
          <w:rStyle w:val="FootnoteReference"/>
        </w:rPr>
        <w:footnoteRef/>
      </w:r>
      <w:r>
        <w:t xml:space="preserve"> </w:t>
      </w:r>
      <w:r w:rsidRPr="0086512A">
        <w:t>45 C.F.R. Parts 160, 164.</w:t>
      </w:r>
    </w:p>
  </w:footnote>
  <w:footnote w:id="18">
    <w:p w14:paraId="5AE3B709" w14:textId="77777777" w:rsidR="00BC1E7F" w:rsidRDefault="00BC1E7F" w:rsidP="00BC1E7F">
      <w:pPr>
        <w:rPr>
          <w:rFonts w:ascii="Calibri" w:eastAsia="Times New Roman" w:hAnsi="Calibri" w:cs="Calibri"/>
          <w:sz w:val="20"/>
          <w:szCs w:val="20"/>
        </w:rPr>
      </w:pPr>
      <w:r>
        <w:rPr>
          <w:rStyle w:val="FootnoteReference"/>
          <w:sz w:val="20"/>
          <w:szCs w:val="20"/>
        </w:rPr>
        <w:footnoteRef/>
      </w:r>
      <w:r>
        <w:rPr>
          <w:sz w:val="20"/>
          <w:szCs w:val="20"/>
        </w:rPr>
        <w:t xml:space="preserve"> </w:t>
      </w:r>
      <w:r>
        <w:rPr>
          <w:rFonts w:ascii="Calibri" w:eastAsia="Times New Roman" w:hAnsi="Calibri" w:cs="Calibri"/>
          <w:sz w:val="20"/>
          <w:szCs w:val="20"/>
        </w:rPr>
        <w:t xml:space="preserve">29 U.S.C. § 651 </w:t>
      </w:r>
      <w:r>
        <w:rPr>
          <w:rFonts w:ascii="Calibri" w:eastAsia="Times New Roman" w:hAnsi="Calibri" w:cs="Calibri"/>
          <w:sz w:val="20"/>
          <w:szCs w:val="20"/>
          <w:bdr w:val="none" w:sz="0" w:space="0" w:color="auto" w:frame="1"/>
        </w:rPr>
        <w:t>et seq</w:t>
      </w:r>
      <w:r>
        <w:rPr>
          <w:rFonts w:ascii="Calibri" w:eastAsia="Times New Roman" w:hAnsi="Calibri" w:cs="Calibri"/>
          <w:sz w:val="20"/>
          <w:szCs w:val="20"/>
        </w:rPr>
        <w:t>.</w:t>
      </w:r>
    </w:p>
  </w:footnote>
  <w:footnote w:id="19">
    <w:p w14:paraId="4D39A2E6" w14:textId="0C46A929" w:rsidR="00E4212C" w:rsidRDefault="00E4212C" w:rsidP="00E4212C">
      <w:pPr>
        <w:pStyle w:val="FootnoteText"/>
      </w:pPr>
      <w:r>
        <w:rPr>
          <w:rStyle w:val="FootnoteReference"/>
        </w:rPr>
        <w:footnoteRef/>
      </w:r>
      <w:r>
        <w:t xml:space="preserve"> U.S. Department of Labor Occupational Safety </w:t>
      </w:r>
      <w:r w:rsidR="00675C5D">
        <w:t>and</w:t>
      </w:r>
      <w:r>
        <w:t xml:space="preserve"> Health Administration. Information about OSHA for Workers. Retrieved from </w:t>
      </w:r>
      <w:hyperlink r:id="rId7" w:history="1">
        <w:r>
          <w:rPr>
            <w:rStyle w:val="Hyperlink"/>
          </w:rPr>
          <w:t>http://www.osha.gov/workers.html</w:t>
        </w:r>
      </w:hyperlink>
      <w:r>
        <w:t xml:space="preserve">. The OHS Act does not cover self-employed persons, immediate family members of farm employers, and workplace hazards regulated by another federal agency (e.g., Mine Safety and Health Administration, Department of Energy, or the Coast Guard). </w:t>
      </w:r>
    </w:p>
  </w:footnote>
  <w:footnote w:id="20">
    <w:p w14:paraId="372B3D4D" w14:textId="77777777" w:rsidR="00E4212C" w:rsidRDefault="00E4212C" w:rsidP="00E4212C">
      <w:pPr>
        <w:pStyle w:val="FootnoteText"/>
      </w:pPr>
      <w:r>
        <w:rPr>
          <w:rStyle w:val="FootnoteReference"/>
        </w:rPr>
        <w:footnoteRef/>
      </w:r>
      <w:r>
        <w:t xml:space="preserve"> 29 U.S.C. § 652.</w:t>
      </w:r>
    </w:p>
  </w:footnote>
  <w:footnote w:id="21">
    <w:p w14:paraId="1AF3FFF1" w14:textId="77777777" w:rsidR="00647D78" w:rsidRDefault="00647D78" w:rsidP="00647D78">
      <w:pPr>
        <w:pStyle w:val="FootnoteText"/>
      </w:pPr>
      <w:r>
        <w:rPr>
          <w:rStyle w:val="FootnoteReference"/>
        </w:rPr>
        <w:footnoteRef/>
      </w:r>
      <w:r>
        <w:t xml:space="preserve"> 42 U.S.C. § 12101 et seq.</w:t>
      </w:r>
    </w:p>
  </w:footnote>
  <w:footnote w:id="22">
    <w:p w14:paraId="1DAE7C6C" w14:textId="77777777" w:rsidR="00647D78" w:rsidRDefault="00647D78" w:rsidP="00647D78">
      <w:pPr>
        <w:pStyle w:val="FootnoteText"/>
      </w:pPr>
      <w:r>
        <w:rPr>
          <w:rStyle w:val="FootnoteReference"/>
        </w:rPr>
        <w:footnoteRef/>
      </w:r>
      <w:r>
        <w:t xml:space="preserve"> 45 C.F.R. Parts 160 and 164.</w:t>
      </w:r>
    </w:p>
  </w:footnote>
  <w:footnote w:id="23">
    <w:p w14:paraId="49E7F3BB" w14:textId="77777777" w:rsidR="00647D78" w:rsidRDefault="00647D78" w:rsidP="00647D78">
      <w:pPr>
        <w:pStyle w:val="FootnoteText"/>
      </w:pPr>
      <w:r>
        <w:rPr>
          <w:rStyle w:val="FootnoteReference"/>
        </w:rPr>
        <w:footnoteRef/>
      </w:r>
      <w:r>
        <w:t xml:space="preserve"> 42 U.S.C. § 300gg et seq.</w:t>
      </w:r>
    </w:p>
  </w:footnote>
  <w:footnote w:id="24">
    <w:p w14:paraId="627E251F" w14:textId="77777777" w:rsidR="00647D78" w:rsidRDefault="00647D78" w:rsidP="00647D78">
      <w:pPr>
        <w:pStyle w:val="FootnoteText"/>
      </w:pPr>
      <w:r>
        <w:rPr>
          <w:rStyle w:val="FootnoteReference"/>
        </w:rPr>
        <w:footnoteRef/>
      </w:r>
      <w:r>
        <w:t xml:space="preserve"> 45 C.F.R. § 160.103, definition of protected health information.</w:t>
      </w:r>
    </w:p>
  </w:footnote>
  <w:footnote w:id="25">
    <w:p w14:paraId="30314300" w14:textId="77777777" w:rsidR="00647D78" w:rsidRDefault="00647D78" w:rsidP="00647D78">
      <w:pPr>
        <w:pStyle w:val="FootnoteText"/>
      </w:pPr>
      <w:r>
        <w:rPr>
          <w:rStyle w:val="FootnoteReference"/>
        </w:rPr>
        <w:footnoteRef/>
      </w:r>
      <w:r>
        <w:t xml:space="preserve"> U.S. Equal Employment Opportunity Commission. Pandemic Preparedness in the Workplace and the Americans with Disabilities Act. Retrieved from </w:t>
      </w:r>
      <w:hyperlink r:id="rId8" w:history="1">
        <w:r>
          <w:rPr>
            <w:rStyle w:val="Hyperlink"/>
          </w:rPr>
          <w:t>http://www.eeoc.gov/facts/pandemic_flu.html</w:t>
        </w:r>
      </w:hyperlink>
      <w:r>
        <w:t>.</w:t>
      </w:r>
    </w:p>
  </w:footnote>
  <w:footnote w:id="26">
    <w:p w14:paraId="06E9B323" w14:textId="317EE363" w:rsidR="006518BA" w:rsidRDefault="006518BA">
      <w:pPr>
        <w:pStyle w:val="FootnoteText"/>
      </w:pPr>
      <w:r>
        <w:rPr>
          <w:rStyle w:val="FootnoteReference"/>
        </w:rPr>
        <w:footnoteRef/>
      </w:r>
      <w:r>
        <w:t xml:space="preserve"> U.S. Equal Employment Opportunity Commission. Pandemic Preparedness in the Workplace and the Americans with Disabilities Act. Retrieved from </w:t>
      </w:r>
      <w:hyperlink r:id="rId9" w:history="1">
        <w:r>
          <w:rPr>
            <w:rStyle w:val="Hyperlink"/>
          </w:rPr>
          <w:t>http://www.eeoc.gov/facts/pandemic_flu.html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DE39" w14:textId="129BA7D6" w:rsidR="00B90EB6" w:rsidRPr="00B90EB6" w:rsidRDefault="00B90EB6" w:rsidP="00B90EB6">
    <w:pPr>
      <w:pStyle w:val="Header"/>
      <w:jc w:val="center"/>
      <w:rPr>
        <w:b/>
        <w:bCs/>
      </w:rPr>
    </w:pPr>
    <w:r w:rsidRPr="00B90EB6">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76742"/>
    <w:multiLevelType w:val="hybridMultilevel"/>
    <w:tmpl w:val="39FE4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706C41"/>
    <w:multiLevelType w:val="hybridMultilevel"/>
    <w:tmpl w:val="B62A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00BD3"/>
    <w:multiLevelType w:val="hybridMultilevel"/>
    <w:tmpl w:val="86641A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7A98619D"/>
    <w:multiLevelType w:val="hybridMultilevel"/>
    <w:tmpl w:val="278ED0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AE"/>
    <w:rsid w:val="0001684D"/>
    <w:rsid w:val="000406D2"/>
    <w:rsid w:val="00046AE4"/>
    <w:rsid w:val="00047002"/>
    <w:rsid w:val="00052F46"/>
    <w:rsid w:val="0006474F"/>
    <w:rsid w:val="000704EB"/>
    <w:rsid w:val="00070CDD"/>
    <w:rsid w:val="000712C4"/>
    <w:rsid w:val="0007257B"/>
    <w:rsid w:val="00072CC1"/>
    <w:rsid w:val="00074B64"/>
    <w:rsid w:val="00076301"/>
    <w:rsid w:val="00086980"/>
    <w:rsid w:val="0009436B"/>
    <w:rsid w:val="000A05E4"/>
    <w:rsid w:val="000A2574"/>
    <w:rsid w:val="000B3A1B"/>
    <w:rsid w:val="000B6807"/>
    <w:rsid w:val="000B72C2"/>
    <w:rsid w:val="000C2995"/>
    <w:rsid w:val="000C61A6"/>
    <w:rsid w:val="000D5953"/>
    <w:rsid w:val="000F0B78"/>
    <w:rsid w:val="000F4A66"/>
    <w:rsid w:val="000F7C4A"/>
    <w:rsid w:val="00104716"/>
    <w:rsid w:val="00111446"/>
    <w:rsid w:val="0013227C"/>
    <w:rsid w:val="00134CB8"/>
    <w:rsid w:val="00144E5E"/>
    <w:rsid w:val="0014644F"/>
    <w:rsid w:val="00151278"/>
    <w:rsid w:val="00152333"/>
    <w:rsid w:val="0016012B"/>
    <w:rsid w:val="001646D5"/>
    <w:rsid w:val="00167CC3"/>
    <w:rsid w:val="0017275C"/>
    <w:rsid w:val="00187C50"/>
    <w:rsid w:val="0019111A"/>
    <w:rsid w:val="001A40AB"/>
    <w:rsid w:val="001A6FEC"/>
    <w:rsid w:val="001A7E1F"/>
    <w:rsid w:val="001D4DD8"/>
    <w:rsid w:val="001D605F"/>
    <w:rsid w:val="001F7721"/>
    <w:rsid w:val="00206110"/>
    <w:rsid w:val="002074BD"/>
    <w:rsid w:val="00236B77"/>
    <w:rsid w:val="00253510"/>
    <w:rsid w:val="00254A6E"/>
    <w:rsid w:val="00262FF8"/>
    <w:rsid w:val="002651B9"/>
    <w:rsid w:val="00276CD4"/>
    <w:rsid w:val="002800DC"/>
    <w:rsid w:val="00283591"/>
    <w:rsid w:val="002874D8"/>
    <w:rsid w:val="00291452"/>
    <w:rsid w:val="002A3A71"/>
    <w:rsid w:val="002B0E19"/>
    <w:rsid w:val="002F2000"/>
    <w:rsid w:val="002F43C8"/>
    <w:rsid w:val="00304AFF"/>
    <w:rsid w:val="00323FB6"/>
    <w:rsid w:val="00326F6A"/>
    <w:rsid w:val="0033028B"/>
    <w:rsid w:val="00355CFC"/>
    <w:rsid w:val="0037233C"/>
    <w:rsid w:val="003831ED"/>
    <w:rsid w:val="003A132E"/>
    <w:rsid w:val="003A6044"/>
    <w:rsid w:val="003B6194"/>
    <w:rsid w:val="003C0F91"/>
    <w:rsid w:val="003D21C3"/>
    <w:rsid w:val="003E2471"/>
    <w:rsid w:val="00400E4D"/>
    <w:rsid w:val="004011F7"/>
    <w:rsid w:val="004038C6"/>
    <w:rsid w:val="004044CD"/>
    <w:rsid w:val="004108D3"/>
    <w:rsid w:val="00426FA1"/>
    <w:rsid w:val="004343F4"/>
    <w:rsid w:val="004615EC"/>
    <w:rsid w:val="00467F2F"/>
    <w:rsid w:val="00476446"/>
    <w:rsid w:val="00490B14"/>
    <w:rsid w:val="00495A98"/>
    <w:rsid w:val="0049788A"/>
    <w:rsid w:val="004A084C"/>
    <w:rsid w:val="004C4F18"/>
    <w:rsid w:val="004E0D36"/>
    <w:rsid w:val="004E0E67"/>
    <w:rsid w:val="004F1219"/>
    <w:rsid w:val="004F4863"/>
    <w:rsid w:val="00510BCB"/>
    <w:rsid w:val="00526E16"/>
    <w:rsid w:val="00542C36"/>
    <w:rsid w:val="00550228"/>
    <w:rsid w:val="00554E72"/>
    <w:rsid w:val="00556976"/>
    <w:rsid w:val="0056785D"/>
    <w:rsid w:val="005725BB"/>
    <w:rsid w:val="0057431E"/>
    <w:rsid w:val="00577B8E"/>
    <w:rsid w:val="00585FF7"/>
    <w:rsid w:val="0059604C"/>
    <w:rsid w:val="00596B8A"/>
    <w:rsid w:val="005A33BF"/>
    <w:rsid w:val="005B3FAF"/>
    <w:rsid w:val="005F29B1"/>
    <w:rsid w:val="00600C93"/>
    <w:rsid w:val="00623AA1"/>
    <w:rsid w:val="0062440C"/>
    <w:rsid w:val="00624410"/>
    <w:rsid w:val="006266E5"/>
    <w:rsid w:val="006266F1"/>
    <w:rsid w:val="00644876"/>
    <w:rsid w:val="00647D78"/>
    <w:rsid w:val="006518BA"/>
    <w:rsid w:val="0067318C"/>
    <w:rsid w:val="00675C5D"/>
    <w:rsid w:val="00686037"/>
    <w:rsid w:val="00686B2E"/>
    <w:rsid w:val="00696CD7"/>
    <w:rsid w:val="006A1A4C"/>
    <w:rsid w:val="006A4535"/>
    <w:rsid w:val="006B2C8E"/>
    <w:rsid w:val="006B6C37"/>
    <w:rsid w:val="006D5DF2"/>
    <w:rsid w:val="006F5987"/>
    <w:rsid w:val="006F70FC"/>
    <w:rsid w:val="00702714"/>
    <w:rsid w:val="0071328B"/>
    <w:rsid w:val="007261B4"/>
    <w:rsid w:val="0072762C"/>
    <w:rsid w:val="00730658"/>
    <w:rsid w:val="00736F0B"/>
    <w:rsid w:val="0074245F"/>
    <w:rsid w:val="0074253A"/>
    <w:rsid w:val="007448F6"/>
    <w:rsid w:val="00766433"/>
    <w:rsid w:val="0077680E"/>
    <w:rsid w:val="007911EE"/>
    <w:rsid w:val="007A72E6"/>
    <w:rsid w:val="007B191D"/>
    <w:rsid w:val="007C1890"/>
    <w:rsid w:val="007D35C1"/>
    <w:rsid w:val="007F0F72"/>
    <w:rsid w:val="0081780C"/>
    <w:rsid w:val="00824CD7"/>
    <w:rsid w:val="008543D2"/>
    <w:rsid w:val="00855018"/>
    <w:rsid w:val="008557BE"/>
    <w:rsid w:val="00873627"/>
    <w:rsid w:val="00874188"/>
    <w:rsid w:val="00874BDE"/>
    <w:rsid w:val="00891857"/>
    <w:rsid w:val="008A22C8"/>
    <w:rsid w:val="008A38B5"/>
    <w:rsid w:val="008B623B"/>
    <w:rsid w:val="008F7F11"/>
    <w:rsid w:val="0091266E"/>
    <w:rsid w:val="00923CC2"/>
    <w:rsid w:val="00936865"/>
    <w:rsid w:val="0093722D"/>
    <w:rsid w:val="0094237C"/>
    <w:rsid w:val="00945887"/>
    <w:rsid w:val="009465CA"/>
    <w:rsid w:val="009504E4"/>
    <w:rsid w:val="0095538B"/>
    <w:rsid w:val="0095706F"/>
    <w:rsid w:val="00962F72"/>
    <w:rsid w:val="009654C8"/>
    <w:rsid w:val="00967C71"/>
    <w:rsid w:val="00972AC4"/>
    <w:rsid w:val="00987AA7"/>
    <w:rsid w:val="00991703"/>
    <w:rsid w:val="009B08D1"/>
    <w:rsid w:val="009B1CDE"/>
    <w:rsid w:val="009C3C60"/>
    <w:rsid w:val="009D07A3"/>
    <w:rsid w:val="009D77B9"/>
    <w:rsid w:val="009E40AE"/>
    <w:rsid w:val="009E4ABF"/>
    <w:rsid w:val="009E7773"/>
    <w:rsid w:val="009F1345"/>
    <w:rsid w:val="009F3A3F"/>
    <w:rsid w:val="009F564A"/>
    <w:rsid w:val="00A016DD"/>
    <w:rsid w:val="00A23610"/>
    <w:rsid w:val="00A3037A"/>
    <w:rsid w:val="00A43CCF"/>
    <w:rsid w:val="00A60E4A"/>
    <w:rsid w:val="00A756A9"/>
    <w:rsid w:val="00A80E54"/>
    <w:rsid w:val="00A94B6F"/>
    <w:rsid w:val="00AA217B"/>
    <w:rsid w:val="00AA2EBA"/>
    <w:rsid w:val="00AC3FF8"/>
    <w:rsid w:val="00AC5173"/>
    <w:rsid w:val="00AD4741"/>
    <w:rsid w:val="00AD4E44"/>
    <w:rsid w:val="00AD6257"/>
    <w:rsid w:val="00AD736C"/>
    <w:rsid w:val="00AE1F78"/>
    <w:rsid w:val="00AE7BD8"/>
    <w:rsid w:val="00B00BC4"/>
    <w:rsid w:val="00B0342A"/>
    <w:rsid w:val="00B039ED"/>
    <w:rsid w:val="00B03FFB"/>
    <w:rsid w:val="00B21583"/>
    <w:rsid w:val="00B22364"/>
    <w:rsid w:val="00B23013"/>
    <w:rsid w:val="00B24BF1"/>
    <w:rsid w:val="00B3601A"/>
    <w:rsid w:val="00B43579"/>
    <w:rsid w:val="00B46F3E"/>
    <w:rsid w:val="00B535C3"/>
    <w:rsid w:val="00B55249"/>
    <w:rsid w:val="00B75B7F"/>
    <w:rsid w:val="00B7777D"/>
    <w:rsid w:val="00B8108F"/>
    <w:rsid w:val="00B814DC"/>
    <w:rsid w:val="00B85375"/>
    <w:rsid w:val="00B87F56"/>
    <w:rsid w:val="00B90EB6"/>
    <w:rsid w:val="00B91C05"/>
    <w:rsid w:val="00B97167"/>
    <w:rsid w:val="00B97EAE"/>
    <w:rsid w:val="00BB2418"/>
    <w:rsid w:val="00BB5BD9"/>
    <w:rsid w:val="00BB73B6"/>
    <w:rsid w:val="00BB7615"/>
    <w:rsid w:val="00BB76DA"/>
    <w:rsid w:val="00BC1E7F"/>
    <w:rsid w:val="00BC27DD"/>
    <w:rsid w:val="00BD4488"/>
    <w:rsid w:val="00BD5FBA"/>
    <w:rsid w:val="00BD6537"/>
    <w:rsid w:val="00BE6F22"/>
    <w:rsid w:val="00C007B4"/>
    <w:rsid w:val="00C06601"/>
    <w:rsid w:val="00C13DCB"/>
    <w:rsid w:val="00C15424"/>
    <w:rsid w:val="00C220D1"/>
    <w:rsid w:val="00C23C67"/>
    <w:rsid w:val="00C43FFB"/>
    <w:rsid w:val="00C5047C"/>
    <w:rsid w:val="00C50823"/>
    <w:rsid w:val="00C50EB3"/>
    <w:rsid w:val="00C56E59"/>
    <w:rsid w:val="00C62CED"/>
    <w:rsid w:val="00C7340E"/>
    <w:rsid w:val="00C91AE3"/>
    <w:rsid w:val="00CA0951"/>
    <w:rsid w:val="00CA1E6C"/>
    <w:rsid w:val="00CA461B"/>
    <w:rsid w:val="00CB588F"/>
    <w:rsid w:val="00CC04B3"/>
    <w:rsid w:val="00CC2276"/>
    <w:rsid w:val="00CD3D8B"/>
    <w:rsid w:val="00CF6996"/>
    <w:rsid w:val="00D01558"/>
    <w:rsid w:val="00D101F1"/>
    <w:rsid w:val="00D25BFA"/>
    <w:rsid w:val="00D37702"/>
    <w:rsid w:val="00D41C53"/>
    <w:rsid w:val="00D5301E"/>
    <w:rsid w:val="00D57DFD"/>
    <w:rsid w:val="00D632EB"/>
    <w:rsid w:val="00D6653C"/>
    <w:rsid w:val="00D71927"/>
    <w:rsid w:val="00D740C5"/>
    <w:rsid w:val="00D75CF9"/>
    <w:rsid w:val="00D76028"/>
    <w:rsid w:val="00D7626D"/>
    <w:rsid w:val="00D766FB"/>
    <w:rsid w:val="00D8612E"/>
    <w:rsid w:val="00D923B0"/>
    <w:rsid w:val="00D971E8"/>
    <w:rsid w:val="00DA5893"/>
    <w:rsid w:val="00DB23A7"/>
    <w:rsid w:val="00DC3B27"/>
    <w:rsid w:val="00DC5B77"/>
    <w:rsid w:val="00DD004D"/>
    <w:rsid w:val="00DF0C0C"/>
    <w:rsid w:val="00E03085"/>
    <w:rsid w:val="00E14B26"/>
    <w:rsid w:val="00E16585"/>
    <w:rsid w:val="00E23346"/>
    <w:rsid w:val="00E30483"/>
    <w:rsid w:val="00E4212C"/>
    <w:rsid w:val="00E438D3"/>
    <w:rsid w:val="00E464B1"/>
    <w:rsid w:val="00E51295"/>
    <w:rsid w:val="00E950DC"/>
    <w:rsid w:val="00EB152C"/>
    <w:rsid w:val="00EB2703"/>
    <w:rsid w:val="00EC5828"/>
    <w:rsid w:val="00ED748C"/>
    <w:rsid w:val="00ED7E23"/>
    <w:rsid w:val="00EE1E6B"/>
    <w:rsid w:val="00EF303C"/>
    <w:rsid w:val="00EF4C62"/>
    <w:rsid w:val="00EF7D29"/>
    <w:rsid w:val="00F12E1E"/>
    <w:rsid w:val="00F13981"/>
    <w:rsid w:val="00F2164F"/>
    <w:rsid w:val="00F315BC"/>
    <w:rsid w:val="00F418CC"/>
    <w:rsid w:val="00F44B7D"/>
    <w:rsid w:val="00F518A9"/>
    <w:rsid w:val="00F54561"/>
    <w:rsid w:val="00F61F13"/>
    <w:rsid w:val="00F7758A"/>
    <w:rsid w:val="00FA6FAF"/>
    <w:rsid w:val="00FC6193"/>
    <w:rsid w:val="00FD05AB"/>
    <w:rsid w:val="00FD7254"/>
    <w:rsid w:val="00FD78E4"/>
    <w:rsid w:val="00FE2B68"/>
    <w:rsid w:val="00FF0ECA"/>
    <w:rsid w:val="00FF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BB4C"/>
  <w15:chartTrackingRefBased/>
  <w15:docId w15:val="{C093D6E1-5A36-4267-89A7-D5A6D0EE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E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ascii="Calibri" w:eastAsia="Times New Roman" w:hAnsi="Calibri" w:cs="Calibri"/>
      <w:szCs w:val="20"/>
    </w:rPr>
  </w:style>
  <w:style w:type="paragraph" w:styleId="ListParagraph">
    <w:name w:val="List Paragraph"/>
    <w:basedOn w:val="Normal"/>
    <w:uiPriority w:val="34"/>
    <w:qFormat/>
    <w:rsid w:val="00B97EAE"/>
    <w:pPr>
      <w:ind w:left="720"/>
      <w:contextualSpacing/>
    </w:pPr>
  </w:style>
  <w:style w:type="paragraph" w:styleId="Header">
    <w:name w:val="header"/>
    <w:basedOn w:val="Normal"/>
    <w:link w:val="HeaderChar"/>
    <w:uiPriority w:val="99"/>
    <w:unhideWhenUsed/>
    <w:rsid w:val="00B90EB6"/>
    <w:pPr>
      <w:tabs>
        <w:tab w:val="center" w:pos="4680"/>
        <w:tab w:val="right" w:pos="9360"/>
      </w:tabs>
    </w:pPr>
  </w:style>
  <w:style w:type="character" w:customStyle="1" w:styleId="HeaderChar">
    <w:name w:val="Header Char"/>
    <w:basedOn w:val="DefaultParagraphFont"/>
    <w:link w:val="Header"/>
    <w:uiPriority w:val="99"/>
    <w:rsid w:val="00B90EB6"/>
  </w:style>
  <w:style w:type="paragraph" w:styleId="Footer">
    <w:name w:val="footer"/>
    <w:basedOn w:val="Normal"/>
    <w:link w:val="FooterChar"/>
    <w:uiPriority w:val="99"/>
    <w:unhideWhenUsed/>
    <w:rsid w:val="00B90EB6"/>
    <w:pPr>
      <w:tabs>
        <w:tab w:val="center" w:pos="4680"/>
        <w:tab w:val="right" w:pos="9360"/>
      </w:tabs>
    </w:pPr>
  </w:style>
  <w:style w:type="character" w:customStyle="1" w:styleId="FooterChar">
    <w:name w:val="Footer Char"/>
    <w:basedOn w:val="DefaultParagraphFont"/>
    <w:link w:val="Footer"/>
    <w:uiPriority w:val="99"/>
    <w:rsid w:val="00B90EB6"/>
  </w:style>
  <w:style w:type="paragraph" w:styleId="FootnoteText">
    <w:name w:val="footnote text"/>
    <w:basedOn w:val="Normal"/>
    <w:link w:val="FootnoteTextChar"/>
    <w:uiPriority w:val="99"/>
    <w:unhideWhenUsed/>
    <w:rsid w:val="000A05E4"/>
    <w:rPr>
      <w:sz w:val="20"/>
      <w:szCs w:val="20"/>
    </w:rPr>
  </w:style>
  <w:style w:type="character" w:customStyle="1" w:styleId="FootnoteTextChar">
    <w:name w:val="Footnote Text Char"/>
    <w:basedOn w:val="DefaultParagraphFont"/>
    <w:link w:val="FootnoteText"/>
    <w:uiPriority w:val="99"/>
    <w:rsid w:val="000A05E4"/>
    <w:rPr>
      <w:sz w:val="20"/>
      <w:szCs w:val="20"/>
    </w:rPr>
  </w:style>
  <w:style w:type="character" w:styleId="FootnoteReference">
    <w:name w:val="footnote reference"/>
    <w:basedOn w:val="DefaultParagraphFont"/>
    <w:uiPriority w:val="99"/>
    <w:semiHidden/>
    <w:unhideWhenUsed/>
    <w:rsid w:val="000A05E4"/>
    <w:rPr>
      <w:vertAlign w:val="superscript"/>
    </w:rPr>
  </w:style>
  <w:style w:type="character" w:styleId="Hyperlink">
    <w:name w:val="Hyperlink"/>
    <w:basedOn w:val="DefaultParagraphFont"/>
    <w:uiPriority w:val="99"/>
    <w:unhideWhenUsed/>
    <w:rsid w:val="00BB76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93524">
      <w:bodyDiv w:val="1"/>
      <w:marLeft w:val="0"/>
      <w:marRight w:val="0"/>
      <w:marTop w:val="0"/>
      <w:marBottom w:val="0"/>
      <w:divBdr>
        <w:top w:val="none" w:sz="0" w:space="0" w:color="auto"/>
        <w:left w:val="none" w:sz="0" w:space="0" w:color="auto"/>
        <w:bottom w:val="none" w:sz="0" w:space="0" w:color="auto"/>
        <w:right w:val="none" w:sz="0" w:space="0" w:color="auto"/>
      </w:divBdr>
    </w:div>
    <w:div w:id="329218813">
      <w:bodyDiv w:val="1"/>
      <w:marLeft w:val="0"/>
      <w:marRight w:val="0"/>
      <w:marTop w:val="0"/>
      <w:marBottom w:val="0"/>
      <w:divBdr>
        <w:top w:val="none" w:sz="0" w:space="0" w:color="auto"/>
        <w:left w:val="none" w:sz="0" w:space="0" w:color="auto"/>
        <w:bottom w:val="none" w:sz="0" w:space="0" w:color="auto"/>
        <w:right w:val="none" w:sz="0" w:space="0" w:color="auto"/>
      </w:divBdr>
    </w:div>
    <w:div w:id="368535448">
      <w:bodyDiv w:val="1"/>
      <w:marLeft w:val="0"/>
      <w:marRight w:val="0"/>
      <w:marTop w:val="0"/>
      <w:marBottom w:val="0"/>
      <w:divBdr>
        <w:top w:val="none" w:sz="0" w:space="0" w:color="auto"/>
        <w:left w:val="none" w:sz="0" w:space="0" w:color="auto"/>
        <w:bottom w:val="none" w:sz="0" w:space="0" w:color="auto"/>
        <w:right w:val="none" w:sz="0" w:space="0" w:color="auto"/>
      </w:divBdr>
    </w:div>
    <w:div w:id="414673113">
      <w:bodyDiv w:val="1"/>
      <w:marLeft w:val="0"/>
      <w:marRight w:val="0"/>
      <w:marTop w:val="0"/>
      <w:marBottom w:val="0"/>
      <w:divBdr>
        <w:top w:val="none" w:sz="0" w:space="0" w:color="auto"/>
        <w:left w:val="none" w:sz="0" w:space="0" w:color="auto"/>
        <w:bottom w:val="none" w:sz="0" w:space="0" w:color="auto"/>
        <w:right w:val="none" w:sz="0" w:space="0" w:color="auto"/>
      </w:divBdr>
    </w:div>
    <w:div w:id="559365651">
      <w:bodyDiv w:val="1"/>
      <w:marLeft w:val="0"/>
      <w:marRight w:val="0"/>
      <w:marTop w:val="0"/>
      <w:marBottom w:val="0"/>
      <w:divBdr>
        <w:top w:val="none" w:sz="0" w:space="0" w:color="auto"/>
        <w:left w:val="none" w:sz="0" w:space="0" w:color="auto"/>
        <w:bottom w:val="none" w:sz="0" w:space="0" w:color="auto"/>
        <w:right w:val="none" w:sz="0" w:space="0" w:color="auto"/>
      </w:divBdr>
    </w:div>
    <w:div w:id="691147931">
      <w:bodyDiv w:val="1"/>
      <w:marLeft w:val="0"/>
      <w:marRight w:val="0"/>
      <w:marTop w:val="0"/>
      <w:marBottom w:val="0"/>
      <w:divBdr>
        <w:top w:val="none" w:sz="0" w:space="0" w:color="auto"/>
        <w:left w:val="none" w:sz="0" w:space="0" w:color="auto"/>
        <w:bottom w:val="none" w:sz="0" w:space="0" w:color="auto"/>
        <w:right w:val="none" w:sz="0" w:space="0" w:color="auto"/>
      </w:divBdr>
    </w:div>
    <w:div w:id="1056465232">
      <w:bodyDiv w:val="1"/>
      <w:marLeft w:val="0"/>
      <w:marRight w:val="0"/>
      <w:marTop w:val="0"/>
      <w:marBottom w:val="0"/>
      <w:divBdr>
        <w:top w:val="none" w:sz="0" w:space="0" w:color="auto"/>
        <w:left w:val="none" w:sz="0" w:space="0" w:color="auto"/>
        <w:bottom w:val="none" w:sz="0" w:space="0" w:color="auto"/>
        <w:right w:val="none" w:sz="0" w:space="0" w:color="auto"/>
      </w:divBdr>
    </w:div>
    <w:div w:id="1146508639">
      <w:bodyDiv w:val="1"/>
      <w:marLeft w:val="0"/>
      <w:marRight w:val="0"/>
      <w:marTop w:val="0"/>
      <w:marBottom w:val="0"/>
      <w:divBdr>
        <w:top w:val="none" w:sz="0" w:space="0" w:color="auto"/>
        <w:left w:val="none" w:sz="0" w:space="0" w:color="auto"/>
        <w:bottom w:val="none" w:sz="0" w:space="0" w:color="auto"/>
        <w:right w:val="none" w:sz="0" w:space="0" w:color="auto"/>
      </w:divBdr>
    </w:div>
    <w:div w:id="1256208997">
      <w:bodyDiv w:val="1"/>
      <w:marLeft w:val="0"/>
      <w:marRight w:val="0"/>
      <w:marTop w:val="0"/>
      <w:marBottom w:val="0"/>
      <w:divBdr>
        <w:top w:val="none" w:sz="0" w:space="0" w:color="auto"/>
        <w:left w:val="none" w:sz="0" w:space="0" w:color="auto"/>
        <w:bottom w:val="none" w:sz="0" w:space="0" w:color="auto"/>
        <w:right w:val="none" w:sz="0" w:space="0" w:color="auto"/>
      </w:divBdr>
    </w:div>
    <w:div w:id="1447196709">
      <w:bodyDiv w:val="1"/>
      <w:marLeft w:val="0"/>
      <w:marRight w:val="0"/>
      <w:marTop w:val="0"/>
      <w:marBottom w:val="0"/>
      <w:divBdr>
        <w:top w:val="none" w:sz="0" w:space="0" w:color="auto"/>
        <w:left w:val="none" w:sz="0" w:space="0" w:color="auto"/>
        <w:bottom w:val="none" w:sz="0" w:space="0" w:color="auto"/>
        <w:right w:val="none" w:sz="0" w:space="0" w:color="auto"/>
      </w:divBdr>
    </w:div>
    <w:div w:id="1561480802">
      <w:bodyDiv w:val="1"/>
      <w:marLeft w:val="0"/>
      <w:marRight w:val="0"/>
      <w:marTop w:val="0"/>
      <w:marBottom w:val="0"/>
      <w:divBdr>
        <w:top w:val="none" w:sz="0" w:space="0" w:color="auto"/>
        <w:left w:val="none" w:sz="0" w:space="0" w:color="auto"/>
        <w:bottom w:val="none" w:sz="0" w:space="0" w:color="auto"/>
        <w:right w:val="none" w:sz="0" w:space="0" w:color="auto"/>
      </w:divBdr>
    </w:div>
    <w:div w:id="1630358122">
      <w:bodyDiv w:val="1"/>
      <w:marLeft w:val="0"/>
      <w:marRight w:val="0"/>
      <w:marTop w:val="0"/>
      <w:marBottom w:val="0"/>
      <w:divBdr>
        <w:top w:val="none" w:sz="0" w:space="0" w:color="auto"/>
        <w:left w:val="none" w:sz="0" w:space="0" w:color="auto"/>
        <w:bottom w:val="none" w:sz="0" w:space="0" w:color="auto"/>
        <w:right w:val="none" w:sz="0" w:space="0" w:color="auto"/>
      </w:divBdr>
    </w:div>
    <w:div w:id="1759668626">
      <w:bodyDiv w:val="1"/>
      <w:marLeft w:val="0"/>
      <w:marRight w:val="0"/>
      <w:marTop w:val="0"/>
      <w:marBottom w:val="0"/>
      <w:divBdr>
        <w:top w:val="none" w:sz="0" w:space="0" w:color="auto"/>
        <w:left w:val="none" w:sz="0" w:space="0" w:color="auto"/>
        <w:bottom w:val="none" w:sz="0" w:space="0" w:color="auto"/>
        <w:right w:val="none" w:sz="0" w:space="0" w:color="auto"/>
      </w:divBdr>
    </w:div>
    <w:div w:id="18384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eeoc.gov/facts/pandemic_flu.html" TargetMode="External"/><Relationship Id="rId3" Type="http://schemas.openxmlformats.org/officeDocument/2006/relationships/hyperlink" Target="http://wwwnc.cdc.gov/eid/article/8/10/02-0400.htm" TargetMode="External"/><Relationship Id="rId7" Type="http://schemas.openxmlformats.org/officeDocument/2006/relationships/hyperlink" Target="http://www.osha.gov/workers.html" TargetMode="External"/><Relationship Id="rId2" Type="http://schemas.openxmlformats.org/officeDocument/2006/relationships/hyperlink" Target="http://cdc.gov/phlp/docs/CDC_BJA_Framework.pdf" TargetMode="External"/><Relationship Id="rId1" Type="http://schemas.openxmlformats.org/officeDocument/2006/relationships/hyperlink" Target="http://www.rcfp.org/sites/default/files/homefront-confidential.pdf" TargetMode="External"/><Relationship Id="rId6" Type="http://schemas.openxmlformats.org/officeDocument/2006/relationships/hyperlink" Target="http://wwwnc.cdc.gov/eid/article/8/10/02-0465_article.htm" TargetMode="External"/><Relationship Id="rId5" Type="http://schemas.openxmlformats.org/officeDocument/2006/relationships/hyperlink" Target="https://www.ncjrs.gov/pdffiles1/bja/214333.pdf" TargetMode="External"/><Relationship Id="rId4" Type="http://schemas.openxmlformats.org/officeDocument/2006/relationships/hyperlink" Target="http://wwwnc.cdc.gov/eid/article/8/10/02-0465_article.htm" TargetMode="External"/><Relationship Id="rId9" Type="http://schemas.openxmlformats.org/officeDocument/2006/relationships/hyperlink" Target="http://www.eeoc.gov/facts/pandemic_fl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9</Pages>
  <Words>3107</Words>
  <Characters>17711</Characters>
  <Application>Microsoft Office Word</Application>
  <DocSecurity>0</DocSecurity>
  <Lines>147</Lines>
  <Paragraphs>41</Paragraphs>
  <ScaleCrop>false</ScaleCrop>
  <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319</cp:revision>
  <dcterms:created xsi:type="dcterms:W3CDTF">2020-03-14T00:27:00Z</dcterms:created>
  <dcterms:modified xsi:type="dcterms:W3CDTF">2020-03-15T18:51:00Z</dcterms:modified>
</cp:coreProperties>
</file>