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150A1" w14:textId="7C551130" w:rsidR="008C382B" w:rsidRDefault="008C382B" w:rsidP="008C382B">
      <w:pPr>
        <w:spacing w:after="120"/>
        <w:jc w:val="center"/>
        <w:rPr>
          <w:rFonts w:ascii="Calibri" w:eastAsia="Times New Roman" w:hAnsi="Calibri" w:cs="Calibri"/>
          <w:b/>
          <w:bCs/>
          <w:color w:val="333333"/>
          <w:spacing w:val="15"/>
          <w:kern w:val="36"/>
          <w:sz w:val="28"/>
          <w:szCs w:val="28"/>
        </w:rPr>
      </w:pPr>
      <w:r w:rsidRPr="008C382B">
        <w:rPr>
          <w:rFonts w:ascii="Calibri" w:eastAsia="Times New Roman" w:hAnsi="Calibri" w:cs="Calibri"/>
          <w:b/>
          <w:bCs/>
          <w:color w:val="333333"/>
          <w:spacing w:val="15"/>
          <w:kern w:val="36"/>
          <w:sz w:val="24"/>
          <w:szCs w:val="24"/>
        </w:rPr>
        <w:t>PUBLIC HEALTH AGENCIES AS EMPLOYERS</w:t>
      </w:r>
      <w:r w:rsidR="00A65A91" w:rsidRPr="00A65A91">
        <w:rPr>
          <w:rFonts w:ascii="Calibri" w:eastAsia="Times New Roman" w:hAnsi="Calibri" w:cs="Calibri"/>
          <w:b/>
          <w:bCs/>
          <w:color w:val="333333"/>
          <w:spacing w:val="15"/>
          <w:kern w:val="36"/>
          <w:sz w:val="28"/>
          <w:szCs w:val="28"/>
        </w:rPr>
        <w:t>:</w:t>
      </w:r>
    </w:p>
    <w:p w14:paraId="5DF19732" w14:textId="77777777" w:rsidR="008C382B" w:rsidRDefault="008C382B" w:rsidP="008C382B">
      <w:pPr>
        <w:jc w:val="center"/>
        <w:rPr>
          <w:rFonts w:ascii="Calibri" w:eastAsia="Times New Roman" w:hAnsi="Calibri" w:cs="Calibri"/>
          <w:b/>
          <w:bCs/>
          <w:color w:val="333333"/>
          <w:spacing w:val="15"/>
          <w:kern w:val="36"/>
        </w:rPr>
      </w:pPr>
      <w:r w:rsidRPr="008C382B">
        <w:rPr>
          <w:rFonts w:ascii="Calibri" w:eastAsia="Times New Roman" w:hAnsi="Calibri" w:cs="Calibri"/>
          <w:b/>
          <w:bCs/>
          <w:color w:val="333333"/>
          <w:spacing w:val="15"/>
          <w:kern w:val="36"/>
        </w:rPr>
        <w:t>OBTAINING AND USING EMPLOYEE HEALTH</w:t>
      </w:r>
      <w:r>
        <w:rPr>
          <w:rFonts w:ascii="Calibri" w:eastAsia="Times New Roman" w:hAnsi="Calibri" w:cs="Calibri"/>
          <w:b/>
          <w:bCs/>
          <w:color w:val="333333"/>
          <w:spacing w:val="15"/>
          <w:kern w:val="36"/>
        </w:rPr>
        <w:t xml:space="preserve"> </w:t>
      </w:r>
      <w:r w:rsidRPr="008C382B">
        <w:rPr>
          <w:rFonts w:ascii="Calibri" w:eastAsia="Times New Roman" w:hAnsi="Calibri" w:cs="Calibri"/>
          <w:b/>
          <w:bCs/>
          <w:color w:val="333333"/>
          <w:spacing w:val="15"/>
          <w:kern w:val="36"/>
        </w:rPr>
        <w:t xml:space="preserve">INFORMATION </w:t>
      </w:r>
    </w:p>
    <w:p w14:paraId="266CB7C3" w14:textId="3ADB2533" w:rsidR="00BD30AD" w:rsidRPr="008C382B" w:rsidRDefault="008C382B" w:rsidP="008C382B">
      <w:pPr>
        <w:jc w:val="center"/>
        <w:rPr>
          <w:rFonts w:ascii="Calibri" w:eastAsia="Times New Roman" w:hAnsi="Calibri" w:cs="Calibri"/>
          <w:b/>
          <w:bCs/>
          <w:color w:val="333333"/>
          <w:spacing w:val="15"/>
          <w:kern w:val="36"/>
        </w:rPr>
      </w:pPr>
      <w:r w:rsidRPr="008C382B">
        <w:rPr>
          <w:rFonts w:ascii="Calibri" w:eastAsia="Times New Roman" w:hAnsi="Calibri" w:cs="Calibri"/>
          <w:b/>
          <w:bCs/>
          <w:color w:val="333333"/>
          <w:spacing w:val="15"/>
          <w:kern w:val="36"/>
        </w:rPr>
        <w:t xml:space="preserve">FOR </w:t>
      </w:r>
      <w:r w:rsidR="00774E5C">
        <w:rPr>
          <w:rFonts w:ascii="Calibri" w:eastAsia="Times New Roman" w:hAnsi="Calibri" w:cs="Calibri"/>
          <w:b/>
          <w:bCs/>
          <w:color w:val="333333"/>
          <w:spacing w:val="15"/>
          <w:kern w:val="36"/>
        </w:rPr>
        <w:t xml:space="preserve">EMERGENCY </w:t>
      </w:r>
      <w:r w:rsidRPr="008C382B">
        <w:rPr>
          <w:rFonts w:ascii="Calibri" w:eastAsia="Times New Roman" w:hAnsi="Calibri" w:cs="Calibri"/>
          <w:b/>
          <w:bCs/>
          <w:color w:val="333333"/>
          <w:spacing w:val="15"/>
          <w:kern w:val="36"/>
        </w:rPr>
        <w:t>PREPAREDNESS PLANNING AND RESPONSE</w:t>
      </w:r>
    </w:p>
    <w:p w14:paraId="2E66CFD7" w14:textId="77777777" w:rsidR="00BD30AD" w:rsidRPr="00BD30AD" w:rsidRDefault="00BD30AD" w:rsidP="00A5445A">
      <w:pPr>
        <w:spacing w:line="360" w:lineRule="auto"/>
        <w:rPr>
          <w:rFonts w:ascii="Calibri" w:eastAsia="Times New Roman" w:hAnsi="Calibri" w:cs="Calibri"/>
          <w:b/>
          <w:bCs/>
        </w:rPr>
      </w:pPr>
    </w:p>
    <w:p w14:paraId="1231A32E" w14:textId="77777777" w:rsidR="008C382B" w:rsidRDefault="008C382B" w:rsidP="00A5445A">
      <w:pPr>
        <w:spacing w:line="360" w:lineRule="auto"/>
        <w:rPr>
          <w:rFonts w:ascii="Calibri" w:eastAsia="Times New Roman" w:hAnsi="Calibri" w:cs="Calibri"/>
          <w:b/>
          <w:bCs/>
        </w:rPr>
      </w:pPr>
    </w:p>
    <w:p w14:paraId="4EB039B4" w14:textId="6A7128A8" w:rsidR="00A65A91" w:rsidRPr="00A65A91" w:rsidRDefault="00A65A91" w:rsidP="00A5445A">
      <w:pPr>
        <w:spacing w:line="360" w:lineRule="auto"/>
        <w:rPr>
          <w:rFonts w:ascii="Calibri" w:eastAsia="Times New Roman" w:hAnsi="Calibri" w:cs="Calibri"/>
          <w:b/>
          <w:bCs/>
        </w:rPr>
      </w:pPr>
      <w:r w:rsidRPr="00A65A91">
        <w:rPr>
          <w:rFonts w:ascii="Calibri" w:eastAsia="Times New Roman" w:hAnsi="Calibri" w:cs="Calibri"/>
          <w:b/>
          <w:bCs/>
        </w:rPr>
        <w:t>Introduction</w:t>
      </w:r>
    </w:p>
    <w:p w14:paraId="59A29005" w14:textId="6F12B3D3" w:rsidR="00A65A91" w:rsidRPr="00BD30AD" w:rsidRDefault="00A65A91" w:rsidP="008C382B">
      <w:pPr>
        <w:pStyle w:val="15para"/>
        <w:rPr>
          <w:bdr w:val="none" w:sz="0" w:space="0" w:color="auto" w:frame="1"/>
          <w:vertAlign w:val="superscript"/>
        </w:rPr>
      </w:pPr>
      <w:r w:rsidRPr="00A65A91">
        <w:t xml:space="preserve">Public health agencies have a unique challenge when it comes to the collection, use, disclosure, and protection of employee health information. Public health agencies serve many roles, including employer, healthcare provider, and public health authority. These roles might create tension </w:t>
      </w:r>
      <w:r w:rsidR="00AC6539" w:rsidRPr="00A65A91">
        <w:t>regarding</w:t>
      </w:r>
      <w:r w:rsidRPr="00A65A91">
        <w:t xml:space="preserve"> employee health information, especially during a public health emergency. Public health agencies-like other employers-must ensure the safety and health of their workforce and continuity of operations in the event of an emergency. Consequently, CDC and the Occupational Safety and Health Administration (OSHA) have published guidance and tools to help employers prepare for </w:t>
      </w:r>
      <w:r w:rsidR="000D3A95">
        <w:t xml:space="preserve">all types of </w:t>
      </w:r>
      <w:r w:rsidRPr="00A65A91">
        <w:t>emergencies.</w:t>
      </w:r>
      <w:r w:rsidR="00EF45C2">
        <w:rPr>
          <w:rStyle w:val="FootnoteReference"/>
        </w:rPr>
        <w:footnoteReference w:id="1"/>
      </w:r>
      <w:r w:rsidR="0069584D">
        <w:rPr>
          <w:bdr w:val="none" w:sz="0" w:space="0" w:color="auto" w:frame="1"/>
        </w:rPr>
        <w:t xml:space="preserve"> </w:t>
      </w:r>
      <w:r w:rsidRPr="00A65A91">
        <w:t>Additionally, the U.S. Department of Labor Office of Disability Employment Policy provides resources to help employers and employees prepare the workplace for everyone, accounting for the needs of people with disabilities during a workplace emergency.</w:t>
      </w:r>
      <w:r w:rsidR="00EF45C2">
        <w:rPr>
          <w:rStyle w:val="FootnoteReference"/>
        </w:rPr>
        <w:footnoteReference w:id="2"/>
      </w:r>
    </w:p>
    <w:p w14:paraId="52E83700" w14:textId="77777777" w:rsidR="00BD30AD" w:rsidRPr="00A65A91" w:rsidRDefault="00BD30AD" w:rsidP="008C382B">
      <w:pPr>
        <w:pStyle w:val="15para"/>
      </w:pPr>
    </w:p>
    <w:p w14:paraId="4C7C03A8" w14:textId="7AD8E775" w:rsidR="00A65A91" w:rsidRPr="00BD30AD" w:rsidRDefault="00A65A91" w:rsidP="008C382B">
      <w:pPr>
        <w:pStyle w:val="15para"/>
      </w:pPr>
      <w:r w:rsidRPr="00A65A91">
        <w:t>Collecti</w:t>
      </w:r>
      <w:r w:rsidR="00551D95">
        <w:t>ng and</w:t>
      </w:r>
      <w:r w:rsidR="007100B1">
        <w:t xml:space="preserve"> </w:t>
      </w:r>
      <w:r w:rsidR="00551D95">
        <w:t xml:space="preserve">using </w:t>
      </w:r>
      <w:r w:rsidRPr="00A65A91">
        <w:t xml:space="preserve">information </w:t>
      </w:r>
      <w:r w:rsidR="00551D95">
        <w:t>are</w:t>
      </w:r>
      <w:r w:rsidRPr="00A65A91">
        <w:t xml:space="preserve"> important part</w:t>
      </w:r>
      <w:r w:rsidR="00551D95">
        <w:t>s</w:t>
      </w:r>
      <w:r w:rsidRPr="00A65A91">
        <w:t xml:space="preserve"> of emergency preparation. However, when employers seek or obtain information about employees' health or illness, they must use care to ensure that their actions are consistent with laws that protect employees from discrimination based on disability. </w:t>
      </w:r>
      <w:proofErr w:type="gramStart"/>
      <w:r w:rsidRPr="00A65A91">
        <w:t>In particular, state</w:t>
      </w:r>
      <w:proofErr w:type="gramEnd"/>
      <w:r w:rsidRPr="00A65A91">
        <w:t xml:space="preserve"> and local public health agencies must understand information practices that are limited by the Americans with Disabilities Act of 1990 (ADA) and other federal or state laws that protect employees' health information. </w:t>
      </w:r>
      <w:r w:rsidRPr="00F32F51">
        <w:t>This issue brief discusses the legal framework for information collection and sharing within the workplace for public health emergency planning and response</w:t>
      </w:r>
      <w:r w:rsidR="00A77922" w:rsidRPr="00F32F51">
        <w:t>.</w:t>
      </w:r>
    </w:p>
    <w:p w14:paraId="6B2C948E" w14:textId="77777777" w:rsidR="00BD30AD" w:rsidRPr="00A65A91" w:rsidRDefault="00BD30AD" w:rsidP="008C382B">
      <w:pPr>
        <w:pStyle w:val="15para"/>
      </w:pPr>
    </w:p>
    <w:p w14:paraId="4CA516D4" w14:textId="7BCA7C18" w:rsidR="00A65A91" w:rsidRPr="00A65A91" w:rsidRDefault="00FD566D" w:rsidP="00A5445A">
      <w:pPr>
        <w:spacing w:line="360" w:lineRule="auto"/>
        <w:rPr>
          <w:rFonts w:ascii="Calibri" w:eastAsia="Times New Roman" w:hAnsi="Calibri" w:cs="Calibri"/>
          <w:b/>
          <w:bCs/>
        </w:rPr>
      </w:pPr>
      <w:r w:rsidRPr="00FD566D">
        <w:rPr>
          <w:rFonts w:ascii="Calibri" w:eastAsia="Times New Roman" w:hAnsi="Calibri" w:cs="Calibri"/>
          <w:b/>
          <w:bCs/>
          <w:sz w:val="24"/>
          <w:szCs w:val="24"/>
        </w:rPr>
        <w:t xml:space="preserve">I. Laws Affecting the Collection, Use, </w:t>
      </w:r>
      <w:r>
        <w:rPr>
          <w:rFonts w:ascii="Calibri" w:eastAsia="Times New Roman" w:hAnsi="Calibri" w:cs="Calibri"/>
          <w:b/>
          <w:bCs/>
          <w:sz w:val="24"/>
          <w:szCs w:val="24"/>
        </w:rPr>
        <w:t>a</w:t>
      </w:r>
      <w:r w:rsidRPr="00FD566D">
        <w:rPr>
          <w:rFonts w:ascii="Calibri" w:eastAsia="Times New Roman" w:hAnsi="Calibri" w:cs="Calibri"/>
          <w:b/>
          <w:bCs/>
          <w:sz w:val="24"/>
          <w:szCs w:val="24"/>
        </w:rPr>
        <w:t>nd Disclosure of Employee Health Information</w:t>
      </w:r>
    </w:p>
    <w:p w14:paraId="746991D6" w14:textId="1C7ECFC4" w:rsidR="00A65A91" w:rsidRDefault="00A65A91" w:rsidP="008B69A4">
      <w:pPr>
        <w:pStyle w:val="15para"/>
      </w:pPr>
      <w:r w:rsidRPr="00A65A91">
        <w:lastRenderedPageBreak/>
        <w:t>There are numerous reasons why an employer might collect, use, or share employee health information, including administering leave under the Family and Medical Leave Act</w:t>
      </w:r>
      <w:r w:rsidR="008B69A4">
        <w:rPr>
          <w:rStyle w:val="FootnoteReference"/>
        </w:rPr>
        <w:footnoteReference w:id="3"/>
      </w:r>
      <w:r w:rsidR="008B69A4">
        <w:t xml:space="preserve"> </w:t>
      </w:r>
      <w:r w:rsidRPr="00A65A91">
        <w:t>or complying with provisions of occupational safety and health laws. To ensure an adequate workforce to provide essential services during an emergency, public health agencies may want to monitor their employees' health. A successful response to a public health emergency depends on available workers to manage the emergency and maintain vital services to the community. Tracking employee health would be especially important during a pandemic, biochemical release, or another emergency that may expose employees to disease, illness, or injury. Monitoring employee health ensures that employees whose health is compromised would receive prompt treatment and not expose coworkers, patients, and members of the public to related health threats.</w:t>
      </w:r>
    </w:p>
    <w:p w14:paraId="06C113F3" w14:textId="77777777" w:rsidR="0037662D" w:rsidRDefault="0037662D" w:rsidP="008B69A4">
      <w:pPr>
        <w:pStyle w:val="15para"/>
      </w:pPr>
    </w:p>
    <w:p w14:paraId="4CEB7D9B" w14:textId="3A7E45BC" w:rsidR="00A65A91" w:rsidRDefault="00A65A91" w:rsidP="00A20FDE">
      <w:pPr>
        <w:pStyle w:val="15para"/>
        <w:spacing w:after="120"/>
      </w:pPr>
      <w:r w:rsidRPr="00A65A91">
        <w:t>No federal laws specifically address public health agencies collecting and using employee health information during a public health emergency. Even so, as employers, public health agencies must comply with certain laws regarding their employees regardless of whether an emergency exists. The following two laws are the most pertinent to this issue brief, although this list is not exhaustive and other federal laws may apply:</w:t>
      </w:r>
    </w:p>
    <w:p w14:paraId="55B7187B" w14:textId="275FF435" w:rsidR="008B69A4" w:rsidRDefault="00A65A91" w:rsidP="00A20FDE">
      <w:pPr>
        <w:pStyle w:val="15para"/>
        <w:numPr>
          <w:ilvl w:val="0"/>
          <w:numId w:val="14"/>
        </w:numPr>
        <w:spacing w:after="120"/>
      </w:pPr>
      <w:r w:rsidRPr="008B69A4">
        <w:rPr>
          <w:b/>
          <w:bCs/>
          <w:bdr w:val="none" w:sz="0" w:space="0" w:color="auto" w:frame="1"/>
        </w:rPr>
        <w:t>Occupational Safety and Health Act (OSH Act)</w:t>
      </w:r>
      <w:r w:rsidR="008B69A4">
        <w:t xml:space="preserve"> - </w:t>
      </w:r>
      <w:r w:rsidRPr="00A65A91">
        <w:t>The OHS Act requires employers to provide employees with a safe and healthful workplace by setting and enforcing standards.</w:t>
      </w:r>
      <w:r w:rsidR="008B69A4">
        <w:rPr>
          <w:rStyle w:val="FootnoteReference"/>
        </w:rPr>
        <w:footnoteReference w:id="4"/>
      </w:r>
    </w:p>
    <w:p w14:paraId="79016725" w14:textId="7DB714C4" w:rsidR="00A65A91" w:rsidRPr="00A65A91" w:rsidRDefault="00A65A91" w:rsidP="002276C1">
      <w:pPr>
        <w:pStyle w:val="15para"/>
        <w:numPr>
          <w:ilvl w:val="0"/>
          <w:numId w:val="14"/>
        </w:numPr>
      </w:pPr>
      <w:r w:rsidRPr="008B69A4">
        <w:rPr>
          <w:b/>
          <w:bCs/>
          <w:bdr w:val="none" w:sz="0" w:space="0" w:color="auto" w:frame="1"/>
        </w:rPr>
        <w:t>Americans with Disabilities Act of 1990 (ADA)</w:t>
      </w:r>
      <w:r w:rsidR="008B69A4" w:rsidRPr="005F70E5">
        <w:rPr>
          <w:bdr w:val="none" w:sz="0" w:space="0" w:color="auto" w:frame="1"/>
        </w:rPr>
        <w:t xml:space="preserve"> - </w:t>
      </w:r>
      <w:r w:rsidRPr="00A65A91">
        <w:t xml:space="preserve">ADA is a broad civil rights law that prohibits discrimination </w:t>
      </w:r>
      <w:r w:rsidR="00286E1B" w:rsidRPr="00A65A91">
        <w:t>based on</w:t>
      </w:r>
      <w:r w:rsidRPr="00A65A91">
        <w:t xml:space="preserve"> disability.</w:t>
      </w:r>
      <w:r w:rsidR="008B69A4">
        <w:rPr>
          <w:rStyle w:val="FootnoteReference"/>
        </w:rPr>
        <w:footnoteReference w:id="5"/>
      </w:r>
    </w:p>
    <w:p w14:paraId="3B905225" w14:textId="77777777" w:rsidR="008B69A4" w:rsidRDefault="008B69A4" w:rsidP="008B69A4">
      <w:pPr>
        <w:pStyle w:val="15para"/>
      </w:pPr>
    </w:p>
    <w:p w14:paraId="45DEE9AE" w14:textId="701CC5C0" w:rsidR="00A65A91" w:rsidRDefault="00A65A91" w:rsidP="008B69A4">
      <w:pPr>
        <w:pStyle w:val="15para"/>
        <w:rPr>
          <w:bdr w:val="none" w:sz="0" w:space="0" w:color="auto" w:frame="1"/>
          <w:vertAlign w:val="superscript"/>
        </w:rPr>
      </w:pPr>
      <w:r w:rsidRPr="00A65A91">
        <w:t>Although the federal Privacy Rule,</w:t>
      </w:r>
      <w:r w:rsidR="002308AA">
        <w:rPr>
          <w:rStyle w:val="FootnoteReference"/>
        </w:rPr>
        <w:footnoteReference w:id="6"/>
      </w:r>
      <w:r w:rsidR="00F47911">
        <w:rPr>
          <w:bdr w:val="none" w:sz="0" w:space="0" w:color="auto" w:frame="1"/>
          <w:vertAlign w:val="superscript"/>
        </w:rPr>
        <w:t xml:space="preserve"> </w:t>
      </w:r>
      <w:r w:rsidRPr="00A65A91">
        <w:t>adopted under the Health Insurance Portability and Accountability Act (HIPAA),</w:t>
      </w:r>
      <w:r w:rsidR="00F47911">
        <w:rPr>
          <w:rStyle w:val="FootnoteReference"/>
        </w:rPr>
        <w:footnoteReference w:id="7"/>
      </w:r>
      <w:r w:rsidR="00B429F2">
        <w:t xml:space="preserve"> </w:t>
      </w:r>
      <w:r w:rsidRPr="00A65A91">
        <w:t>sets national standards to protect identifiable health information, the rule does not protect information that is included in employment records held by a covered entity in its role as employer</w:t>
      </w:r>
      <w:r w:rsidR="008E77E5">
        <w:t>.</w:t>
      </w:r>
      <w:r w:rsidR="008E77E5">
        <w:rPr>
          <w:rStyle w:val="FootnoteReference"/>
        </w:rPr>
        <w:footnoteReference w:id="8"/>
      </w:r>
    </w:p>
    <w:p w14:paraId="7555A0DD" w14:textId="77777777" w:rsidR="00F71DF0" w:rsidRPr="00A65A91" w:rsidRDefault="00F71DF0" w:rsidP="008B69A4">
      <w:pPr>
        <w:pStyle w:val="15para"/>
      </w:pPr>
    </w:p>
    <w:p w14:paraId="13B7A024" w14:textId="77777777" w:rsidR="00A65A91" w:rsidRPr="00A65A91" w:rsidRDefault="00A65A91" w:rsidP="008B69A4">
      <w:pPr>
        <w:pStyle w:val="15para"/>
      </w:pPr>
      <w:r w:rsidRPr="00A65A91">
        <w:lastRenderedPageBreak/>
        <w:t>Although state law is beyond the scope of this issue brief, a public health agency must identify, understand, and comply with all state laws that govern this area. All areas of state law that could affect the collection, use, disclosure, and protection of employee health information must be considered. Possible areas of state law to consider include:</w:t>
      </w:r>
    </w:p>
    <w:p w14:paraId="06873616" w14:textId="77777777" w:rsidR="00A65A91" w:rsidRPr="00F71DF0" w:rsidRDefault="00A65A91" w:rsidP="00A5445A">
      <w:pPr>
        <w:pStyle w:val="ListParagraph"/>
        <w:numPr>
          <w:ilvl w:val="0"/>
          <w:numId w:val="11"/>
        </w:numPr>
        <w:spacing w:after="80" w:line="360" w:lineRule="auto"/>
        <w:contextualSpacing w:val="0"/>
        <w:textAlignment w:val="baseline"/>
        <w:rPr>
          <w:rFonts w:ascii="Calibri" w:eastAsia="Times New Roman" w:hAnsi="Calibri" w:cs="Calibri"/>
        </w:rPr>
      </w:pPr>
      <w:r w:rsidRPr="00F71DF0">
        <w:rPr>
          <w:rFonts w:ascii="Calibri" w:eastAsia="Times New Roman" w:hAnsi="Calibri" w:cs="Calibri"/>
        </w:rPr>
        <w:t>Laws governing public health agencies.</w:t>
      </w:r>
    </w:p>
    <w:p w14:paraId="0C329587" w14:textId="77777777" w:rsidR="00A65A91" w:rsidRPr="00F71DF0" w:rsidRDefault="00A65A91" w:rsidP="00A5445A">
      <w:pPr>
        <w:pStyle w:val="ListParagraph"/>
        <w:numPr>
          <w:ilvl w:val="0"/>
          <w:numId w:val="11"/>
        </w:numPr>
        <w:spacing w:after="80" w:line="360" w:lineRule="auto"/>
        <w:contextualSpacing w:val="0"/>
        <w:textAlignment w:val="baseline"/>
        <w:rPr>
          <w:rFonts w:ascii="Calibri" w:eastAsia="Times New Roman" w:hAnsi="Calibri" w:cs="Calibri"/>
        </w:rPr>
      </w:pPr>
      <w:r w:rsidRPr="00F71DF0">
        <w:rPr>
          <w:rFonts w:ascii="Calibri" w:eastAsia="Times New Roman" w:hAnsi="Calibri" w:cs="Calibri"/>
        </w:rPr>
        <w:t>Laws governing health facilities.</w:t>
      </w:r>
    </w:p>
    <w:p w14:paraId="0B9F23FA" w14:textId="77777777" w:rsidR="00A65A91" w:rsidRPr="00F71DF0" w:rsidRDefault="00A65A91" w:rsidP="00A5445A">
      <w:pPr>
        <w:pStyle w:val="ListParagraph"/>
        <w:numPr>
          <w:ilvl w:val="0"/>
          <w:numId w:val="11"/>
        </w:numPr>
        <w:spacing w:after="80" w:line="360" w:lineRule="auto"/>
        <w:contextualSpacing w:val="0"/>
        <w:textAlignment w:val="baseline"/>
        <w:rPr>
          <w:rFonts w:ascii="Calibri" w:eastAsia="Times New Roman" w:hAnsi="Calibri" w:cs="Calibri"/>
        </w:rPr>
      </w:pPr>
      <w:r w:rsidRPr="00F71DF0">
        <w:rPr>
          <w:rFonts w:ascii="Calibri" w:eastAsia="Times New Roman" w:hAnsi="Calibri" w:cs="Calibri"/>
        </w:rPr>
        <w:t>State privacy and health information privacy laws.</w:t>
      </w:r>
    </w:p>
    <w:p w14:paraId="7333EFAE" w14:textId="77777777" w:rsidR="00A65A91" w:rsidRPr="00F71DF0" w:rsidRDefault="00A65A91" w:rsidP="00A5445A">
      <w:pPr>
        <w:pStyle w:val="ListParagraph"/>
        <w:numPr>
          <w:ilvl w:val="0"/>
          <w:numId w:val="11"/>
        </w:numPr>
        <w:spacing w:after="80" w:line="360" w:lineRule="auto"/>
        <w:contextualSpacing w:val="0"/>
        <w:textAlignment w:val="baseline"/>
        <w:rPr>
          <w:rFonts w:ascii="Calibri" w:eastAsia="Times New Roman" w:hAnsi="Calibri" w:cs="Calibri"/>
        </w:rPr>
      </w:pPr>
      <w:r w:rsidRPr="00F71DF0">
        <w:rPr>
          <w:rFonts w:ascii="Calibri" w:eastAsia="Times New Roman" w:hAnsi="Calibri" w:cs="Calibri"/>
        </w:rPr>
        <w:t>Data collection and management laws, including laws that apply to electronic information.</w:t>
      </w:r>
    </w:p>
    <w:p w14:paraId="2A7ED974" w14:textId="77777777" w:rsidR="00A65A91" w:rsidRPr="00F71DF0" w:rsidRDefault="00A65A91" w:rsidP="00A5445A">
      <w:pPr>
        <w:pStyle w:val="ListParagraph"/>
        <w:numPr>
          <w:ilvl w:val="0"/>
          <w:numId w:val="11"/>
        </w:numPr>
        <w:spacing w:after="80" w:line="360" w:lineRule="auto"/>
        <w:contextualSpacing w:val="0"/>
        <w:textAlignment w:val="baseline"/>
        <w:rPr>
          <w:rFonts w:ascii="Calibri" w:eastAsia="Times New Roman" w:hAnsi="Calibri" w:cs="Calibri"/>
        </w:rPr>
      </w:pPr>
      <w:r w:rsidRPr="00F71DF0">
        <w:rPr>
          <w:rFonts w:ascii="Calibri" w:eastAsia="Times New Roman" w:hAnsi="Calibri" w:cs="Calibri"/>
        </w:rPr>
        <w:t>Freedom of information laws.</w:t>
      </w:r>
    </w:p>
    <w:p w14:paraId="5F68F8B4" w14:textId="77777777" w:rsidR="00A65A91" w:rsidRPr="00F71DF0" w:rsidRDefault="00A65A91" w:rsidP="00A5445A">
      <w:pPr>
        <w:pStyle w:val="ListParagraph"/>
        <w:numPr>
          <w:ilvl w:val="0"/>
          <w:numId w:val="11"/>
        </w:numPr>
        <w:spacing w:after="80" w:line="360" w:lineRule="auto"/>
        <w:contextualSpacing w:val="0"/>
        <w:textAlignment w:val="baseline"/>
        <w:rPr>
          <w:rFonts w:ascii="Calibri" w:eastAsia="Times New Roman" w:hAnsi="Calibri" w:cs="Calibri"/>
        </w:rPr>
      </w:pPr>
      <w:r w:rsidRPr="00F71DF0">
        <w:rPr>
          <w:rFonts w:ascii="Calibri" w:eastAsia="Times New Roman" w:hAnsi="Calibri" w:cs="Calibri"/>
        </w:rPr>
        <w:t>Emergency preparedness laws.</w:t>
      </w:r>
    </w:p>
    <w:p w14:paraId="5919E8C1" w14:textId="77777777" w:rsidR="00A65A91" w:rsidRPr="00F71DF0" w:rsidRDefault="00A65A91" w:rsidP="00A5445A">
      <w:pPr>
        <w:pStyle w:val="ListParagraph"/>
        <w:numPr>
          <w:ilvl w:val="0"/>
          <w:numId w:val="11"/>
        </w:numPr>
        <w:spacing w:after="80" w:line="360" w:lineRule="auto"/>
        <w:contextualSpacing w:val="0"/>
        <w:textAlignment w:val="baseline"/>
        <w:rPr>
          <w:rFonts w:ascii="Calibri" w:eastAsia="Times New Roman" w:hAnsi="Calibri" w:cs="Calibri"/>
        </w:rPr>
      </w:pPr>
      <w:r w:rsidRPr="00F71DF0">
        <w:rPr>
          <w:rFonts w:ascii="Calibri" w:eastAsia="Times New Roman" w:hAnsi="Calibri" w:cs="Calibri"/>
        </w:rPr>
        <w:t>State occupational safety and health laws.</w:t>
      </w:r>
    </w:p>
    <w:p w14:paraId="52032C5F" w14:textId="77777777" w:rsidR="00A65A91" w:rsidRPr="00F71DF0" w:rsidRDefault="00A65A91" w:rsidP="00A5445A">
      <w:pPr>
        <w:pStyle w:val="ListParagraph"/>
        <w:numPr>
          <w:ilvl w:val="0"/>
          <w:numId w:val="11"/>
        </w:numPr>
        <w:spacing w:after="80" w:line="360" w:lineRule="auto"/>
        <w:contextualSpacing w:val="0"/>
        <w:textAlignment w:val="baseline"/>
        <w:rPr>
          <w:rFonts w:ascii="Calibri" w:eastAsia="Times New Roman" w:hAnsi="Calibri" w:cs="Calibri"/>
        </w:rPr>
      </w:pPr>
      <w:r w:rsidRPr="00F71DF0">
        <w:rPr>
          <w:rFonts w:ascii="Calibri" w:eastAsia="Times New Roman" w:hAnsi="Calibri" w:cs="Calibri"/>
        </w:rPr>
        <w:t>State common law (i.e. law developed through court opinions).</w:t>
      </w:r>
    </w:p>
    <w:p w14:paraId="4B43822B" w14:textId="77777777" w:rsidR="00E269B6" w:rsidRDefault="00E269B6" w:rsidP="00E269B6">
      <w:pPr>
        <w:pStyle w:val="15para"/>
      </w:pPr>
    </w:p>
    <w:p w14:paraId="5ECA26CE" w14:textId="13700383" w:rsidR="00A65A91" w:rsidRDefault="00A65A91" w:rsidP="00E269B6">
      <w:pPr>
        <w:pStyle w:val="15para"/>
      </w:pPr>
      <w:r w:rsidRPr="00A65A91">
        <w:t>Public health agencies should also review collective bargaining agreements and workplace policies and procedures to ensure that they comply with applicable laws and to address any obstacles that they present to effective preparedness and response.</w:t>
      </w:r>
    </w:p>
    <w:p w14:paraId="7E821DCF" w14:textId="77777777" w:rsidR="008D3581" w:rsidRPr="00A65A91" w:rsidRDefault="008D3581" w:rsidP="00E269B6">
      <w:pPr>
        <w:pStyle w:val="15para"/>
      </w:pPr>
    </w:p>
    <w:p w14:paraId="0C3F9511" w14:textId="3721D6D5" w:rsidR="00A65A91" w:rsidRPr="0024448A" w:rsidRDefault="00A65A91" w:rsidP="00A5445A">
      <w:pPr>
        <w:spacing w:line="360" w:lineRule="auto"/>
        <w:rPr>
          <w:rFonts w:ascii="Calibri" w:eastAsia="Times New Roman" w:hAnsi="Calibri" w:cs="Calibri"/>
          <w:b/>
          <w:bCs/>
          <w:sz w:val="24"/>
          <w:szCs w:val="24"/>
        </w:rPr>
      </w:pPr>
      <w:r w:rsidRPr="0024448A">
        <w:rPr>
          <w:rFonts w:ascii="Calibri" w:eastAsia="Times New Roman" w:hAnsi="Calibri" w:cs="Calibri"/>
          <w:b/>
          <w:bCs/>
          <w:sz w:val="24"/>
          <w:szCs w:val="24"/>
        </w:rPr>
        <w:t>II. Occupational Safety and Health Act</w:t>
      </w:r>
    </w:p>
    <w:p w14:paraId="61FFD48D" w14:textId="74984CC3" w:rsidR="008B693D" w:rsidRDefault="007E3FDD" w:rsidP="002276C1">
      <w:pPr>
        <w:pStyle w:val="15para"/>
        <w:spacing w:after="120"/>
      </w:pPr>
      <w:r>
        <w:t>The Occupational Safety and Health Act (</w:t>
      </w:r>
      <w:r w:rsidR="00A65A91" w:rsidRPr="00A65A91">
        <w:t>OSH Act</w:t>
      </w:r>
      <w:r w:rsidR="00EA6370">
        <w:t xml:space="preserve">) makes </w:t>
      </w:r>
      <w:r w:rsidR="00A65A91" w:rsidRPr="00A65A91">
        <w:t>employers responsible for providing a safe and healthful workplace for employees.</w:t>
      </w:r>
      <w:r w:rsidR="007265D7">
        <w:rPr>
          <w:rStyle w:val="FootnoteReference"/>
        </w:rPr>
        <w:footnoteReference w:id="9"/>
      </w:r>
      <w:r w:rsidR="00A65A91" w:rsidRPr="00A65A91">
        <w:t xml:space="preserve"> </w:t>
      </w:r>
      <w:r w:rsidR="008B693D" w:rsidRPr="00A65A91">
        <w:t>The OSH Act covers most employees in the private sector</w:t>
      </w:r>
      <w:r w:rsidR="0025413C">
        <w:t>;</w:t>
      </w:r>
      <w:r w:rsidR="008B693D">
        <w:rPr>
          <w:rStyle w:val="FootnoteReference"/>
        </w:rPr>
        <w:footnoteReference w:id="10"/>
      </w:r>
      <w:r w:rsidR="008B693D">
        <w:t xml:space="preserve"> </w:t>
      </w:r>
      <w:r w:rsidR="00973AC6">
        <w:t>s</w:t>
      </w:r>
      <w:r w:rsidR="008B693D" w:rsidRPr="00A65A91">
        <w:t>tate and local government workers are excluded from federal coverage under the OSH Act.</w:t>
      </w:r>
      <w:r w:rsidR="008B693D">
        <w:rPr>
          <w:rStyle w:val="FootnoteReference"/>
        </w:rPr>
        <w:footnoteReference w:id="11"/>
      </w:r>
      <w:r w:rsidR="008B693D">
        <w:t xml:space="preserve"> </w:t>
      </w:r>
      <w:r w:rsidR="00DA2B06">
        <w:t>Howe</w:t>
      </w:r>
      <w:r w:rsidR="004D761E">
        <w:t>ver</w:t>
      </w:r>
      <w:r w:rsidR="00144C52">
        <w:t>,</w:t>
      </w:r>
      <w:r w:rsidR="004D761E">
        <w:t xml:space="preserve"> t</w:t>
      </w:r>
      <w:r w:rsidR="00974D8D">
        <w:t xml:space="preserve">here are three </w:t>
      </w:r>
      <w:r w:rsidR="00EC6AE2">
        <w:t xml:space="preserve">approaches used by OSHA to </w:t>
      </w:r>
      <w:r w:rsidR="00E15EE6">
        <w:t xml:space="preserve">achieve the </w:t>
      </w:r>
      <w:r w:rsidR="00245928">
        <w:t>purposes of the OSH Act</w:t>
      </w:r>
      <w:r w:rsidR="00475AA6">
        <w:t xml:space="preserve"> </w:t>
      </w:r>
      <w:r w:rsidR="004F292C">
        <w:t>while</w:t>
      </w:r>
      <w:r w:rsidR="003E3E8B">
        <w:t xml:space="preserve"> providing </w:t>
      </w:r>
      <w:r w:rsidR="00B11321">
        <w:t>health and safety pr</w:t>
      </w:r>
      <w:r w:rsidR="00B63033">
        <w:t xml:space="preserve">otections </w:t>
      </w:r>
      <w:r w:rsidR="003F4E7F">
        <w:t xml:space="preserve">to </w:t>
      </w:r>
      <w:r w:rsidR="004F292C">
        <w:t xml:space="preserve">both </w:t>
      </w:r>
      <w:r w:rsidR="003F4E7F">
        <w:t>private sector and</w:t>
      </w:r>
      <w:r w:rsidR="004F292C">
        <w:t xml:space="preserve"> </w:t>
      </w:r>
      <w:r w:rsidR="003F4E7F">
        <w:t>state</w:t>
      </w:r>
      <w:r w:rsidR="004F292C">
        <w:t>/</w:t>
      </w:r>
      <w:r w:rsidR="003F4E7F">
        <w:t>local government employees</w:t>
      </w:r>
      <w:r w:rsidR="00A80743">
        <w:t>.</w:t>
      </w:r>
    </w:p>
    <w:p w14:paraId="062AB163" w14:textId="27D600FF" w:rsidR="00642D3C" w:rsidRDefault="0033754B" w:rsidP="002509EB">
      <w:pPr>
        <w:pStyle w:val="15para"/>
        <w:numPr>
          <w:ilvl w:val="0"/>
          <w:numId w:val="16"/>
        </w:numPr>
        <w:spacing w:after="120"/>
      </w:pPr>
      <w:r w:rsidRPr="009B23F8">
        <w:rPr>
          <w:b/>
          <w:bCs/>
        </w:rPr>
        <w:t xml:space="preserve">OSHA-approved state </w:t>
      </w:r>
      <w:r w:rsidR="00037786" w:rsidRPr="009B23F8">
        <w:rPr>
          <w:b/>
          <w:bCs/>
        </w:rPr>
        <w:t>pl</w:t>
      </w:r>
      <w:r w:rsidRPr="009B23F8">
        <w:rPr>
          <w:b/>
          <w:bCs/>
        </w:rPr>
        <w:t>an</w:t>
      </w:r>
      <w:r w:rsidR="00037786" w:rsidRPr="009B23F8">
        <w:rPr>
          <w:b/>
          <w:bCs/>
        </w:rPr>
        <w:t xml:space="preserve"> that</w:t>
      </w:r>
      <w:r w:rsidRPr="009B23F8">
        <w:rPr>
          <w:b/>
          <w:bCs/>
        </w:rPr>
        <w:t xml:space="preserve"> cover</w:t>
      </w:r>
      <w:r w:rsidR="00B117B9" w:rsidRPr="009B23F8">
        <w:rPr>
          <w:b/>
          <w:bCs/>
        </w:rPr>
        <w:t>s</w:t>
      </w:r>
      <w:r w:rsidRPr="009B23F8">
        <w:rPr>
          <w:b/>
          <w:bCs/>
        </w:rPr>
        <w:t xml:space="preserve"> private and state/local government workplaces</w:t>
      </w:r>
      <w:r w:rsidR="00037786">
        <w:t xml:space="preserve"> </w:t>
      </w:r>
      <w:r w:rsidR="00810A6A">
        <w:t>–</w:t>
      </w:r>
      <w:r w:rsidR="00037786">
        <w:t xml:space="preserve"> </w:t>
      </w:r>
      <w:r w:rsidR="003851BD">
        <w:t>S</w:t>
      </w:r>
      <w:r w:rsidR="009B23F8" w:rsidRPr="00A65A91">
        <w:t xml:space="preserve">tates operating their own state workplace safety and health programs under OSHA-approved plans are </w:t>
      </w:r>
      <w:r w:rsidR="009B23F8" w:rsidRPr="00A65A91">
        <w:lastRenderedPageBreak/>
        <w:t xml:space="preserve">required to extend their coverage to </w:t>
      </w:r>
      <w:r w:rsidR="000776BE">
        <w:t xml:space="preserve">both </w:t>
      </w:r>
      <w:r w:rsidR="00D573A8">
        <w:t xml:space="preserve">private and </w:t>
      </w:r>
      <w:r w:rsidR="009B23F8" w:rsidRPr="00A65A91">
        <w:t>public sector workers in the state.</w:t>
      </w:r>
      <w:r w:rsidR="009B23F8">
        <w:rPr>
          <w:rStyle w:val="FootnoteReference"/>
        </w:rPr>
        <w:footnoteReference w:id="12"/>
      </w:r>
      <w:r w:rsidR="009B23F8" w:rsidRPr="00A65A91">
        <w:t xml:space="preserve"> States must set job safety and health standards that are at least as effective as comparable federal standards and most states adopt standards identical to the federal OSH Act.</w:t>
      </w:r>
      <w:r w:rsidR="00701AF5" w:rsidRPr="00701AF5">
        <w:rPr>
          <w:rStyle w:val="FootnoteReference"/>
        </w:rPr>
        <w:t xml:space="preserve"> </w:t>
      </w:r>
      <w:r w:rsidR="00701AF5">
        <w:rPr>
          <w:rStyle w:val="FootnoteReference"/>
        </w:rPr>
        <w:footnoteReference w:id="13"/>
      </w:r>
      <w:r w:rsidR="009B23F8" w:rsidRPr="00A65A91">
        <w:t xml:space="preserve"> </w:t>
      </w:r>
      <w:r w:rsidR="00637E6A" w:rsidRPr="00637E6A">
        <w:t xml:space="preserve">OSHA monitors all </w:t>
      </w:r>
      <w:r w:rsidR="00862ED1">
        <w:t>state p</w:t>
      </w:r>
      <w:r w:rsidR="00637E6A" w:rsidRPr="00637E6A">
        <w:t xml:space="preserve">lans and </w:t>
      </w:r>
      <w:r w:rsidR="00862ED1" w:rsidRPr="00637E6A">
        <w:t>offers</w:t>
      </w:r>
      <w:r w:rsidR="00637E6A" w:rsidRPr="00637E6A">
        <w:t xml:space="preserve"> as much as 50 percent of the funding for each </w:t>
      </w:r>
      <w:r w:rsidR="00862ED1">
        <w:t>s</w:t>
      </w:r>
      <w:r w:rsidR="0076559C">
        <w:t xml:space="preserve">tate’s </w:t>
      </w:r>
      <w:r w:rsidR="00637E6A" w:rsidRPr="00637E6A">
        <w:t>program.</w:t>
      </w:r>
      <w:r w:rsidR="0076559C">
        <w:rPr>
          <w:rStyle w:val="FootnoteReference"/>
        </w:rPr>
        <w:footnoteReference w:id="14"/>
      </w:r>
      <w:r w:rsidR="00637E6A" w:rsidRPr="00637E6A">
        <w:t xml:space="preserve"> </w:t>
      </w:r>
      <w:r w:rsidR="009B23F8" w:rsidRPr="00A65A91">
        <w:t>Twenty-two states and jurisdictions currently operate under this model.</w:t>
      </w:r>
      <w:r w:rsidR="009B23F8">
        <w:rPr>
          <w:rStyle w:val="FootnoteReference"/>
        </w:rPr>
        <w:footnoteReference w:id="15"/>
      </w:r>
      <w:r w:rsidR="009B23F8">
        <w:t xml:space="preserve"> </w:t>
      </w:r>
    </w:p>
    <w:p w14:paraId="0AC76EB9" w14:textId="77777777" w:rsidR="00DC6EED" w:rsidRDefault="00810A6A" w:rsidP="00DC6EED">
      <w:pPr>
        <w:pStyle w:val="15para"/>
        <w:numPr>
          <w:ilvl w:val="0"/>
          <w:numId w:val="15"/>
        </w:numPr>
        <w:spacing w:after="120"/>
      </w:pPr>
      <w:r w:rsidRPr="00701AF5">
        <w:rPr>
          <w:b/>
          <w:bCs/>
        </w:rPr>
        <w:t>OSHA-approved state plan that cover</w:t>
      </w:r>
      <w:r w:rsidR="00B117B9" w:rsidRPr="00701AF5">
        <w:rPr>
          <w:b/>
          <w:bCs/>
        </w:rPr>
        <w:t>s</w:t>
      </w:r>
      <w:r w:rsidRPr="00701AF5">
        <w:rPr>
          <w:b/>
          <w:bCs/>
        </w:rPr>
        <w:t xml:space="preserve"> state/local government workplaces</w:t>
      </w:r>
      <w:r w:rsidR="00AA6E58" w:rsidRPr="00701AF5">
        <w:rPr>
          <w:b/>
          <w:bCs/>
        </w:rPr>
        <w:t xml:space="preserve"> only</w:t>
      </w:r>
      <w:r w:rsidR="00AA6E58">
        <w:t xml:space="preserve"> – </w:t>
      </w:r>
      <w:r w:rsidR="00331755" w:rsidRPr="00A65A91">
        <w:t xml:space="preserve">OSHA regulations also permit states to develop plans that cover only public sector workers. In these states, private sector employment remains under federal OSHA jurisdiction. </w:t>
      </w:r>
      <w:r w:rsidR="00164655">
        <w:t>Six</w:t>
      </w:r>
      <w:r w:rsidR="00331755" w:rsidRPr="00A65A91">
        <w:t xml:space="preserve"> states and jurisdictions operate public employee-only plans.</w:t>
      </w:r>
      <w:r w:rsidR="00331755">
        <w:rPr>
          <w:rStyle w:val="FootnoteReference"/>
        </w:rPr>
        <w:footnoteReference w:id="16"/>
      </w:r>
    </w:p>
    <w:p w14:paraId="6B056EB6" w14:textId="007DCF16" w:rsidR="00A65A91" w:rsidRPr="00F16738" w:rsidRDefault="00073F52" w:rsidP="00F16738">
      <w:pPr>
        <w:pStyle w:val="15para"/>
        <w:numPr>
          <w:ilvl w:val="0"/>
          <w:numId w:val="15"/>
        </w:numPr>
        <w:rPr>
          <w:bdr w:val="none" w:sz="0" w:space="0" w:color="auto" w:frame="1"/>
        </w:rPr>
      </w:pPr>
      <w:r w:rsidRPr="00F16738">
        <w:rPr>
          <w:b/>
          <w:bCs/>
        </w:rPr>
        <w:t>Federal OSHA program</w:t>
      </w:r>
      <w:r w:rsidR="00B117B9" w:rsidRPr="00F16738">
        <w:rPr>
          <w:b/>
          <w:bCs/>
        </w:rPr>
        <w:t xml:space="preserve"> that covers private</w:t>
      </w:r>
      <w:r w:rsidRPr="00F16738">
        <w:rPr>
          <w:b/>
          <w:bCs/>
        </w:rPr>
        <w:t xml:space="preserve"> </w:t>
      </w:r>
      <w:r w:rsidR="00B117B9" w:rsidRPr="00F16738">
        <w:rPr>
          <w:b/>
          <w:bCs/>
        </w:rPr>
        <w:t>workplaces only</w:t>
      </w:r>
      <w:r w:rsidR="00B117B9">
        <w:t xml:space="preserve"> </w:t>
      </w:r>
      <w:r w:rsidR="007E5A7F">
        <w:t>–</w:t>
      </w:r>
      <w:r>
        <w:t xml:space="preserve"> </w:t>
      </w:r>
      <w:r w:rsidR="00145A34">
        <w:t xml:space="preserve">In </w:t>
      </w:r>
      <w:r w:rsidR="00537A7F">
        <w:t xml:space="preserve">jurisdictions </w:t>
      </w:r>
      <w:r w:rsidR="00261A67">
        <w:t xml:space="preserve">that do not have </w:t>
      </w:r>
      <w:r w:rsidR="001B0EA2">
        <w:t>OSHA-approved state plans</w:t>
      </w:r>
      <w:r w:rsidR="002C413A">
        <w:t xml:space="preserve"> or state/local government-only plans, </w:t>
      </w:r>
      <w:r w:rsidR="00FD42F9">
        <w:t xml:space="preserve">state and local employees </w:t>
      </w:r>
      <w:r w:rsidR="00694DB6">
        <w:t>are not covered under federal OSHA</w:t>
      </w:r>
      <w:r w:rsidR="002754E8">
        <w:t xml:space="preserve">. Only private sector employees are covered by </w:t>
      </w:r>
      <w:r w:rsidR="00A9102D">
        <w:t>federal OSHA programs</w:t>
      </w:r>
      <w:r w:rsidR="00D9625D">
        <w:t xml:space="preserve"> in these jurisdictions</w:t>
      </w:r>
      <w:r w:rsidR="00A9102D">
        <w:t xml:space="preserve">. </w:t>
      </w:r>
      <w:r w:rsidR="00D25DE8" w:rsidRPr="00A65A91">
        <w:t>States without OSHA-approved state job safety and health plans may voluntarily provide safety and health protection to their governmental workers.</w:t>
      </w:r>
      <w:r w:rsidR="00D25DE8">
        <w:t xml:space="preserve"> </w:t>
      </w:r>
      <w:r w:rsidR="0098413B">
        <w:t>In these jurisdictions</w:t>
      </w:r>
      <w:r w:rsidR="003F148E">
        <w:t>, s</w:t>
      </w:r>
      <w:r w:rsidR="00A9102D">
        <w:t>tate and local government</w:t>
      </w:r>
      <w:r w:rsidR="003A1612">
        <w:t xml:space="preserve"> employees are </w:t>
      </w:r>
      <w:r w:rsidR="00BB1CFB">
        <w:t xml:space="preserve">generally covered by health and safety </w:t>
      </w:r>
      <w:r w:rsidR="0098413B">
        <w:t>programs</w:t>
      </w:r>
      <w:r w:rsidR="005F7D3D">
        <w:t xml:space="preserve"> </w:t>
      </w:r>
      <w:r w:rsidR="003F148E">
        <w:t xml:space="preserve">found in </w:t>
      </w:r>
      <w:r w:rsidR="005F7D3D">
        <w:t>state statutes, regulations, and policies</w:t>
      </w:r>
      <w:r w:rsidR="003F148E">
        <w:t>; however the scope o</w:t>
      </w:r>
      <w:r w:rsidR="00EA1DAF">
        <w:t>f these programs can vary</w:t>
      </w:r>
      <w:r w:rsidR="00190EAA">
        <w:t xml:space="preserve"> and they do not receive federal funding or oversite</w:t>
      </w:r>
      <w:r w:rsidR="00EA1DAF">
        <w:t xml:space="preserve">. </w:t>
      </w:r>
      <w:r w:rsidR="00BC4F09">
        <w:t xml:space="preserve">Additionally, </w:t>
      </w:r>
      <w:r w:rsidR="00A65A91" w:rsidRPr="00A65A91">
        <w:t>Environmental Protection Agency (EPA) regulations extend OSHA's hazardous waste operations and emergency response standard</w:t>
      </w:r>
      <w:r w:rsidR="00D5394F">
        <w:rPr>
          <w:rStyle w:val="FootnoteReference"/>
        </w:rPr>
        <w:footnoteReference w:id="17"/>
      </w:r>
      <w:r w:rsidR="00D5394F">
        <w:t xml:space="preserve"> </w:t>
      </w:r>
      <w:r w:rsidR="00A65A91" w:rsidRPr="00A65A91">
        <w:t>to state and local government employees engaged in hazardous waste operations in states that do not have an approved state plan.</w:t>
      </w:r>
      <w:r w:rsidR="00D5394F">
        <w:rPr>
          <w:rStyle w:val="FootnoteReference"/>
        </w:rPr>
        <w:footnoteReference w:id="18"/>
      </w:r>
      <w:r w:rsidR="00DC6EED">
        <w:t xml:space="preserve"> </w:t>
      </w:r>
    </w:p>
    <w:p w14:paraId="1F42DE10" w14:textId="77777777" w:rsidR="00F71DF0" w:rsidRPr="00A65A91" w:rsidRDefault="00F71DF0" w:rsidP="00FC428E">
      <w:pPr>
        <w:pStyle w:val="15para"/>
      </w:pPr>
    </w:p>
    <w:p w14:paraId="0C2543BB" w14:textId="4D7E320B" w:rsidR="00A65A91" w:rsidRPr="00FC428E" w:rsidRDefault="00321972" w:rsidP="00FC428E">
      <w:pPr>
        <w:pStyle w:val="15para"/>
        <w:rPr>
          <w:bdr w:val="none" w:sz="0" w:space="0" w:color="auto" w:frame="1"/>
        </w:rPr>
      </w:pPr>
      <w:r>
        <w:lastRenderedPageBreak/>
        <w:t>E</w:t>
      </w:r>
      <w:r w:rsidR="00A65A91" w:rsidRPr="00A65A91">
        <w:t xml:space="preserve">mployers </w:t>
      </w:r>
      <w:r>
        <w:t xml:space="preserve">operating under the federal program or a OSHA-approved state plan </w:t>
      </w:r>
      <w:r w:rsidR="00A65A91" w:rsidRPr="00A65A91">
        <w:t>must comply with the OSH Act's general duty clause, which requires employers to keep their workplace free of serious recognized hazards.</w:t>
      </w:r>
      <w:r w:rsidR="001A31E3">
        <w:rPr>
          <w:rStyle w:val="FootnoteReference"/>
        </w:rPr>
        <w:footnoteReference w:id="19"/>
      </w:r>
      <w:r w:rsidR="001A31E3">
        <w:t xml:space="preserve"> </w:t>
      </w:r>
      <w:r w:rsidR="00A65A91" w:rsidRPr="00A65A91">
        <w:t>Employers can be cited for violating the general duty clause if there is a recognized hazard and they do not take reasonable steps to prevent or abate it. For example, OSHA has published guidance on what employers should do to help reduce the risk of occupational exposure to pandemic influenza based on the degree of risk that each type of workplace poses.</w:t>
      </w:r>
      <w:r w:rsidR="00FC428E">
        <w:rPr>
          <w:rStyle w:val="FootnoteReference"/>
        </w:rPr>
        <w:footnoteReference w:id="20"/>
      </w:r>
    </w:p>
    <w:p w14:paraId="3900C7EF" w14:textId="77777777" w:rsidR="00F71DF0" w:rsidRPr="00A65A91" w:rsidRDefault="00F71DF0" w:rsidP="001D0E56">
      <w:pPr>
        <w:pStyle w:val="15para"/>
      </w:pPr>
    </w:p>
    <w:p w14:paraId="0CA426F7" w14:textId="0962FE5D" w:rsidR="00A65A91" w:rsidRDefault="00A65A91" w:rsidP="001D0E56">
      <w:pPr>
        <w:pStyle w:val="15para"/>
      </w:pPr>
      <w:r w:rsidRPr="00A65A91">
        <w:t>Covered employers must also comply with occupational safety and health standards promulgated by the U.S. Department of Labor, including general industry standard</w:t>
      </w:r>
      <w:r w:rsidR="00664457">
        <w:t xml:space="preserve"> </w:t>
      </w:r>
      <w:r w:rsidRPr="00A65A91">
        <w:t>that apply to all workplaces, such as hazardous material and blood-borne pathogen exposures.</w:t>
      </w:r>
      <w:r w:rsidR="00664457">
        <w:rPr>
          <w:rStyle w:val="FootnoteReference"/>
        </w:rPr>
        <w:footnoteReference w:id="21"/>
      </w:r>
      <w:r w:rsidRPr="00A65A91">
        <w:t xml:space="preserve"> Depending on the nature of an employee's duties, employers may be required to conduct medical screening and surveillance programs to monitor employee health and workplace exposure levels. Medical screening and surveillance program standards are specific to each toxic or hazardous substance. Each standard </w:t>
      </w:r>
      <w:proofErr w:type="gramStart"/>
      <w:r w:rsidRPr="00A65A91">
        <w:t>details</w:t>
      </w:r>
      <w:proofErr w:type="gramEnd"/>
      <w:r w:rsidRPr="00A65A91">
        <w:t xml:space="preserve"> which employees should be tracked, the frequency of examinations, the maximum level of exposure that an employee may receive, and the information an employer must record and maintain for each employee.</w:t>
      </w:r>
    </w:p>
    <w:p w14:paraId="027A8DBA" w14:textId="77777777" w:rsidR="00F71DF0" w:rsidRPr="00A65A91" w:rsidRDefault="00F71DF0" w:rsidP="001D0E56">
      <w:pPr>
        <w:pStyle w:val="15para"/>
      </w:pPr>
    </w:p>
    <w:p w14:paraId="107796E4" w14:textId="4340C4BC" w:rsidR="00A65A91" w:rsidRDefault="00A65A91" w:rsidP="001D0E56">
      <w:pPr>
        <w:pStyle w:val="15para"/>
      </w:pPr>
      <w:r w:rsidRPr="00A65A91">
        <w:t xml:space="preserve">An employer must take care to protect its workforce from </w:t>
      </w:r>
      <w:r w:rsidR="0009633B">
        <w:t>emergencies</w:t>
      </w:r>
      <w:r w:rsidRPr="00A65A91">
        <w:t xml:space="preserve"> and other serious health threats, as well as exposure to specific hazards that might be encountered while protecting the public's health. That said, when seeking information about employees for this purpose, an employer must ensure that any medical inquiries or examinations are conducted in compliance with </w:t>
      </w:r>
      <w:r w:rsidR="00C8570A">
        <w:t>the Americans with Disabilities Act</w:t>
      </w:r>
      <w:r w:rsidRPr="00A65A91">
        <w:t>, as discussed below.</w:t>
      </w:r>
    </w:p>
    <w:p w14:paraId="5EE5375E" w14:textId="77777777" w:rsidR="008D3581" w:rsidRPr="00A65A91" w:rsidRDefault="008D3581" w:rsidP="001D0E56">
      <w:pPr>
        <w:pStyle w:val="15para"/>
      </w:pPr>
    </w:p>
    <w:p w14:paraId="56E47567" w14:textId="40C4D4B8" w:rsidR="00A65A91" w:rsidRPr="00A65A91" w:rsidRDefault="00A65A91" w:rsidP="00A5445A">
      <w:pPr>
        <w:spacing w:line="360" w:lineRule="auto"/>
        <w:rPr>
          <w:rFonts w:ascii="Calibri" w:eastAsia="Times New Roman" w:hAnsi="Calibri" w:cs="Calibri"/>
          <w:b/>
          <w:bCs/>
        </w:rPr>
      </w:pPr>
      <w:r w:rsidRPr="00A65A91">
        <w:rPr>
          <w:rFonts w:ascii="Calibri" w:eastAsia="Times New Roman" w:hAnsi="Calibri" w:cs="Calibri"/>
          <w:b/>
          <w:bCs/>
        </w:rPr>
        <w:t xml:space="preserve">III. Americans </w:t>
      </w:r>
      <w:r w:rsidRPr="002276C1">
        <w:rPr>
          <w:rFonts w:ascii="Calibri" w:eastAsia="Times New Roman" w:hAnsi="Calibri" w:cs="Calibri"/>
          <w:b/>
          <w:bCs/>
          <w:sz w:val="24"/>
          <w:szCs w:val="24"/>
        </w:rPr>
        <w:t>with</w:t>
      </w:r>
      <w:r w:rsidRPr="00A65A91">
        <w:rPr>
          <w:rFonts w:ascii="Calibri" w:eastAsia="Times New Roman" w:hAnsi="Calibri" w:cs="Calibri"/>
          <w:b/>
          <w:bCs/>
        </w:rPr>
        <w:t xml:space="preserve"> Disabilities Act</w:t>
      </w:r>
      <w:r w:rsidR="00E91DBC">
        <w:rPr>
          <w:rFonts w:ascii="Calibri" w:eastAsia="Times New Roman" w:hAnsi="Calibri" w:cs="Calibri"/>
          <w:b/>
          <w:bCs/>
        </w:rPr>
        <w:t xml:space="preserve"> </w:t>
      </w:r>
    </w:p>
    <w:p w14:paraId="2A522689" w14:textId="10B768E2" w:rsidR="00583359" w:rsidRDefault="008465D9" w:rsidP="00360CAD">
      <w:pPr>
        <w:pStyle w:val="15para"/>
      </w:pPr>
      <w:r w:rsidRPr="008465D9">
        <w:t>The Americans with Disabilities Act of 1990 (ADA)</w:t>
      </w:r>
      <w:r w:rsidRPr="008465D9">
        <w:rPr>
          <w:vertAlign w:val="superscript"/>
        </w:rPr>
        <w:t>1</w:t>
      </w:r>
      <w:r w:rsidR="003A3691">
        <w:t xml:space="preserve"> </w:t>
      </w:r>
      <w:r w:rsidRPr="008465D9">
        <w:t xml:space="preserve">is a federal law that gives civil rights protections to individuals with disabilities </w:t>
      </w:r>
      <w:proofErr w:type="gramStart"/>
      <w:r w:rsidRPr="008465D9">
        <w:t>similar to</w:t>
      </w:r>
      <w:proofErr w:type="gramEnd"/>
      <w:r w:rsidRPr="008465D9">
        <w:t xml:space="preserve"> those provided to individuals on the basis of race, color, sex, national origin, age, and religion. </w:t>
      </w:r>
      <w:r w:rsidR="00583359" w:rsidRPr="00583359">
        <w:t>ADA promises equal opportunity for individuals with disabilities in public accommodations, employment, transportation, state and local government services, and telecommunications.</w:t>
      </w:r>
    </w:p>
    <w:p w14:paraId="23B716AD" w14:textId="097547E1" w:rsidR="00583359" w:rsidRDefault="00583359" w:rsidP="00360CAD">
      <w:pPr>
        <w:pStyle w:val="15para"/>
      </w:pPr>
    </w:p>
    <w:p w14:paraId="5656C732" w14:textId="08D88F60" w:rsidR="00360CAD" w:rsidRDefault="00F55E21" w:rsidP="00360CAD">
      <w:pPr>
        <w:pStyle w:val="15para"/>
      </w:pPr>
      <w:r>
        <w:t xml:space="preserve">The </w:t>
      </w:r>
      <w:r w:rsidR="006C7B4C">
        <w:t xml:space="preserve">ADA </w:t>
      </w:r>
      <w:r w:rsidR="006C7B4C" w:rsidRPr="008A40C5">
        <w:t>makes it unlawful to discriminate in employment against a qualified individual with a disability.</w:t>
      </w:r>
      <w:r w:rsidR="006C7B4C" w:rsidRPr="008A40C5">
        <w:rPr>
          <w:vertAlign w:val="superscript"/>
        </w:rPr>
        <w:t>3</w:t>
      </w:r>
      <w:r w:rsidR="006C7B4C">
        <w:t xml:space="preserve"> </w:t>
      </w:r>
      <w:r w:rsidR="006A4946" w:rsidRPr="00A65A91">
        <w:t>"Disability" is defined as "a physical or mental impairment that substantially limits one or more major life activities of the individual" and may be actual or perceived.</w:t>
      </w:r>
      <w:r w:rsidR="006A4946">
        <w:rPr>
          <w:rStyle w:val="FootnoteReference"/>
        </w:rPr>
        <w:footnoteReference w:id="22"/>
      </w:r>
      <w:r w:rsidR="006A4946">
        <w:t xml:space="preserve"> </w:t>
      </w:r>
      <w:r>
        <w:t>ADA’s</w:t>
      </w:r>
      <w:r w:rsidRPr="008465D9">
        <w:t xml:space="preserve"> prohibition on disability discrimination in employment applies to most private employers </w:t>
      </w:r>
      <w:r>
        <w:t xml:space="preserve">(Title I) </w:t>
      </w:r>
      <w:r w:rsidRPr="008465D9">
        <w:t>and to all state and local government agencies</w:t>
      </w:r>
      <w:r>
        <w:t xml:space="preserve"> (Title II)</w:t>
      </w:r>
      <w:r w:rsidRPr="008465D9">
        <w:t>.</w:t>
      </w:r>
      <w:r w:rsidRPr="008465D9">
        <w:rPr>
          <w:vertAlign w:val="superscript"/>
        </w:rPr>
        <w:t>2</w:t>
      </w:r>
      <w:r>
        <w:rPr>
          <w:vertAlign w:val="superscript"/>
        </w:rPr>
        <w:t xml:space="preserve"> </w:t>
      </w:r>
      <w:r w:rsidR="006C7B4C" w:rsidRPr="008A40C5">
        <w:t xml:space="preserve">Title I </w:t>
      </w:r>
      <w:r w:rsidR="006C7B4C">
        <w:t xml:space="preserve">also </w:t>
      </w:r>
      <w:r w:rsidR="006C7B4C" w:rsidRPr="008A40C5">
        <w:t>makes it unlawful to discriminate against an individual, whether disabled or not, because of a relationship or association with an individual with a known disability.</w:t>
      </w:r>
      <w:r w:rsidR="006C7B4C" w:rsidRPr="008A40C5">
        <w:rPr>
          <w:vertAlign w:val="superscript"/>
        </w:rPr>
        <w:t>4</w:t>
      </w:r>
      <w:r w:rsidR="0093425A">
        <w:t xml:space="preserve"> </w:t>
      </w:r>
      <w:r w:rsidR="002C2F37" w:rsidRPr="00A65A91">
        <w:t>ADA's nondiscrimination standards apply to federal sector employees under section 501 of the Rehabilitation Act, as amended, and its implementing rules.</w:t>
      </w:r>
      <w:r w:rsidR="002C2F37">
        <w:rPr>
          <w:rStyle w:val="FootnoteReference"/>
        </w:rPr>
        <w:footnoteReference w:id="23"/>
      </w:r>
    </w:p>
    <w:p w14:paraId="7492F707" w14:textId="45D90329" w:rsidR="005D5D41" w:rsidRDefault="005D5D41" w:rsidP="000778FE">
      <w:pPr>
        <w:pStyle w:val="15para"/>
      </w:pPr>
    </w:p>
    <w:p w14:paraId="15FEFDEC" w14:textId="77777777" w:rsidR="003A3691" w:rsidRPr="003A3691" w:rsidRDefault="003A3691" w:rsidP="003A3691">
      <w:pPr>
        <w:pStyle w:val="15para"/>
      </w:pPr>
      <w:r w:rsidRPr="003A3691">
        <w:t>To protect job applicants and employees from discrimination, ADA restricts questions that an employer may ask individuals about medical problems or disabilities, and restricts requests for medical examinations.</w:t>
      </w:r>
      <w:r w:rsidRPr="003A3691">
        <w:rPr>
          <w:vertAlign w:val="superscript"/>
        </w:rPr>
        <w:t>5</w:t>
      </w:r>
      <w:r w:rsidRPr="003A3691">
        <w:t> These restrictions affect information that public health agencies and other employers may obtain related to their workforce when preparing for a public health emergency to ensure continuity of operations and effective response. Title II of ADA applies Title I's provisions to state and local governments by making it illegal for state and local governmental agencies to discriminate against individuals based on disability in state and local government programs and activities, including employment.</w:t>
      </w:r>
      <w:r w:rsidRPr="003A3691">
        <w:rPr>
          <w:vertAlign w:val="superscript"/>
        </w:rPr>
        <w:t>6</w:t>
      </w:r>
    </w:p>
    <w:p w14:paraId="500E61F3" w14:textId="52D08B4E" w:rsidR="00C21224" w:rsidRDefault="00C21224" w:rsidP="000778FE">
      <w:pPr>
        <w:pStyle w:val="15para"/>
      </w:pPr>
    </w:p>
    <w:p w14:paraId="4E291D1C" w14:textId="7172D995" w:rsidR="00C21224" w:rsidRPr="00501273" w:rsidRDefault="00C21224" w:rsidP="00C21224">
      <w:pPr>
        <w:pStyle w:val="15para"/>
        <w:rPr>
          <w:bdr w:val="none" w:sz="0" w:space="0" w:color="auto" w:frame="1"/>
        </w:rPr>
      </w:pPr>
      <w:r w:rsidRPr="00A65A91">
        <w:t xml:space="preserve">ADA does not negate state or local safety and health laws, except where such laws conflict with ADA requirements. Before excluding individuals with disabilities from the workplace or a </w:t>
      </w:r>
      <w:proofErr w:type="gramStart"/>
      <w:r w:rsidRPr="00A65A91">
        <w:t>particular job</w:t>
      </w:r>
      <w:proofErr w:type="gramEnd"/>
      <w:r w:rsidRPr="00A65A91">
        <w:t xml:space="preserve"> for health or safety reasons, the employer must assess whether the individual poses a "direct threat." A direct threat is a significant risk of substantial harm to both the individual and other employees even with reasonable accommodation. EEOC regulations set forth four factors to consider when determining whether an employee poses a direct threat: (1) the duration of the risk; (2) the nature and severity of the potential harm; (3) the likelihood that potential harm will occur; and (4) the imminence of the potential harm.</w:t>
      </w:r>
      <w:r>
        <w:rPr>
          <w:rStyle w:val="FootnoteReference"/>
        </w:rPr>
        <w:footnoteReference w:id="24"/>
      </w:r>
      <w:r>
        <w:t xml:space="preserve"> </w:t>
      </w:r>
      <w:r w:rsidR="00C77CED">
        <w:t>For example, w</w:t>
      </w:r>
      <w:r w:rsidRPr="00A65A91">
        <w:t xml:space="preserve">hether pandemic influenza rises to the level of a direct threat may depend on the severity of the illness. Assessment by CDC or public health agencies regarding the illness's </w:t>
      </w:r>
      <w:r w:rsidRPr="00A65A91">
        <w:lastRenderedPageBreak/>
        <w:t>severity may provide the objective evidence needed for a disability-related inquiry or medical examination protect the employee and others.</w:t>
      </w:r>
      <w:r>
        <w:rPr>
          <w:rStyle w:val="FootnoteReference"/>
        </w:rPr>
        <w:footnoteReference w:id="25"/>
      </w:r>
    </w:p>
    <w:p w14:paraId="1A4EA62C" w14:textId="77777777" w:rsidR="00C21224" w:rsidRPr="00A65A91" w:rsidRDefault="00C21224" w:rsidP="00C21224">
      <w:pPr>
        <w:pStyle w:val="15para"/>
      </w:pPr>
    </w:p>
    <w:p w14:paraId="5649A825" w14:textId="77777777" w:rsidR="00C21224" w:rsidRDefault="00C21224" w:rsidP="00C21224">
      <w:pPr>
        <w:pStyle w:val="15para"/>
      </w:pPr>
      <w:r w:rsidRPr="00A65A91">
        <w:t>ADA does not prevent employers from collecting and appropriately using information necessary for a comprehensive emergency evacuation plan</w:t>
      </w:r>
      <w:r>
        <w:t>.</w:t>
      </w:r>
      <w:r>
        <w:rPr>
          <w:rStyle w:val="FootnoteReference"/>
        </w:rPr>
        <w:footnoteReference w:id="26"/>
      </w:r>
      <w:r>
        <w:t xml:space="preserve"> </w:t>
      </w:r>
      <w:r w:rsidRPr="00A65A91">
        <w:t>An employer may ask employees whether they will require assistance in the event of an evacuation and, if so, what type of assistance they would need. Some employees may need assistance because of medical conditions that are not visually apparent whereas others may have obvious disabilities or medical conditions but may not need assistance.</w:t>
      </w:r>
    </w:p>
    <w:p w14:paraId="62C47C30" w14:textId="77777777" w:rsidR="00C21224" w:rsidRPr="00A65A91" w:rsidRDefault="00C21224" w:rsidP="00C21224">
      <w:pPr>
        <w:pStyle w:val="15para"/>
      </w:pPr>
    </w:p>
    <w:p w14:paraId="26DD3B18" w14:textId="77777777" w:rsidR="00C21224" w:rsidRPr="007537B9" w:rsidRDefault="00C21224" w:rsidP="00C21224">
      <w:pPr>
        <w:pStyle w:val="15para"/>
        <w:rPr>
          <w:bdr w:val="none" w:sz="0" w:space="0" w:color="auto" w:frame="1"/>
        </w:rPr>
      </w:pPr>
      <w:r w:rsidRPr="00A65A91">
        <w:t xml:space="preserve">ADA requires that employers reasonably accommodate an otherwise qualified applicant or employee's </w:t>
      </w:r>
      <w:proofErr w:type="gramStart"/>
      <w:r w:rsidRPr="00A65A91">
        <w:t>known physical or mental limitations</w:t>
      </w:r>
      <w:proofErr w:type="gramEnd"/>
      <w:r w:rsidRPr="00A65A91">
        <w:t xml:space="preserve"> unless doing so would impose an undue hardship on the operation of the employer's business. </w:t>
      </w:r>
      <w:proofErr w:type="gramStart"/>
      <w:r w:rsidRPr="00A65A91">
        <w:t>With regard to</w:t>
      </w:r>
      <w:proofErr w:type="gramEnd"/>
      <w:r w:rsidRPr="00A65A91">
        <w:t xml:space="preserve"> disability caused by pandemic influenza, reasonable accommodation may include, but is not limited to, telework, altered work schedules, and infection control strategies.</w:t>
      </w:r>
      <w:r>
        <w:rPr>
          <w:rStyle w:val="FootnoteReference"/>
        </w:rPr>
        <w:footnoteReference w:id="27"/>
      </w:r>
    </w:p>
    <w:p w14:paraId="1030D2A6" w14:textId="77777777" w:rsidR="00C21224" w:rsidRPr="00A65A91" w:rsidRDefault="00C21224" w:rsidP="00C21224">
      <w:pPr>
        <w:pStyle w:val="15para"/>
      </w:pPr>
    </w:p>
    <w:p w14:paraId="3C0DF65C" w14:textId="7286B049" w:rsidR="00C21224" w:rsidRDefault="00C21224" w:rsidP="00C21224">
      <w:pPr>
        <w:pStyle w:val="15para"/>
      </w:pPr>
      <w:r w:rsidRPr="00A65A91">
        <w:t>EEOC has addressed matters related to pandemic influenza in its technical assistance document titled</w:t>
      </w:r>
      <w:r>
        <w:t xml:space="preserve"> </w:t>
      </w:r>
      <w:r w:rsidRPr="00A65A91">
        <w:rPr>
          <w:i/>
          <w:iCs/>
          <w:bdr w:val="none" w:sz="0" w:space="0" w:color="auto" w:frame="1"/>
        </w:rPr>
        <w:t>Pandemic Preparedness in the Workplace and the Americans with Disabilities Act</w:t>
      </w:r>
      <w:r w:rsidRPr="00A65A91">
        <w:t>,</w:t>
      </w:r>
      <w:r>
        <w:t xml:space="preserve"> </w:t>
      </w:r>
      <w:r w:rsidRPr="00A65A91">
        <w:t>which provides guidance and reminders for employers regarding health-related inquiries and medical examinations before, during, and after a pandemic.</w:t>
      </w:r>
      <w:r>
        <w:rPr>
          <w:rStyle w:val="FootnoteReference"/>
        </w:rPr>
        <w:footnoteReference w:id="28"/>
      </w:r>
      <w:r w:rsidRPr="00A65A91">
        <w:t xml:space="preserve"> The document also provides a sample ADA-compliant survey employers may use with employees before a pandemic to evaluate potential absenteeism (see Figure 1). EEOC takes the position that an employer may survey its workforce to gather personal information to determine potential absences from work during a pandemic, provided that the employer asks broad questions that are not limited to disability-related inquiries. For example, in addition to medical reasons, an employer may ask employees to identify potential nonmedical reasons for absence during a pandemic, such as curtailed public transportation or the need to care for a child if schools or day care centers were closed. The employer must be careful to structure its survey so that employees identify </w:t>
      </w:r>
      <w:r w:rsidRPr="00A65A91">
        <w:lastRenderedPageBreak/>
        <w:t xml:space="preserve">potential medical and nonmedical reasons that would prevent them from coming to work in the event of a pandemic without specifying the factor that applies to them. This way, the employer </w:t>
      </w:r>
      <w:proofErr w:type="gramStart"/>
      <w:r w:rsidRPr="00A65A91">
        <w:t>is able to</w:t>
      </w:r>
      <w:proofErr w:type="gramEnd"/>
      <w:r w:rsidRPr="00A65A91">
        <w:t xml:space="preserve"> gather information to plan for absenteeism without asking the employee to disclose information about a disability. Prior to implementing such a survey, employers should consult legal counsel to evaluate when </w:t>
      </w:r>
      <w:r w:rsidR="002276C1" w:rsidRPr="00A5286F">
        <w:rPr>
          <w:noProof/>
        </w:rPr>
        <mc:AlternateContent>
          <mc:Choice Requires="wps">
            <w:drawing>
              <wp:anchor distT="45720" distB="45720" distL="114300" distR="114300" simplePos="0" relativeHeight="251661312" behindDoc="0" locked="0" layoutInCell="1" allowOverlap="1" wp14:anchorId="5371D0CE" wp14:editId="57FB2B3B">
                <wp:simplePos x="0" y="0"/>
                <wp:positionH relativeFrom="margin">
                  <wp:posOffset>603321</wp:posOffset>
                </wp:positionH>
                <wp:positionV relativeFrom="paragraph">
                  <wp:posOffset>1480468</wp:posOffset>
                </wp:positionV>
                <wp:extent cx="5022850" cy="3409315"/>
                <wp:effectExtent l="0" t="0" r="25400" b="1968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0" cy="3409315"/>
                        </a:xfrm>
                        <a:prstGeom prst="rect">
                          <a:avLst/>
                        </a:prstGeom>
                        <a:solidFill>
                          <a:srgbClr val="FFFFFF"/>
                        </a:solidFill>
                        <a:ln w="9525">
                          <a:solidFill>
                            <a:srgbClr val="000000"/>
                          </a:solidFill>
                          <a:miter lim="800000"/>
                          <a:headEnd/>
                          <a:tailEnd/>
                        </a:ln>
                      </wps:spPr>
                      <wps:txbx>
                        <w:txbxContent>
                          <w:p w14:paraId="28B33460" w14:textId="77777777" w:rsidR="00C21224" w:rsidRPr="00A65A91" w:rsidRDefault="00C21224" w:rsidP="00C21224">
                            <w:pPr>
                              <w:shd w:val="clear" w:color="auto" w:fill="FFFFFF"/>
                              <w:jc w:val="center"/>
                              <w:textAlignment w:val="baseline"/>
                              <w:rPr>
                                <w:rFonts w:ascii="Calibri" w:eastAsia="Times New Roman" w:hAnsi="Calibri" w:cs="Calibri"/>
                                <w:sz w:val="20"/>
                                <w:szCs w:val="20"/>
                              </w:rPr>
                            </w:pPr>
                            <w:r w:rsidRPr="006C0344">
                              <w:rPr>
                                <w:rFonts w:ascii="Calibri" w:eastAsia="Times New Roman" w:hAnsi="Calibri" w:cs="Calibri"/>
                                <w:b/>
                                <w:bCs/>
                                <w:i/>
                                <w:iCs/>
                                <w:sz w:val="20"/>
                                <w:szCs w:val="20"/>
                                <w:bdr w:val="none" w:sz="0" w:space="0" w:color="auto" w:frame="1"/>
                              </w:rPr>
                              <w:t xml:space="preserve">Figure 1: </w:t>
                            </w:r>
                            <w:r w:rsidRPr="00A65A91">
                              <w:rPr>
                                <w:rFonts w:ascii="Calibri" w:eastAsia="Times New Roman" w:hAnsi="Calibri" w:cs="Calibri"/>
                                <w:b/>
                                <w:bCs/>
                                <w:i/>
                                <w:iCs/>
                                <w:sz w:val="20"/>
                                <w:szCs w:val="20"/>
                                <w:bdr w:val="none" w:sz="0" w:space="0" w:color="auto" w:frame="1"/>
                              </w:rPr>
                              <w:t>ADA-Compliant Pre-Pandemic Employee Survey</w:t>
                            </w:r>
                          </w:p>
                          <w:p w14:paraId="7DED1120" w14:textId="77777777" w:rsidR="00C21224" w:rsidRPr="006C0344" w:rsidRDefault="00C21224" w:rsidP="00C21224">
                            <w:pPr>
                              <w:shd w:val="clear" w:color="auto" w:fill="FFFFFF"/>
                              <w:textAlignment w:val="baseline"/>
                              <w:rPr>
                                <w:rFonts w:ascii="Calibri" w:eastAsia="Times New Roman" w:hAnsi="Calibri" w:cs="Calibri"/>
                                <w:sz w:val="20"/>
                                <w:szCs w:val="20"/>
                              </w:rPr>
                            </w:pPr>
                          </w:p>
                          <w:p w14:paraId="0AB6F90E" w14:textId="77777777" w:rsidR="00C21224" w:rsidRPr="00A65A91" w:rsidRDefault="00C21224" w:rsidP="00C21224">
                            <w:pPr>
                              <w:shd w:val="clear" w:color="auto" w:fill="FFFFFF"/>
                              <w:textAlignment w:val="baseline"/>
                              <w:rPr>
                                <w:rFonts w:ascii="Calibri" w:eastAsia="Times New Roman" w:hAnsi="Calibri" w:cs="Calibri"/>
                                <w:sz w:val="20"/>
                                <w:szCs w:val="20"/>
                              </w:rPr>
                            </w:pPr>
                            <w:r w:rsidRPr="00A65A91">
                              <w:rPr>
                                <w:rFonts w:ascii="Calibri" w:eastAsia="Times New Roman" w:hAnsi="Calibri" w:cs="Calibri"/>
                                <w:i/>
                                <w:sz w:val="20"/>
                                <w:szCs w:val="20"/>
                              </w:rPr>
                              <w:t>Directions:</w:t>
                            </w:r>
                            <w:r w:rsidRPr="00A65A91">
                              <w:rPr>
                                <w:rFonts w:ascii="Calibri" w:eastAsia="Times New Roman" w:hAnsi="Calibri" w:cs="Calibri"/>
                                <w:sz w:val="20"/>
                                <w:szCs w:val="20"/>
                              </w:rPr>
                              <w:t xml:space="preserve"> Answer “yes” to the whole question without specifying the factor that applies to you. Simply check “yes” or “no” at the bottom of the page.</w:t>
                            </w:r>
                          </w:p>
                          <w:p w14:paraId="287D4E73" w14:textId="77777777" w:rsidR="00C21224" w:rsidRPr="006C0344" w:rsidRDefault="00C21224" w:rsidP="00C21224">
                            <w:pPr>
                              <w:shd w:val="clear" w:color="auto" w:fill="FFFFFF"/>
                              <w:textAlignment w:val="baseline"/>
                              <w:rPr>
                                <w:rFonts w:ascii="Calibri" w:eastAsia="Times New Roman" w:hAnsi="Calibri" w:cs="Calibri"/>
                                <w:sz w:val="20"/>
                                <w:szCs w:val="20"/>
                              </w:rPr>
                            </w:pPr>
                          </w:p>
                          <w:p w14:paraId="6A376CBD" w14:textId="77777777" w:rsidR="00C21224" w:rsidRPr="00A65A91" w:rsidRDefault="00C21224" w:rsidP="00C21224">
                            <w:pPr>
                              <w:shd w:val="clear" w:color="auto" w:fill="FFFFFF"/>
                              <w:spacing w:after="60"/>
                              <w:textAlignment w:val="baseline"/>
                              <w:rPr>
                                <w:rFonts w:ascii="Calibri" w:eastAsia="Times New Roman" w:hAnsi="Calibri" w:cs="Calibri"/>
                                <w:sz w:val="20"/>
                                <w:szCs w:val="20"/>
                              </w:rPr>
                            </w:pPr>
                            <w:r w:rsidRPr="00A65A91">
                              <w:rPr>
                                <w:rFonts w:ascii="Calibri" w:eastAsia="Times New Roman" w:hAnsi="Calibri" w:cs="Calibri"/>
                                <w:sz w:val="20"/>
                                <w:szCs w:val="20"/>
                              </w:rPr>
                              <w:t>In the event of a pandemic, would you be unable to come to work because of any one of the following reasons:</w:t>
                            </w:r>
                          </w:p>
                          <w:p w14:paraId="6B537C21" w14:textId="77777777" w:rsidR="00C21224" w:rsidRPr="006C0344" w:rsidRDefault="00C21224" w:rsidP="00C21224">
                            <w:pPr>
                              <w:pStyle w:val="ListParagraph"/>
                              <w:numPr>
                                <w:ilvl w:val="0"/>
                                <w:numId w:val="13"/>
                              </w:numPr>
                              <w:spacing w:after="60"/>
                              <w:contextualSpacing w:val="0"/>
                              <w:textAlignment w:val="baseline"/>
                              <w:rPr>
                                <w:rFonts w:ascii="Calibri" w:eastAsia="Times New Roman" w:hAnsi="Calibri" w:cs="Calibri"/>
                                <w:sz w:val="20"/>
                                <w:szCs w:val="20"/>
                              </w:rPr>
                            </w:pPr>
                            <w:r w:rsidRPr="006C0344">
                              <w:rPr>
                                <w:rFonts w:ascii="Calibri" w:eastAsia="Times New Roman" w:hAnsi="Calibri" w:cs="Calibri"/>
                                <w:sz w:val="20"/>
                                <w:szCs w:val="20"/>
                              </w:rPr>
                              <w:t>If schools or day-care centers were closed, you would need to care for a child.</w:t>
                            </w:r>
                          </w:p>
                          <w:p w14:paraId="7CCDE649" w14:textId="77777777" w:rsidR="00C21224" w:rsidRPr="006C0344" w:rsidRDefault="00C21224" w:rsidP="00C21224">
                            <w:pPr>
                              <w:pStyle w:val="ListParagraph"/>
                              <w:numPr>
                                <w:ilvl w:val="0"/>
                                <w:numId w:val="13"/>
                              </w:numPr>
                              <w:spacing w:after="60"/>
                              <w:contextualSpacing w:val="0"/>
                              <w:textAlignment w:val="baseline"/>
                              <w:rPr>
                                <w:rFonts w:ascii="Calibri" w:eastAsia="Times New Roman" w:hAnsi="Calibri" w:cs="Calibri"/>
                                <w:sz w:val="20"/>
                                <w:szCs w:val="20"/>
                              </w:rPr>
                            </w:pPr>
                            <w:r w:rsidRPr="006C0344">
                              <w:rPr>
                                <w:rFonts w:ascii="Calibri" w:eastAsia="Times New Roman" w:hAnsi="Calibri" w:cs="Calibri"/>
                                <w:sz w:val="20"/>
                                <w:szCs w:val="20"/>
                              </w:rPr>
                              <w:t>If other services were unavailable, you would need to care for other dependents.</w:t>
                            </w:r>
                          </w:p>
                          <w:p w14:paraId="020878BB" w14:textId="77777777" w:rsidR="00C21224" w:rsidRPr="006C0344" w:rsidRDefault="00C21224" w:rsidP="00C21224">
                            <w:pPr>
                              <w:pStyle w:val="ListParagraph"/>
                              <w:numPr>
                                <w:ilvl w:val="0"/>
                                <w:numId w:val="13"/>
                              </w:numPr>
                              <w:spacing w:after="60"/>
                              <w:contextualSpacing w:val="0"/>
                              <w:textAlignment w:val="baseline"/>
                              <w:rPr>
                                <w:rFonts w:ascii="Calibri" w:eastAsia="Times New Roman" w:hAnsi="Calibri" w:cs="Calibri"/>
                                <w:sz w:val="20"/>
                                <w:szCs w:val="20"/>
                              </w:rPr>
                            </w:pPr>
                            <w:r w:rsidRPr="006C0344">
                              <w:rPr>
                                <w:rFonts w:ascii="Calibri" w:eastAsia="Times New Roman" w:hAnsi="Calibri" w:cs="Calibri"/>
                                <w:sz w:val="20"/>
                                <w:szCs w:val="20"/>
                              </w:rPr>
                              <w:t>If public transport were sporadic or unavailable, you would be unable to travel to work.</w:t>
                            </w:r>
                          </w:p>
                          <w:p w14:paraId="1A0C5B4D" w14:textId="77777777" w:rsidR="00C21224" w:rsidRPr="006C0344" w:rsidRDefault="00C21224" w:rsidP="00C21224">
                            <w:pPr>
                              <w:pStyle w:val="ListParagraph"/>
                              <w:numPr>
                                <w:ilvl w:val="0"/>
                                <w:numId w:val="13"/>
                              </w:numPr>
                              <w:spacing w:line="255" w:lineRule="atLeast"/>
                              <w:textAlignment w:val="baseline"/>
                              <w:rPr>
                                <w:rFonts w:ascii="Calibri" w:eastAsia="Times New Roman" w:hAnsi="Calibri" w:cs="Calibri"/>
                                <w:sz w:val="20"/>
                                <w:szCs w:val="20"/>
                              </w:rPr>
                            </w:pPr>
                            <w:r w:rsidRPr="006C0344">
                              <w:rPr>
                                <w:rFonts w:ascii="Calibri" w:eastAsia="Times New Roman" w:hAnsi="Calibri" w:cs="Calibri"/>
                                <w:sz w:val="20"/>
                                <w:szCs w:val="20"/>
                              </w:rPr>
                              <w:t>If you or a member of your household fall into one of the categories identified by the CDC as being at high risk for serious complications from the pandemic influenza virus, you would be advised by public health authorities not to come to work (e.g., pregnant women; persons with compromised immune systems due to cancer, HIV, history of organ transplant or other medical conditions; persons less than 65 years of age with underlying chronic conditions; or persons over 65).</w:t>
                            </w:r>
                          </w:p>
                          <w:p w14:paraId="671769BF" w14:textId="77777777" w:rsidR="00C21224" w:rsidRPr="006C0344" w:rsidRDefault="00C21224" w:rsidP="00C21224">
                            <w:pPr>
                              <w:spacing w:line="255" w:lineRule="atLeast"/>
                              <w:textAlignment w:val="baseline"/>
                              <w:rPr>
                                <w:rFonts w:ascii="Calibri" w:eastAsia="Times New Roman" w:hAnsi="Calibri" w:cs="Calibri"/>
                                <w:sz w:val="20"/>
                                <w:szCs w:val="20"/>
                              </w:rPr>
                            </w:pPr>
                          </w:p>
                          <w:p w14:paraId="0840ADE4" w14:textId="77777777" w:rsidR="00C21224" w:rsidRPr="00A65A91" w:rsidRDefault="00C21224" w:rsidP="00C21224">
                            <w:pPr>
                              <w:shd w:val="clear" w:color="auto" w:fill="FFFFFF"/>
                              <w:spacing w:after="225" w:line="240" w:lineRule="atLeast"/>
                              <w:textAlignment w:val="baseline"/>
                              <w:rPr>
                                <w:rFonts w:ascii="Calibri" w:eastAsia="Times New Roman" w:hAnsi="Calibri" w:cs="Calibri"/>
                                <w:sz w:val="20"/>
                                <w:szCs w:val="20"/>
                              </w:rPr>
                            </w:pPr>
                            <w:r w:rsidRPr="00A65A91">
                              <w:rPr>
                                <w:rFonts w:ascii="Calibri" w:eastAsia="Times New Roman" w:hAnsi="Calibri" w:cs="Calibri"/>
                                <w:i/>
                                <w:sz w:val="20"/>
                                <w:szCs w:val="20"/>
                              </w:rPr>
                              <w:t>Answer:</w:t>
                            </w:r>
                            <w:r w:rsidRPr="00A65A91">
                              <w:rPr>
                                <w:rFonts w:ascii="Calibri" w:eastAsia="Times New Roman" w:hAnsi="Calibri" w:cs="Calibri"/>
                                <w:sz w:val="20"/>
                                <w:szCs w:val="20"/>
                              </w:rPr>
                              <w:t xml:space="preserve"> </w:t>
                            </w:r>
                            <w:r w:rsidRPr="006C0344">
                              <w:rPr>
                                <w:rFonts w:ascii="Calibri" w:eastAsia="Times New Roman" w:hAnsi="Calibri" w:cs="Calibri"/>
                                <w:sz w:val="20"/>
                                <w:szCs w:val="20"/>
                              </w:rPr>
                              <w:t xml:space="preserve">  </w:t>
                            </w:r>
                            <w:r w:rsidRPr="00A65A91">
                              <w:rPr>
                                <w:rFonts w:ascii="Calibri" w:eastAsia="Times New Roman" w:hAnsi="Calibri" w:cs="Calibri"/>
                                <w:sz w:val="20"/>
                                <w:szCs w:val="20"/>
                              </w:rPr>
                              <w:t>YES______</w:t>
                            </w:r>
                            <w:r w:rsidRPr="006C0344">
                              <w:rPr>
                                <w:rFonts w:ascii="Calibri" w:eastAsia="Times New Roman" w:hAnsi="Calibri" w:cs="Calibri"/>
                                <w:sz w:val="20"/>
                                <w:szCs w:val="20"/>
                              </w:rPr>
                              <w:t xml:space="preserve">    </w:t>
                            </w:r>
                            <w:r w:rsidRPr="00A65A91">
                              <w:rPr>
                                <w:rFonts w:ascii="Calibri" w:eastAsia="Times New Roman" w:hAnsi="Calibri" w:cs="Calibri"/>
                                <w:sz w:val="20"/>
                                <w:szCs w:val="20"/>
                              </w:rPr>
                              <w:t>NO_______</w:t>
                            </w:r>
                          </w:p>
                          <w:p w14:paraId="345BADB7" w14:textId="77777777" w:rsidR="00C21224" w:rsidRPr="006C0344" w:rsidRDefault="00C21224" w:rsidP="00C21224">
                            <w:pPr>
                              <w:jc w:val="right"/>
                              <w:rPr>
                                <w:i/>
                                <w:sz w:val="20"/>
                              </w:rPr>
                            </w:pPr>
                            <w:r w:rsidRPr="00A65A91">
                              <w:rPr>
                                <w:rFonts w:ascii="Calibri" w:eastAsia="Times New Roman" w:hAnsi="Calibri" w:cs="Calibri"/>
                                <w:i/>
                                <w:sz w:val="18"/>
                                <w:szCs w:val="20"/>
                              </w:rPr>
                              <w:t>Figure 1, Source: U.S. Equal Employment Opportunity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1D0CE" id="_x0000_t202" coordsize="21600,21600" o:spt="202" path="m,l,21600r21600,l21600,xe">
                <v:stroke joinstyle="miter"/>
                <v:path gradientshapeok="t" o:connecttype="rect"/>
              </v:shapetype>
              <v:shape id="Text Box 2" o:spid="_x0000_s1026" type="#_x0000_t202" style="position:absolute;margin-left:47.5pt;margin-top:116.55pt;width:395.5pt;height:268.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">
                <v:textbox>
                  <w:txbxContent>
                    <w:p w14:paraId="28B33460" w14:textId="77777777" w:rsidR="00C21224" w:rsidRPr="00A65A91" w:rsidRDefault="00C21224" w:rsidP="00C21224">
                      <w:pPr>
                        <w:shd w:val="clear" w:color="auto" w:fill="FFFFFF"/>
                        <w:jc w:val="center"/>
                        <w:textAlignment w:val="baseline"/>
                        <w:rPr>
                          <w:rFonts w:ascii="Calibri" w:eastAsia="Times New Roman" w:hAnsi="Calibri" w:cs="Calibri"/>
                          <w:sz w:val="20"/>
                          <w:szCs w:val="20"/>
                        </w:rPr>
                      </w:pPr>
                      <w:r w:rsidRPr="006C0344">
                        <w:rPr>
                          <w:rFonts w:ascii="Calibri" w:eastAsia="Times New Roman" w:hAnsi="Calibri" w:cs="Calibri"/>
                          <w:b/>
                          <w:bCs/>
                          <w:i/>
                          <w:iCs/>
                          <w:sz w:val="20"/>
                          <w:szCs w:val="20"/>
                          <w:bdr w:val="none" w:sz="0" w:space="0" w:color="auto" w:frame="1"/>
                        </w:rPr>
                        <w:t xml:space="preserve">Figure 1: </w:t>
                      </w:r>
                      <w:r w:rsidRPr="00A65A91">
                        <w:rPr>
                          <w:rFonts w:ascii="Calibri" w:eastAsia="Times New Roman" w:hAnsi="Calibri" w:cs="Calibri"/>
                          <w:b/>
                          <w:bCs/>
                          <w:i/>
                          <w:iCs/>
                          <w:sz w:val="20"/>
                          <w:szCs w:val="20"/>
                          <w:bdr w:val="none" w:sz="0" w:space="0" w:color="auto" w:frame="1"/>
                        </w:rPr>
                        <w:t>ADA-Compliant Pre-Pandemic Employee Survey</w:t>
                      </w:r>
                    </w:p>
                    <w:p w14:paraId="7DED1120" w14:textId="77777777" w:rsidR="00C21224" w:rsidRPr="006C0344" w:rsidRDefault="00C21224" w:rsidP="00C21224">
                      <w:pPr>
                        <w:shd w:val="clear" w:color="auto" w:fill="FFFFFF"/>
                        <w:textAlignment w:val="baseline"/>
                        <w:rPr>
                          <w:rFonts w:ascii="Calibri" w:eastAsia="Times New Roman" w:hAnsi="Calibri" w:cs="Calibri"/>
                          <w:sz w:val="20"/>
                          <w:szCs w:val="20"/>
                        </w:rPr>
                      </w:pPr>
                    </w:p>
                    <w:p w14:paraId="0AB6F90E" w14:textId="77777777" w:rsidR="00C21224" w:rsidRPr="00A65A91" w:rsidRDefault="00C21224" w:rsidP="00C21224">
                      <w:pPr>
                        <w:shd w:val="clear" w:color="auto" w:fill="FFFFFF"/>
                        <w:textAlignment w:val="baseline"/>
                        <w:rPr>
                          <w:rFonts w:ascii="Calibri" w:eastAsia="Times New Roman" w:hAnsi="Calibri" w:cs="Calibri"/>
                          <w:sz w:val="20"/>
                          <w:szCs w:val="20"/>
                        </w:rPr>
                      </w:pPr>
                      <w:r w:rsidRPr="00A65A91">
                        <w:rPr>
                          <w:rFonts w:ascii="Calibri" w:eastAsia="Times New Roman" w:hAnsi="Calibri" w:cs="Calibri"/>
                          <w:i/>
                          <w:sz w:val="20"/>
                          <w:szCs w:val="20"/>
                        </w:rPr>
                        <w:t>Directions:</w:t>
                      </w:r>
                      <w:r w:rsidRPr="00A65A91">
                        <w:rPr>
                          <w:rFonts w:ascii="Calibri" w:eastAsia="Times New Roman" w:hAnsi="Calibri" w:cs="Calibri"/>
                          <w:sz w:val="20"/>
                          <w:szCs w:val="20"/>
                        </w:rPr>
                        <w:t xml:space="preserve"> Answer “yes” to the whole question without specifying the factor that applies to you. Simply check “yes” or “no” at the bottom of the page.</w:t>
                      </w:r>
                    </w:p>
                    <w:p w14:paraId="287D4E73" w14:textId="77777777" w:rsidR="00C21224" w:rsidRPr="006C0344" w:rsidRDefault="00C21224" w:rsidP="00C21224">
                      <w:pPr>
                        <w:shd w:val="clear" w:color="auto" w:fill="FFFFFF"/>
                        <w:textAlignment w:val="baseline"/>
                        <w:rPr>
                          <w:rFonts w:ascii="Calibri" w:eastAsia="Times New Roman" w:hAnsi="Calibri" w:cs="Calibri"/>
                          <w:sz w:val="20"/>
                          <w:szCs w:val="20"/>
                        </w:rPr>
                      </w:pPr>
                    </w:p>
                    <w:p w14:paraId="6A376CBD" w14:textId="77777777" w:rsidR="00C21224" w:rsidRPr="00A65A91" w:rsidRDefault="00C21224" w:rsidP="00C21224">
                      <w:pPr>
                        <w:shd w:val="clear" w:color="auto" w:fill="FFFFFF"/>
                        <w:spacing w:after="60"/>
                        <w:textAlignment w:val="baseline"/>
                        <w:rPr>
                          <w:rFonts w:ascii="Calibri" w:eastAsia="Times New Roman" w:hAnsi="Calibri" w:cs="Calibri"/>
                          <w:sz w:val="20"/>
                          <w:szCs w:val="20"/>
                        </w:rPr>
                      </w:pPr>
                      <w:r w:rsidRPr="00A65A91">
                        <w:rPr>
                          <w:rFonts w:ascii="Calibri" w:eastAsia="Times New Roman" w:hAnsi="Calibri" w:cs="Calibri"/>
                          <w:sz w:val="20"/>
                          <w:szCs w:val="20"/>
                        </w:rPr>
                        <w:t>In the event of a pandemic, would you be unable to come to work because of any one of the following reasons:</w:t>
                      </w:r>
                    </w:p>
                    <w:p w14:paraId="6B537C21" w14:textId="77777777" w:rsidR="00C21224" w:rsidRPr="006C0344" w:rsidRDefault="00C21224" w:rsidP="00C21224">
                      <w:pPr>
                        <w:pStyle w:val="ListParagraph"/>
                        <w:numPr>
                          <w:ilvl w:val="0"/>
                          <w:numId w:val="13"/>
                        </w:numPr>
                        <w:spacing w:after="60"/>
                        <w:contextualSpacing w:val="0"/>
                        <w:textAlignment w:val="baseline"/>
                        <w:rPr>
                          <w:rFonts w:ascii="Calibri" w:eastAsia="Times New Roman" w:hAnsi="Calibri" w:cs="Calibri"/>
                          <w:sz w:val="20"/>
                          <w:szCs w:val="20"/>
                        </w:rPr>
                      </w:pPr>
                      <w:r w:rsidRPr="006C0344">
                        <w:rPr>
                          <w:rFonts w:ascii="Calibri" w:eastAsia="Times New Roman" w:hAnsi="Calibri" w:cs="Calibri"/>
                          <w:sz w:val="20"/>
                          <w:szCs w:val="20"/>
                        </w:rPr>
                        <w:t>If schools or day-care centers were closed, you would need to care for a child.</w:t>
                      </w:r>
                    </w:p>
                    <w:p w14:paraId="7CCDE649" w14:textId="77777777" w:rsidR="00C21224" w:rsidRPr="006C0344" w:rsidRDefault="00C21224" w:rsidP="00C21224">
                      <w:pPr>
                        <w:pStyle w:val="ListParagraph"/>
                        <w:numPr>
                          <w:ilvl w:val="0"/>
                          <w:numId w:val="13"/>
                        </w:numPr>
                        <w:spacing w:after="60"/>
                        <w:contextualSpacing w:val="0"/>
                        <w:textAlignment w:val="baseline"/>
                        <w:rPr>
                          <w:rFonts w:ascii="Calibri" w:eastAsia="Times New Roman" w:hAnsi="Calibri" w:cs="Calibri"/>
                          <w:sz w:val="20"/>
                          <w:szCs w:val="20"/>
                        </w:rPr>
                      </w:pPr>
                      <w:r w:rsidRPr="006C0344">
                        <w:rPr>
                          <w:rFonts w:ascii="Calibri" w:eastAsia="Times New Roman" w:hAnsi="Calibri" w:cs="Calibri"/>
                          <w:sz w:val="20"/>
                          <w:szCs w:val="20"/>
                        </w:rPr>
                        <w:t>If other services were unavailable, you would need to care for other dependents.</w:t>
                      </w:r>
                    </w:p>
                    <w:p w14:paraId="020878BB" w14:textId="77777777" w:rsidR="00C21224" w:rsidRPr="006C0344" w:rsidRDefault="00C21224" w:rsidP="00C21224">
                      <w:pPr>
                        <w:pStyle w:val="ListParagraph"/>
                        <w:numPr>
                          <w:ilvl w:val="0"/>
                          <w:numId w:val="13"/>
                        </w:numPr>
                        <w:spacing w:after="60"/>
                        <w:contextualSpacing w:val="0"/>
                        <w:textAlignment w:val="baseline"/>
                        <w:rPr>
                          <w:rFonts w:ascii="Calibri" w:eastAsia="Times New Roman" w:hAnsi="Calibri" w:cs="Calibri"/>
                          <w:sz w:val="20"/>
                          <w:szCs w:val="20"/>
                        </w:rPr>
                      </w:pPr>
                      <w:r w:rsidRPr="006C0344">
                        <w:rPr>
                          <w:rFonts w:ascii="Calibri" w:eastAsia="Times New Roman" w:hAnsi="Calibri" w:cs="Calibri"/>
                          <w:sz w:val="20"/>
                          <w:szCs w:val="20"/>
                        </w:rPr>
                        <w:t>If public transport were sporadic or unavailable, you would be unable to travel to work.</w:t>
                      </w:r>
                    </w:p>
                    <w:p w14:paraId="1A0C5B4D" w14:textId="77777777" w:rsidR="00C21224" w:rsidRPr="006C0344" w:rsidRDefault="00C21224" w:rsidP="00C21224">
                      <w:pPr>
                        <w:pStyle w:val="ListParagraph"/>
                        <w:numPr>
                          <w:ilvl w:val="0"/>
                          <w:numId w:val="13"/>
                        </w:numPr>
                        <w:spacing w:line="255" w:lineRule="atLeast"/>
                        <w:textAlignment w:val="baseline"/>
                        <w:rPr>
                          <w:rFonts w:ascii="Calibri" w:eastAsia="Times New Roman" w:hAnsi="Calibri" w:cs="Calibri"/>
                          <w:sz w:val="20"/>
                          <w:szCs w:val="20"/>
                        </w:rPr>
                      </w:pPr>
                      <w:r w:rsidRPr="006C0344">
                        <w:rPr>
                          <w:rFonts w:ascii="Calibri" w:eastAsia="Times New Roman" w:hAnsi="Calibri" w:cs="Calibri"/>
                          <w:sz w:val="20"/>
                          <w:szCs w:val="20"/>
                        </w:rPr>
                        <w:t>If you or a member of your household fall into one of the categories identified by the CDC as being at high risk for serious complications from the pandemic influenza virus, you would be advised by public health authorities not to come to work (e.g., pregnant women; persons with compromised immune systems due to cancer, HIV, history of organ transplant or other medical conditions; persons less than 65 years of age with underlying chronic conditions; or persons over 65).</w:t>
                      </w:r>
                    </w:p>
                    <w:p w14:paraId="671769BF" w14:textId="77777777" w:rsidR="00C21224" w:rsidRPr="006C0344" w:rsidRDefault="00C21224" w:rsidP="00C21224">
                      <w:pPr>
                        <w:spacing w:line="255" w:lineRule="atLeast"/>
                        <w:textAlignment w:val="baseline"/>
                        <w:rPr>
                          <w:rFonts w:ascii="Calibri" w:eastAsia="Times New Roman" w:hAnsi="Calibri" w:cs="Calibri"/>
                          <w:sz w:val="20"/>
                          <w:szCs w:val="20"/>
                        </w:rPr>
                      </w:pPr>
                    </w:p>
                    <w:p w14:paraId="0840ADE4" w14:textId="77777777" w:rsidR="00C21224" w:rsidRPr="00A65A91" w:rsidRDefault="00C21224" w:rsidP="00C21224">
                      <w:pPr>
                        <w:shd w:val="clear" w:color="auto" w:fill="FFFFFF"/>
                        <w:spacing w:after="225" w:line="240" w:lineRule="atLeast"/>
                        <w:textAlignment w:val="baseline"/>
                        <w:rPr>
                          <w:rFonts w:ascii="Calibri" w:eastAsia="Times New Roman" w:hAnsi="Calibri" w:cs="Calibri"/>
                          <w:sz w:val="20"/>
                          <w:szCs w:val="20"/>
                        </w:rPr>
                      </w:pPr>
                      <w:r w:rsidRPr="00A65A91">
                        <w:rPr>
                          <w:rFonts w:ascii="Calibri" w:eastAsia="Times New Roman" w:hAnsi="Calibri" w:cs="Calibri"/>
                          <w:i/>
                          <w:sz w:val="20"/>
                          <w:szCs w:val="20"/>
                        </w:rPr>
                        <w:t>Answer:</w:t>
                      </w:r>
                      <w:r w:rsidRPr="00A65A91">
                        <w:rPr>
                          <w:rFonts w:ascii="Calibri" w:eastAsia="Times New Roman" w:hAnsi="Calibri" w:cs="Calibri"/>
                          <w:sz w:val="20"/>
                          <w:szCs w:val="20"/>
                        </w:rPr>
                        <w:t xml:space="preserve"> </w:t>
                      </w:r>
                      <w:r w:rsidRPr="006C0344">
                        <w:rPr>
                          <w:rFonts w:ascii="Calibri" w:eastAsia="Times New Roman" w:hAnsi="Calibri" w:cs="Calibri"/>
                          <w:sz w:val="20"/>
                          <w:szCs w:val="20"/>
                        </w:rPr>
                        <w:t xml:space="preserve">  </w:t>
                      </w:r>
                      <w:r w:rsidRPr="00A65A91">
                        <w:rPr>
                          <w:rFonts w:ascii="Calibri" w:eastAsia="Times New Roman" w:hAnsi="Calibri" w:cs="Calibri"/>
                          <w:sz w:val="20"/>
                          <w:szCs w:val="20"/>
                        </w:rPr>
                        <w:t>YES______</w:t>
                      </w:r>
                      <w:r w:rsidRPr="006C0344">
                        <w:rPr>
                          <w:rFonts w:ascii="Calibri" w:eastAsia="Times New Roman" w:hAnsi="Calibri" w:cs="Calibri"/>
                          <w:sz w:val="20"/>
                          <w:szCs w:val="20"/>
                        </w:rPr>
                        <w:t xml:space="preserve">    </w:t>
                      </w:r>
                      <w:r w:rsidRPr="00A65A91">
                        <w:rPr>
                          <w:rFonts w:ascii="Calibri" w:eastAsia="Times New Roman" w:hAnsi="Calibri" w:cs="Calibri"/>
                          <w:sz w:val="20"/>
                          <w:szCs w:val="20"/>
                        </w:rPr>
                        <w:t>NO_______</w:t>
                      </w:r>
                    </w:p>
                    <w:p w14:paraId="345BADB7" w14:textId="77777777" w:rsidR="00C21224" w:rsidRPr="006C0344" w:rsidRDefault="00C21224" w:rsidP="00C21224">
                      <w:pPr>
                        <w:jc w:val="right"/>
                        <w:rPr>
                          <w:i/>
                          <w:sz w:val="20"/>
                        </w:rPr>
                      </w:pPr>
                      <w:r w:rsidRPr="00A65A91">
                        <w:rPr>
                          <w:rFonts w:ascii="Calibri" w:eastAsia="Times New Roman" w:hAnsi="Calibri" w:cs="Calibri"/>
                          <w:i/>
                          <w:sz w:val="18"/>
                          <w:szCs w:val="20"/>
                        </w:rPr>
                        <w:t>Figure 1, Source: U.S. Equal Employment Opportunity</w:t>
                      </w:r>
                    </w:p>
                  </w:txbxContent>
                </v:textbox>
                <w10:wrap type="topAndBottom" anchorx="margin"/>
              </v:shape>
            </w:pict>
          </mc:Fallback>
        </mc:AlternateContent>
      </w:r>
      <w:r w:rsidRPr="00A65A91">
        <w:t>and how such a survey may be used.</w:t>
      </w:r>
    </w:p>
    <w:p w14:paraId="7EB0E8E8" w14:textId="0B12FD28" w:rsidR="00C21224" w:rsidRDefault="00C21224" w:rsidP="00C21224">
      <w:pPr>
        <w:pStyle w:val="15para"/>
      </w:pPr>
    </w:p>
    <w:p w14:paraId="63E4030A" w14:textId="77777777" w:rsidR="00C21224" w:rsidRPr="00F606C9" w:rsidRDefault="00C21224" w:rsidP="00C21224">
      <w:pPr>
        <w:pStyle w:val="15para"/>
        <w:rPr>
          <w:bdr w:val="none" w:sz="0" w:space="0" w:color="auto" w:frame="1"/>
        </w:rPr>
      </w:pPr>
      <w:r w:rsidRPr="00A65A91">
        <w:t>During a pandemic, an employer may send employees home if they display influenza-like symptoms. Employers may also ask employees who call in sick if they are experiencing influenza-like symptoms. An employer may require employees who have been away from the workplace during a pandemic to provide a doctor's note certifying fitness to return to work. If the illness is akin to seasonal influenza or the 2009 H1N1 virus, such actions or inquiries are not disability-related. Such actions or inquiries would also be permitted under ADA if the illness were serious enough to pose a direct threat.</w:t>
      </w:r>
      <w:r>
        <w:rPr>
          <w:rStyle w:val="FootnoteReference"/>
        </w:rPr>
        <w:footnoteReference w:id="29"/>
      </w:r>
    </w:p>
    <w:p w14:paraId="3D559317" w14:textId="77777777" w:rsidR="00C21224" w:rsidRPr="00A65A91" w:rsidRDefault="00C21224" w:rsidP="00C21224">
      <w:pPr>
        <w:pStyle w:val="15para"/>
      </w:pPr>
    </w:p>
    <w:p w14:paraId="1C2AB3A5" w14:textId="3C909663" w:rsidR="00C21224" w:rsidRPr="00A65A91" w:rsidRDefault="00C21224" w:rsidP="00C21224">
      <w:pPr>
        <w:pStyle w:val="15para"/>
      </w:pPr>
      <w:r w:rsidRPr="00A65A91">
        <w:t xml:space="preserve">ADA requires protection of information obtained from disability-related inquiries and medical examinations. Information regarding any employee's medical condition or history shall be collected and </w:t>
      </w:r>
      <w:r w:rsidRPr="00A65A91">
        <w:lastRenderedPageBreak/>
        <w:t>maintained on separate forms and in separate medical files and be treated as a confidential medical record.</w:t>
      </w:r>
      <w:r>
        <w:rPr>
          <w:rStyle w:val="FootnoteReference"/>
        </w:rPr>
        <w:footnoteReference w:id="30"/>
      </w:r>
      <w:r w:rsidR="00F208EE">
        <w:t xml:space="preserve"> </w:t>
      </w:r>
      <w:r w:rsidRPr="00A65A91">
        <w:t>ADA also limits sharing such information.</w:t>
      </w:r>
      <w:r>
        <w:rPr>
          <w:rStyle w:val="FootnoteReference"/>
        </w:rPr>
        <w:footnoteReference w:id="31"/>
      </w:r>
      <w:r>
        <w:rPr>
          <w:bdr w:val="none" w:sz="0" w:space="0" w:color="auto" w:frame="1"/>
          <w:vertAlign w:val="superscript"/>
        </w:rPr>
        <w:t xml:space="preserve"> </w:t>
      </w:r>
      <w:r w:rsidRPr="00A65A91">
        <w:t>Supervisors and managers may be informed of necessary restrictions on an employee's work or duties and necessary accommodations. Additionally, first aid and safety personnel may be informed, when appropriate, if the disability might require emergency treatment or affect the employee's ability to evacuate the workplace during an emergency. Finally, government officials investigating ADA compliance shall be provided with relevant information on request.</w:t>
      </w:r>
    </w:p>
    <w:p w14:paraId="2D3A7CF6" w14:textId="77777777" w:rsidR="00C21224" w:rsidRPr="00A65A91" w:rsidRDefault="00C21224" w:rsidP="00C21224">
      <w:pPr>
        <w:spacing w:line="360" w:lineRule="auto"/>
        <w:rPr>
          <w:rFonts w:ascii="Calibri" w:eastAsia="Times New Roman" w:hAnsi="Calibri" w:cs="Calibri"/>
          <w:sz w:val="24"/>
          <w:szCs w:val="24"/>
        </w:rPr>
      </w:pPr>
    </w:p>
    <w:p w14:paraId="37D8AFCD" w14:textId="77777777" w:rsidR="00C21224" w:rsidRPr="00A65A91" w:rsidRDefault="00C21224" w:rsidP="00C21224">
      <w:pPr>
        <w:spacing w:line="360" w:lineRule="auto"/>
        <w:rPr>
          <w:rFonts w:ascii="Calibri" w:eastAsia="Times New Roman" w:hAnsi="Calibri" w:cs="Calibri"/>
          <w:b/>
          <w:bCs/>
          <w:szCs w:val="20"/>
        </w:rPr>
      </w:pPr>
      <w:r w:rsidRPr="00A65A91">
        <w:rPr>
          <w:rFonts w:ascii="Calibri" w:eastAsia="Times New Roman" w:hAnsi="Calibri" w:cs="Calibri"/>
          <w:b/>
          <w:bCs/>
          <w:szCs w:val="20"/>
        </w:rPr>
        <w:t>Conclusion</w:t>
      </w:r>
    </w:p>
    <w:p w14:paraId="257D1BFC" w14:textId="05BA8109" w:rsidR="00C21224" w:rsidRDefault="00C21224" w:rsidP="00C21224">
      <w:pPr>
        <w:pStyle w:val="15para"/>
      </w:pPr>
      <w:bookmarkStart w:id="0" w:name="_GoBack"/>
      <w:r w:rsidRPr="00A65A91">
        <w:t xml:space="preserve">Certain personal and health information about employees helps public health agencies and other employers prepare and respond to public health emergencies. Employee surveys may help public health agencies determine potential absences from work that impact vital public health functions and emergency response efforts. Monitoring employees' health helps employers provide safe workplaces, preventing the spread of disease among employees and to the public and ensuring that employees obtain treatment. However, ADA-which protects people against discrimination because of disability-restricts public health agencies' ability to ask employees about their health or to require medical examinations. A public health agency must understand these limitations' nature and scope so that it may effectively carry out its responsibilities to all employees and the public, </w:t>
      </w:r>
      <w:proofErr w:type="gramStart"/>
      <w:r w:rsidRPr="00A65A91">
        <w:t>whether or not</w:t>
      </w:r>
      <w:proofErr w:type="gramEnd"/>
      <w:r w:rsidRPr="00A65A91">
        <w:t xml:space="preserve"> an emergency exists</w:t>
      </w:r>
      <w:r w:rsidR="00D453B1">
        <w:t>.</w:t>
      </w:r>
      <w:bookmarkEnd w:id="0"/>
    </w:p>
    <w:sectPr w:rsidR="00C2122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BC60D" w14:textId="77777777" w:rsidR="00DB3E99" w:rsidRDefault="00DB3E99" w:rsidP="009B6112">
      <w:r>
        <w:separator/>
      </w:r>
    </w:p>
  </w:endnote>
  <w:endnote w:type="continuationSeparator" w:id="0">
    <w:p w14:paraId="6FEB63B2" w14:textId="77777777" w:rsidR="00DB3E99" w:rsidRDefault="00DB3E99" w:rsidP="009B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0599957"/>
      <w:docPartObj>
        <w:docPartGallery w:val="Page Numbers (Bottom of Page)"/>
        <w:docPartUnique/>
      </w:docPartObj>
    </w:sdtPr>
    <w:sdtEndPr>
      <w:rPr>
        <w:noProof/>
      </w:rPr>
    </w:sdtEndPr>
    <w:sdtContent>
      <w:p w14:paraId="1D3E3D2B" w14:textId="2EBA6854" w:rsidR="009B6112" w:rsidRDefault="009B6112" w:rsidP="009B61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1D477" w14:textId="77777777" w:rsidR="00DB3E99" w:rsidRDefault="00DB3E99" w:rsidP="009B6112">
      <w:r>
        <w:separator/>
      </w:r>
    </w:p>
  </w:footnote>
  <w:footnote w:type="continuationSeparator" w:id="0">
    <w:p w14:paraId="1CB762C0" w14:textId="77777777" w:rsidR="00DB3E99" w:rsidRDefault="00DB3E99" w:rsidP="009B6112">
      <w:r>
        <w:continuationSeparator/>
      </w:r>
    </w:p>
  </w:footnote>
  <w:footnote w:id="1">
    <w:p w14:paraId="775D39BB" w14:textId="45E0A332" w:rsidR="0019464C" w:rsidRPr="001F331D" w:rsidRDefault="001F331D" w:rsidP="001F331D">
      <w:pPr>
        <w:pStyle w:val="FootnoteText"/>
        <w:tabs>
          <w:tab w:val="left" w:pos="686"/>
        </w:tabs>
        <w:rPr>
          <w:b/>
          <w:bCs/>
        </w:rPr>
      </w:pPr>
      <w:r>
        <w:rPr>
          <w:b/>
          <w:bCs/>
          <w:highlight w:val="yellow"/>
        </w:rPr>
        <w:t>Footnotes will be streamlined and edited to style guide once text is finalized</w:t>
      </w:r>
    </w:p>
    <w:p w14:paraId="36B73987" w14:textId="34E786AE" w:rsidR="00EF45C2" w:rsidRDefault="00EF45C2" w:rsidP="008B69A4">
      <w:pPr>
        <w:pStyle w:val="FootnoteText"/>
      </w:pPr>
      <w:r>
        <w:rPr>
          <w:rStyle w:val="FootnoteReference"/>
        </w:rPr>
        <w:footnoteRef/>
      </w:r>
      <w:r w:rsidRPr="00EF45C2">
        <w:t xml:space="preserve"> </w:t>
      </w:r>
      <w:r w:rsidR="00786A98" w:rsidRPr="00761C3B">
        <w:rPr>
          <w:i/>
          <w:iCs/>
        </w:rPr>
        <w:t>See</w:t>
      </w:r>
      <w:r w:rsidR="00786A98">
        <w:t xml:space="preserve"> </w:t>
      </w:r>
      <w:r w:rsidR="00CB0CB2">
        <w:t>HHS Assistant Secretary of Prepar</w:t>
      </w:r>
      <w:r w:rsidR="00C846EE">
        <w:t xml:space="preserve">edness and Response. </w:t>
      </w:r>
      <w:r w:rsidR="00CB0CB2">
        <w:t xml:space="preserve">Retrieved from </w:t>
      </w:r>
      <w:hyperlink r:id="rId1" w:history="1">
        <w:r w:rsidR="00CB0CB2">
          <w:rPr>
            <w:rStyle w:val="Hyperlink"/>
          </w:rPr>
          <w:t>https://www.phe.gov/preparedness/pages/default.aspx</w:t>
        </w:r>
      </w:hyperlink>
      <w:r w:rsidR="004514E2">
        <w:t xml:space="preserve">. </w:t>
      </w:r>
      <w:r w:rsidR="004514E2" w:rsidRPr="004514E2">
        <w:rPr>
          <w:i/>
          <w:iCs/>
        </w:rPr>
        <w:t>See also</w:t>
      </w:r>
      <w:r w:rsidR="004514E2">
        <w:t xml:space="preserve"> </w:t>
      </w:r>
      <w:r w:rsidR="00DA4422">
        <w:t xml:space="preserve">CDC. </w:t>
      </w:r>
      <w:r w:rsidR="006D419D">
        <w:t xml:space="preserve">Emergency Preparedness and Response. Retrieved from </w:t>
      </w:r>
      <w:hyperlink r:id="rId2" w:history="1">
        <w:r w:rsidR="006D419D">
          <w:rPr>
            <w:rStyle w:val="Hyperlink"/>
          </w:rPr>
          <w:t>https://emergency.cdc.gov/</w:t>
        </w:r>
      </w:hyperlink>
      <w:r w:rsidR="006D419D">
        <w:t xml:space="preserve">. </w:t>
      </w:r>
      <w:r w:rsidR="00CB0CB2" w:rsidRPr="006D419D">
        <w:rPr>
          <w:i/>
          <w:iCs/>
        </w:rPr>
        <w:t>See also</w:t>
      </w:r>
      <w:r w:rsidR="00CB0CB2">
        <w:t xml:space="preserve"> </w:t>
      </w:r>
      <w:r w:rsidRPr="00EF45C2">
        <w:t>U.S. Dep</w:t>
      </w:r>
      <w:r w:rsidR="006D419D">
        <w:t xml:space="preserve">t. </w:t>
      </w:r>
      <w:r w:rsidRPr="00EF45C2">
        <w:t xml:space="preserve">of Labor Occupational Health and Safety Administration. </w:t>
      </w:r>
      <w:r w:rsidR="00750079">
        <w:t>Emergency Prepared</w:t>
      </w:r>
      <w:r w:rsidR="00966115">
        <w:t>ness and Response.</w:t>
      </w:r>
      <w:r w:rsidRPr="00EF45C2">
        <w:t xml:space="preserve"> </w:t>
      </w:r>
      <w:r w:rsidR="008E33D6">
        <w:t xml:space="preserve">Retrieved from </w:t>
      </w:r>
      <w:hyperlink r:id="rId3" w:history="1">
        <w:r w:rsidR="008E33D6">
          <w:rPr>
            <w:rStyle w:val="Hyperlink"/>
          </w:rPr>
          <w:t>https://www.osha.gov/SLTC/emergencypreparedness/</w:t>
        </w:r>
      </w:hyperlink>
      <w:r w:rsidR="00786A98">
        <w:t xml:space="preserve">. </w:t>
      </w:r>
      <w:r w:rsidR="00786A98" w:rsidRPr="00966115">
        <w:rPr>
          <w:i/>
          <w:iCs/>
        </w:rPr>
        <w:t>See also</w:t>
      </w:r>
      <w:r w:rsidR="00786A98">
        <w:t xml:space="preserve"> </w:t>
      </w:r>
      <w:r w:rsidR="00B80219">
        <w:t xml:space="preserve">DHS - </w:t>
      </w:r>
      <w:r w:rsidR="004514E2">
        <w:t xml:space="preserve">FEMA. </w:t>
      </w:r>
      <w:proofErr w:type="gramStart"/>
      <w:r w:rsidR="00B05B53">
        <w:t>Plan Ahead</w:t>
      </w:r>
      <w:proofErr w:type="gramEnd"/>
      <w:r w:rsidR="00B05B53">
        <w:t xml:space="preserve"> for Disasters</w:t>
      </w:r>
      <w:r w:rsidRPr="00EF45C2">
        <w:t>.</w:t>
      </w:r>
      <w:r w:rsidR="00B05B53">
        <w:t xml:space="preserve"> Retrieved from </w:t>
      </w:r>
      <w:hyperlink r:id="rId4" w:history="1">
        <w:r w:rsidR="00761C3B" w:rsidRPr="00EC61FD">
          <w:rPr>
            <w:rStyle w:val="Hyperlink"/>
          </w:rPr>
          <w:t>https://www.ready.gov/</w:t>
        </w:r>
      </w:hyperlink>
      <w:r w:rsidR="002A4FBA">
        <w:t>.</w:t>
      </w:r>
      <w:r w:rsidR="00761C3B">
        <w:t xml:space="preserve"> </w:t>
      </w:r>
    </w:p>
  </w:footnote>
  <w:footnote w:id="2">
    <w:p w14:paraId="5E74AE06" w14:textId="230F307C" w:rsidR="00EF45C2" w:rsidRDefault="00EF45C2" w:rsidP="008B69A4">
      <w:pPr>
        <w:pStyle w:val="FootnoteText"/>
      </w:pPr>
      <w:r>
        <w:rPr>
          <w:rStyle w:val="FootnoteReference"/>
        </w:rPr>
        <w:footnoteRef/>
      </w:r>
      <w:r>
        <w:t xml:space="preserve"> </w:t>
      </w:r>
      <w:r w:rsidRPr="00EF45C2">
        <w:t>U.S. Dep</w:t>
      </w:r>
      <w:r w:rsidR="00BD7E32">
        <w:t xml:space="preserve">t. </w:t>
      </w:r>
      <w:r w:rsidR="004D5647">
        <w:t xml:space="preserve">of </w:t>
      </w:r>
      <w:r w:rsidRPr="00EF45C2">
        <w:t>Labor Office of Disability Employment Policy. Disability Employment Policy Resources by Topic, Emergency Preparedness.</w:t>
      </w:r>
      <w:r w:rsidR="008D576E">
        <w:t xml:space="preserve"> Retrieved from </w:t>
      </w:r>
      <w:hyperlink r:id="rId5" w:history="1">
        <w:r w:rsidR="006B16E4" w:rsidRPr="00EC61FD">
          <w:rPr>
            <w:rStyle w:val="Hyperlink"/>
          </w:rPr>
          <w:t>http://www.dol.gov/odep/topics/EmergencyPreparedness.htm</w:t>
        </w:r>
      </w:hyperlink>
      <w:r w:rsidRPr="00EF45C2">
        <w:t>.</w:t>
      </w:r>
    </w:p>
  </w:footnote>
  <w:footnote w:id="3">
    <w:p w14:paraId="47F558B6" w14:textId="36235D30" w:rsidR="008B69A4" w:rsidRPr="00761C3B" w:rsidRDefault="008B69A4" w:rsidP="008B69A4">
      <w:pPr>
        <w:rPr>
          <w:rFonts w:ascii="Calibri" w:eastAsia="Times New Roman" w:hAnsi="Calibri" w:cs="Calibri"/>
          <w:szCs w:val="20"/>
        </w:rPr>
      </w:pPr>
      <w:r w:rsidRPr="008B69A4">
        <w:rPr>
          <w:rStyle w:val="FootnoteReference"/>
          <w:sz w:val="20"/>
          <w:szCs w:val="20"/>
        </w:rPr>
        <w:footnoteRef/>
      </w:r>
      <w:r w:rsidRPr="008B69A4">
        <w:rPr>
          <w:sz w:val="20"/>
          <w:szCs w:val="20"/>
        </w:rPr>
        <w:t xml:space="preserve"> </w:t>
      </w:r>
      <w:r w:rsidRPr="00761C3B">
        <w:rPr>
          <w:rFonts w:ascii="Calibri" w:eastAsia="Times New Roman" w:hAnsi="Calibri" w:cs="Calibri"/>
          <w:sz w:val="20"/>
          <w:szCs w:val="18"/>
        </w:rPr>
        <w:t>29 U.S.C. § 2601</w:t>
      </w:r>
      <w:r w:rsidR="00761C3B" w:rsidRPr="00761C3B">
        <w:rPr>
          <w:rFonts w:ascii="Calibri" w:eastAsia="Times New Roman" w:hAnsi="Calibri" w:cs="Calibri"/>
          <w:sz w:val="20"/>
          <w:szCs w:val="18"/>
        </w:rPr>
        <w:t xml:space="preserve"> </w:t>
      </w:r>
      <w:r w:rsidRPr="00761C3B">
        <w:rPr>
          <w:rFonts w:ascii="Calibri" w:eastAsia="Times New Roman" w:hAnsi="Calibri" w:cs="Calibri"/>
          <w:sz w:val="20"/>
          <w:szCs w:val="18"/>
          <w:bdr w:val="none" w:sz="0" w:space="0" w:color="auto" w:frame="1"/>
        </w:rPr>
        <w:t>et seq.</w:t>
      </w:r>
    </w:p>
  </w:footnote>
  <w:footnote w:id="4">
    <w:p w14:paraId="27284A01" w14:textId="1F55FBC7" w:rsidR="008B69A4" w:rsidRPr="00761C3B" w:rsidRDefault="008B69A4" w:rsidP="008B69A4">
      <w:pPr>
        <w:rPr>
          <w:rFonts w:ascii="Calibri" w:eastAsia="Times New Roman" w:hAnsi="Calibri" w:cs="Calibri"/>
          <w:sz w:val="20"/>
          <w:szCs w:val="20"/>
        </w:rPr>
      </w:pPr>
      <w:r w:rsidRPr="00761C3B">
        <w:rPr>
          <w:rStyle w:val="FootnoteReference"/>
          <w:sz w:val="20"/>
          <w:szCs w:val="20"/>
        </w:rPr>
        <w:footnoteRef/>
      </w:r>
      <w:r w:rsidRPr="00761C3B">
        <w:rPr>
          <w:sz w:val="20"/>
          <w:szCs w:val="20"/>
        </w:rPr>
        <w:t xml:space="preserve"> </w:t>
      </w:r>
      <w:r w:rsidRPr="00761C3B">
        <w:rPr>
          <w:rFonts w:ascii="Calibri" w:eastAsia="Times New Roman" w:hAnsi="Calibri" w:cs="Calibri"/>
          <w:sz w:val="20"/>
          <w:szCs w:val="20"/>
        </w:rPr>
        <w:t>29 U.S.C. § 651</w:t>
      </w:r>
      <w:r w:rsidR="00761C3B" w:rsidRPr="00761C3B">
        <w:rPr>
          <w:rFonts w:ascii="Calibri" w:eastAsia="Times New Roman" w:hAnsi="Calibri" w:cs="Calibri"/>
          <w:sz w:val="20"/>
          <w:szCs w:val="20"/>
        </w:rPr>
        <w:t xml:space="preserve"> </w:t>
      </w:r>
      <w:r w:rsidRPr="00761C3B">
        <w:rPr>
          <w:rFonts w:ascii="Calibri" w:eastAsia="Times New Roman" w:hAnsi="Calibri" w:cs="Calibri"/>
          <w:sz w:val="20"/>
          <w:szCs w:val="20"/>
          <w:bdr w:val="none" w:sz="0" w:space="0" w:color="auto" w:frame="1"/>
        </w:rPr>
        <w:t>et seq</w:t>
      </w:r>
      <w:r w:rsidRPr="00761C3B">
        <w:rPr>
          <w:rFonts w:ascii="Calibri" w:eastAsia="Times New Roman" w:hAnsi="Calibri" w:cs="Calibri"/>
          <w:sz w:val="20"/>
          <w:szCs w:val="20"/>
        </w:rPr>
        <w:t>.</w:t>
      </w:r>
    </w:p>
  </w:footnote>
  <w:footnote w:id="5">
    <w:p w14:paraId="21561BD4" w14:textId="2F835C13" w:rsidR="008B69A4" w:rsidRPr="00761C3B" w:rsidRDefault="008B69A4" w:rsidP="008B69A4">
      <w:pPr>
        <w:pStyle w:val="FootnoteText"/>
      </w:pPr>
      <w:r w:rsidRPr="00761C3B">
        <w:rPr>
          <w:rStyle w:val="FootnoteReference"/>
        </w:rPr>
        <w:footnoteRef/>
      </w:r>
      <w:r w:rsidRPr="00761C3B">
        <w:t xml:space="preserve"> 42 U.S.C. § 12101 et seq.</w:t>
      </w:r>
    </w:p>
  </w:footnote>
  <w:footnote w:id="6">
    <w:p w14:paraId="19B04ADA" w14:textId="32153043" w:rsidR="002308AA" w:rsidRPr="00761C3B" w:rsidRDefault="002308AA">
      <w:pPr>
        <w:pStyle w:val="FootnoteText"/>
      </w:pPr>
      <w:r w:rsidRPr="00761C3B">
        <w:rPr>
          <w:rStyle w:val="FootnoteReference"/>
        </w:rPr>
        <w:footnoteRef/>
      </w:r>
      <w:r w:rsidRPr="00761C3B">
        <w:t xml:space="preserve"> </w:t>
      </w:r>
      <w:r w:rsidR="00F47911" w:rsidRPr="00761C3B">
        <w:t>45 C.F.R. Parts 160 and 164.</w:t>
      </w:r>
    </w:p>
  </w:footnote>
  <w:footnote w:id="7">
    <w:p w14:paraId="2E3A0E98" w14:textId="3FEDCED7" w:rsidR="00F47911" w:rsidRDefault="00F47911">
      <w:pPr>
        <w:pStyle w:val="FootnoteText"/>
      </w:pPr>
      <w:r w:rsidRPr="00761C3B">
        <w:rPr>
          <w:rStyle w:val="FootnoteReference"/>
        </w:rPr>
        <w:footnoteRef/>
      </w:r>
      <w:r w:rsidRPr="00761C3B">
        <w:t xml:space="preserve"> 42 U.S.C. § 300gg et seq.</w:t>
      </w:r>
    </w:p>
  </w:footnote>
  <w:footnote w:id="8">
    <w:p w14:paraId="5F66444C" w14:textId="7BE425F1" w:rsidR="008E77E5" w:rsidRDefault="008E77E5">
      <w:pPr>
        <w:pStyle w:val="FootnoteText"/>
      </w:pPr>
      <w:r>
        <w:rPr>
          <w:rStyle w:val="FootnoteReference"/>
        </w:rPr>
        <w:footnoteRef/>
      </w:r>
      <w:r>
        <w:t xml:space="preserve"> </w:t>
      </w:r>
      <w:r w:rsidR="005602FB" w:rsidRPr="005602FB">
        <w:t>45 C.F.R. § 160.103, definition of protected health information.</w:t>
      </w:r>
    </w:p>
  </w:footnote>
  <w:footnote w:id="9">
    <w:p w14:paraId="5F653362" w14:textId="4B623780" w:rsidR="007265D7" w:rsidRDefault="007265D7">
      <w:pPr>
        <w:pStyle w:val="FootnoteText"/>
      </w:pPr>
      <w:r>
        <w:rPr>
          <w:rStyle w:val="FootnoteReference"/>
        </w:rPr>
        <w:footnoteRef/>
      </w:r>
      <w:r>
        <w:t xml:space="preserve"> </w:t>
      </w:r>
      <w:r w:rsidRPr="007265D7">
        <w:t>29 U.S.C. § 651 et seq.</w:t>
      </w:r>
    </w:p>
  </w:footnote>
  <w:footnote w:id="10">
    <w:p w14:paraId="7F07FA9C" w14:textId="46B5531F" w:rsidR="008B693D" w:rsidRDefault="008B693D" w:rsidP="008B693D">
      <w:pPr>
        <w:pStyle w:val="FootnoteText"/>
      </w:pPr>
      <w:r>
        <w:rPr>
          <w:rStyle w:val="FootnoteReference"/>
        </w:rPr>
        <w:footnoteRef/>
      </w:r>
      <w:r>
        <w:t xml:space="preserve"> </w:t>
      </w:r>
      <w:r w:rsidRPr="002C3D28">
        <w:t>U.S. Department of Labor Occupational Safety &amp; Health Administration. Information about OSHA for Workers.</w:t>
      </w:r>
      <w:r w:rsidR="00581985">
        <w:t xml:space="preserve"> Retrieved from </w:t>
      </w:r>
      <w:hyperlink r:id="rId6" w:history="1">
        <w:r w:rsidR="00761C3B" w:rsidRPr="00EC61FD">
          <w:rPr>
            <w:rStyle w:val="Hyperlink"/>
          </w:rPr>
          <w:t>http://www.osha.gov/workers.html</w:t>
        </w:r>
      </w:hyperlink>
      <w:r w:rsidRPr="002C3D28">
        <w:t>.</w:t>
      </w:r>
      <w:r w:rsidR="00761C3B">
        <w:t xml:space="preserve"> </w:t>
      </w:r>
      <w:r w:rsidR="007E73F3">
        <w:t>The OHS Act does not cover</w:t>
      </w:r>
      <w:r w:rsidR="007D2E16">
        <w:t xml:space="preserve"> s</w:t>
      </w:r>
      <w:r w:rsidR="007E73F3">
        <w:t>elf-employed</w:t>
      </w:r>
      <w:r w:rsidR="007D2E16">
        <w:t xml:space="preserve"> persons</w:t>
      </w:r>
      <w:r w:rsidR="001C76E4">
        <w:t xml:space="preserve">, </w:t>
      </w:r>
      <w:r w:rsidR="007D2E16">
        <w:t>i</w:t>
      </w:r>
      <w:r w:rsidR="007E73F3">
        <w:t>mmediate family members of farm employers</w:t>
      </w:r>
      <w:r w:rsidR="001C76E4">
        <w:t xml:space="preserve">, </w:t>
      </w:r>
      <w:r w:rsidR="007E73F3">
        <w:t xml:space="preserve">and </w:t>
      </w:r>
      <w:r w:rsidR="007D2E16">
        <w:t>w</w:t>
      </w:r>
      <w:r w:rsidR="007E73F3">
        <w:t>orkplace hazards regulated by another federal agency (</w:t>
      </w:r>
      <w:r w:rsidR="009473F6">
        <w:t xml:space="preserve">e.g., </w:t>
      </w:r>
      <w:r w:rsidR="007E73F3">
        <w:t>Mine Safety and Health Administration, Department of Energy, or the Coast Guard).</w:t>
      </w:r>
      <w:r w:rsidR="007E73F3" w:rsidRPr="00BA7CAA">
        <w:t xml:space="preserve"> </w:t>
      </w:r>
    </w:p>
  </w:footnote>
  <w:footnote w:id="11">
    <w:p w14:paraId="7026368B" w14:textId="76DAD199" w:rsidR="008B693D" w:rsidRDefault="008B693D" w:rsidP="008B693D">
      <w:pPr>
        <w:pStyle w:val="FootnoteText"/>
      </w:pPr>
      <w:r>
        <w:rPr>
          <w:rStyle w:val="FootnoteReference"/>
        </w:rPr>
        <w:footnoteRef/>
      </w:r>
      <w:r>
        <w:t xml:space="preserve"> </w:t>
      </w:r>
      <w:r w:rsidRPr="007265D7">
        <w:t>29 U.S.C. § 652.</w:t>
      </w:r>
    </w:p>
  </w:footnote>
  <w:footnote w:id="12">
    <w:p w14:paraId="7BF2B7A2" w14:textId="1A2CFE6B" w:rsidR="009B23F8" w:rsidRDefault="009B23F8" w:rsidP="009B23F8">
      <w:pPr>
        <w:pStyle w:val="FootnoteText"/>
      </w:pPr>
      <w:r>
        <w:rPr>
          <w:rStyle w:val="FootnoteReference"/>
        </w:rPr>
        <w:footnoteRef/>
      </w:r>
      <w:r>
        <w:t xml:space="preserve"> </w:t>
      </w:r>
      <w:r w:rsidR="00364A3F" w:rsidRPr="00364A3F">
        <w:t>U.S. Department of Labor Occupational Safety &amp; Health Administration.</w:t>
      </w:r>
      <w:r w:rsidR="00DF09CE">
        <w:t xml:space="preserve"> State Plans. Retrieved from </w:t>
      </w:r>
      <w:hyperlink r:id="rId7" w:history="1">
        <w:r w:rsidR="0056608D">
          <w:rPr>
            <w:rStyle w:val="Hyperlink"/>
          </w:rPr>
          <w:t>https://www.osha.gov/stateplans/</w:t>
        </w:r>
      </w:hyperlink>
      <w:r w:rsidR="0056608D">
        <w:t>.</w:t>
      </w:r>
    </w:p>
  </w:footnote>
  <w:footnote w:id="13">
    <w:p w14:paraId="5E2D5423" w14:textId="2E86588B" w:rsidR="00701AF5" w:rsidRDefault="00701AF5" w:rsidP="00701AF5">
      <w:pPr>
        <w:pStyle w:val="FootnoteText"/>
      </w:pPr>
      <w:r>
        <w:rPr>
          <w:rStyle w:val="FootnoteReference"/>
        </w:rPr>
        <w:footnoteRef/>
      </w:r>
      <w:r>
        <w:t xml:space="preserve"> </w:t>
      </w:r>
      <w:r w:rsidR="0056608D" w:rsidRPr="00364A3F">
        <w:t>U.S. Department of Labor Occupational Safety &amp; Health Administration.</w:t>
      </w:r>
      <w:r w:rsidR="0056608D">
        <w:t xml:space="preserve"> State Plans. Retrieved from </w:t>
      </w:r>
      <w:hyperlink r:id="rId8" w:history="1">
        <w:r w:rsidR="0056608D">
          <w:rPr>
            <w:rStyle w:val="Hyperlink"/>
          </w:rPr>
          <w:t>https://www.osha.gov/stateplans/</w:t>
        </w:r>
      </w:hyperlink>
      <w:r w:rsidR="0056608D">
        <w:t>.</w:t>
      </w:r>
    </w:p>
  </w:footnote>
  <w:footnote w:id="14">
    <w:p w14:paraId="013A452A" w14:textId="198B16A0" w:rsidR="0076559C" w:rsidRDefault="0076559C">
      <w:pPr>
        <w:pStyle w:val="FootnoteText"/>
      </w:pPr>
      <w:r>
        <w:rPr>
          <w:rStyle w:val="FootnoteReference"/>
        </w:rPr>
        <w:footnoteRef/>
      </w:r>
      <w:r>
        <w:t xml:space="preserve"> </w:t>
      </w:r>
      <w:r w:rsidR="0056608D" w:rsidRPr="00364A3F">
        <w:t>U.S. Department of Labor Occupational Safety &amp; Health Administration.</w:t>
      </w:r>
      <w:r w:rsidR="0056608D">
        <w:t xml:space="preserve"> State Plans. Retrieved from </w:t>
      </w:r>
      <w:hyperlink r:id="rId9" w:history="1">
        <w:r w:rsidR="0056608D">
          <w:rPr>
            <w:rStyle w:val="Hyperlink"/>
          </w:rPr>
          <w:t>https://www.osha.gov/stateplans/</w:t>
        </w:r>
      </w:hyperlink>
      <w:r w:rsidR="0056608D">
        <w:t>.</w:t>
      </w:r>
    </w:p>
  </w:footnote>
  <w:footnote w:id="15">
    <w:p w14:paraId="297BABF4" w14:textId="0FFBCB9B" w:rsidR="009B23F8" w:rsidRDefault="009B23F8" w:rsidP="009B23F8">
      <w:pPr>
        <w:pStyle w:val="FootnoteText"/>
      </w:pPr>
      <w:r>
        <w:rPr>
          <w:rStyle w:val="FootnoteReference"/>
        </w:rPr>
        <w:footnoteRef/>
      </w:r>
      <w:r>
        <w:t xml:space="preserve"> </w:t>
      </w:r>
      <w:r w:rsidR="0056608D" w:rsidRPr="00364A3F">
        <w:t>U.S. Department of Labor Occupational Safety &amp; Health Administration.</w:t>
      </w:r>
      <w:r w:rsidR="0056608D">
        <w:t xml:space="preserve"> State Plans. Retrieved from </w:t>
      </w:r>
      <w:hyperlink r:id="rId10" w:history="1">
        <w:r w:rsidR="0056608D">
          <w:rPr>
            <w:rStyle w:val="Hyperlink"/>
          </w:rPr>
          <w:t>https://www.osha.gov/stateplans/</w:t>
        </w:r>
      </w:hyperlink>
      <w:r w:rsidR="0056608D">
        <w:t>.</w:t>
      </w:r>
    </w:p>
  </w:footnote>
  <w:footnote w:id="16">
    <w:p w14:paraId="158815DE" w14:textId="31C0FAA9" w:rsidR="00331755" w:rsidRDefault="00331755" w:rsidP="00331755">
      <w:pPr>
        <w:pStyle w:val="FootnoteText"/>
      </w:pPr>
      <w:r>
        <w:rPr>
          <w:rStyle w:val="FootnoteReference"/>
        </w:rPr>
        <w:footnoteRef/>
      </w:r>
      <w:r>
        <w:t xml:space="preserve"> </w:t>
      </w:r>
      <w:r w:rsidR="0056608D" w:rsidRPr="00364A3F">
        <w:t>U.S. Department of Labor Occupational Safety &amp; Health Administration.</w:t>
      </w:r>
      <w:r w:rsidR="0056608D">
        <w:t xml:space="preserve"> State Plans. Retrieved from </w:t>
      </w:r>
      <w:hyperlink r:id="rId11" w:history="1">
        <w:r w:rsidR="0056608D">
          <w:rPr>
            <w:rStyle w:val="Hyperlink"/>
          </w:rPr>
          <w:t>https://www.osha.gov/stateplans/</w:t>
        </w:r>
      </w:hyperlink>
      <w:r w:rsidR="0056608D">
        <w:t>.</w:t>
      </w:r>
    </w:p>
  </w:footnote>
  <w:footnote w:id="17">
    <w:p w14:paraId="39CCA96F" w14:textId="4F812731" w:rsidR="00D5394F" w:rsidRDefault="00D5394F">
      <w:pPr>
        <w:pStyle w:val="FootnoteText"/>
      </w:pPr>
      <w:r>
        <w:rPr>
          <w:rStyle w:val="FootnoteReference"/>
        </w:rPr>
        <w:footnoteRef/>
      </w:r>
      <w:r>
        <w:t xml:space="preserve"> </w:t>
      </w:r>
      <w:r w:rsidRPr="00D5394F">
        <w:t>29 C.F.R. § 1910.120.</w:t>
      </w:r>
    </w:p>
  </w:footnote>
  <w:footnote w:id="18">
    <w:p w14:paraId="30C1FFB1" w14:textId="526F14AB" w:rsidR="00D5394F" w:rsidRDefault="00D5394F">
      <w:pPr>
        <w:pStyle w:val="FootnoteText"/>
      </w:pPr>
      <w:r>
        <w:rPr>
          <w:rStyle w:val="FootnoteReference"/>
        </w:rPr>
        <w:footnoteRef/>
      </w:r>
      <w:r>
        <w:t xml:space="preserve"> </w:t>
      </w:r>
      <w:r w:rsidR="0056608D" w:rsidRPr="00364A3F">
        <w:t>U.S. Department of Labor Occupational Safety &amp; Health Administration.</w:t>
      </w:r>
      <w:r w:rsidR="0056608D">
        <w:t xml:space="preserve"> State Plans. Retrieved from </w:t>
      </w:r>
      <w:hyperlink r:id="rId12" w:history="1">
        <w:r w:rsidR="0056608D">
          <w:rPr>
            <w:rStyle w:val="Hyperlink"/>
          </w:rPr>
          <w:t>https://www.osha.gov/stateplans/</w:t>
        </w:r>
      </w:hyperlink>
      <w:r w:rsidR="0056608D">
        <w:t>.</w:t>
      </w:r>
    </w:p>
  </w:footnote>
  <w:footnote w:id="19">
    <w:p w14:paraId="1B6585AD" w14:textId="787C3721" w:rsidR="001A31E3" w:rsidRDefault="001A31E3">
      <w:pPr>
        <w:pStyle w:val="FootnoteText"/>
      </w:pPr>
      <w:r>
        <w:rPr>
          <w:rStyle w:val="FootnoteReference"/>
        </w:rPr>
        <w:footnoteRef/>
      </w:r>
      <w:r>
        <w:t xml:space="preserve"> </w:t>
      </w:r>
      <w:r w:rsidRPr="001A31E3">
        <w:t>29 U.S.C. § 654.</w:t>
      </w:r>
    </w:p>
  </w:footnote>
  <w:footnote w:id="20">
    <w:p w14:paraId="5F5B5274" w14:textId="08EDE0B9" w:rsidR="00FC428E" w:rsidRDefault="00FC428E">
      <w:pPr>
        <w:pStyle w:val="FootnoteText"/>
      </w:pPr>
      <w:r>
        <w:rPr>
          <w:rStyle w:val="FootnoteReference"/>
        </w:rPr>
        <w:footnoteRef/>
      </w:r>
      <w:r>
        <w:t xml:space="preserve"> </w:t>
      </w:r>
      <w:r w:rsidRPr="00FC428E">
        <w:t>OSHA Publication No. 3327. Guidance on Preparing Workplaces for an Influenza Pandemic.</w:t>
      </w:r>
      <w:r w:rsidR="00434A0F">
        <w:t xml:space="preserve"> Retrieved from </w:t>
      </w:r>
      <w:hyperlink r:id="rId13" w:history="1">
        <w:r w:rsidR="00E54013" w:rsidRPr="00EC61FD">
          <w:rPr>
            <w:rStyle w:val="Hyperlink"/>
          </w:rPr>
          <w:t>http://www.osha.gov/Publications/influenza_pandemic.html</w:t>
        </w:r>
      </w:hyperlink>
      <w:r w:rsidRPr="00FC428E">
        <w:t>.</w:t>
      </w:r>
    </w:p>
  </w:footnote>
  <w:footnote w:id="21">
    <w:p w14:paraId="35C4E9C9" w14:textId="147128AC" w:rsidR="00664457" w:rsidRDefault="00664457">
      <w:pPr>
        <w:pStyle w:val="FootnoteText"/>
      </w:pPr>
      <w:r>
        <w:rPr>
          <w:rStyle w:val="FootnoteReference"/>
        </w:rPr>
        <w:footnoteRef/>
      </w:r>
      <w:r>
        <w:t xml:space="preserve"> </w:t>
      </w:r>
      <w:r w:rsidRPr="00664457">
        <w:t>29 C.F.R. Part 1910.</w:t>
      </w:r>
    </w:p>
  </w:footnote>
  <w:footnote w:id="22">
    <w:p w14:paraId="7EC79099" w14:textId="11604A59" w:rsidR="006A4946" w:rsidRDefault="006A4946" w:rsidP="006A4946">
      <w:pPr>
        <w:pStyle w:val="FootnoteText"/>
      </w:pPr>
      <w:r>
        <w:rPr>
          <w:rStyle w:val="FootnoteReference"/>
        </w:rPr>
        <w:footnoteRef/>
      </w:r>
      <w:r>
        <w:t xml:space="preserve"> </w:t>
      </w:r>
      <w:r w:rsidRPr="00F672B9">
        <w:t>42 U.S.C. § 12102; 29 C.F.R. § 1630.2(g).</w:t>
      </w:r>
    </w:p>
  </w:footnote>
  <w:footnote w:id="23">
    <w:p w14:paraId="69F3193C" w14:textId="301069FF" w:rsidR="002C2F37" w:rsidRDefault="002C2F37" w:rsidP="002C2F37">
      <w:pPr>
        <w:pStyle w:val="FootnoteText"/>
      </w:pPr>
      <w:r>
        <w:rPr>
          <w:rStyle w:val="FootnoteReference"/>
        </w:rPr>
        <w:footnoteRef/>
      </w:r>
      <w:r>
        <w:t xml:space="preserve"> </w:t>
      </w:r>
      <w:r w:rsidRPr="00314269">
        <w:t>U.S. Equal Employment Opportunity Commission. The Rehabilitation Act of 1973.</w:t>
      </w:r>
      <w:r w:rsidR="00451C15">
        <w:t xml:space="preserve"> Retrieved from </w:t>
      </w:r>
      <w:hyperlink r:id="rId14" w:history="1">
        <w:r w:rsidR="00451C15" w:rsidRPr="00EC61FD">
          <w:rPr>
            <w:rStyle w:val="Hyperlink"/>
          </w:rPr>
          <w:t>http://www.eeoc.gov/laws/statutes/rehab.cfm</w:t>
        </w:r>
      </w:hyperlink>
      <w:r w:rsidRPr="00314269">
        <w:t>.</w:t>
      </w:r>
    </w:p>
  </w:footnote>
  <w:footnote w:id="24">
    <w:p w14:paraId="333C1B66" w14:textId="6D1519D4" w:rsidR="00C21224" w:rsidRDefault="00C21224" w:rsidP="00C21224">
      <w:pPr>
        <w:pStyle w:val="FootnoteText"/>
      </w:pPr>
      <w:r>
        <w:rPr>
          <w:rStyle w:val="FootnoteReference"/>
        </w:rPr>
        <w:footnoteRef/>
      </w:r>
      <w:r>
        <w:t xml:space="preserve"> </w:t>
      </w:r>
      <w:r w:rsidRPr="00501273">
        <w:t>29 C.F.R. § 1630.2(r).</w:t>
      </w:r>
    </w:p>
  </w:footnote>
  <w:footnote w:id="25">
    <w:p w14:paraId="23F3E84E" w14:textId="3C78D5F3" w:rsidR="00C21224" w:rsidRDefault="00C21224" w:rsidP="00C21224">
      <w:pPr>
        <w:pStyle w:val="FootnoteText"/>
      </w:pPr>
      <w:r>
        <w:rPr>
          <w:rStyle w:val="FootnoteReference"/>
        </w:rPr>
        <w:footnoteRef/>
      </w:r>
      <w:r>
        <w:t xml:space="preserve"> </w:t>
      </w:r>
      <w:r w:rsidRPr="00501273">
        <w:t>U.S. Equal Employment Opportunity Commission. Pandemic Preparedness in the Workplace and the Americans with Disabilities Act.</w:t>
      </w:r>
      <w:r w:rsidR="00ED14A1">
        <w:t xml:space="preserve"> Retrieved from </w:t>
      </w:r>
      <w:hyperlink r:id="rId15" w:history="1">
        <w:r w:rsidR="00114675" w:rsidRPr="00EC61FD">
          <w:rPr>
            <w:rStyle w:val="Hyperlink"/>
          </w:rPr>
          <w:t>http://www.eeoc.gov/facts/pandemic_flu.html</w:t>
        </w:r>
      </w:hyperlink>
      <w:r w:rsidRPr="00501273">
        <w:t>.</w:t>
      </w:r>
      <w:r w:rsidR="00114675">
        <w:t xml:space="preserve"> </w:t>
      </w:r>
    </w:p>
  </w:footnote>
  <w:footnote w:id="26">
    <w:p w14:paraId="5F23C06A" w14:textId="7BF33938" w:rsidR="00C21224" w:rsidRDefault="00C21224" w:rsidP="00C21224">
      <w:pPr>
        <w:pStyle w:val="FootnoteText"/>
      </w:pPr>
      <w:r>
        <w:rPr>
          <w:rStyle w:val="FootnoteReference"/>
        </w:rPr>
        <w:footnoteRef/>
      </w:r>
      <w:r>
        <w:t xml:space="preserve"> </w:t>
      </w:r>
      <w:r w:rsidR="00E96DDB" w:rsidRPr="00E96DDB">
        <w:t xml:space="preserve">U.S. </w:t>
      </w:r>
      <w:r w:rsidRPr="007537B9">
        <w:t>Equal Employment Opportunity Commission. Fact Sheet on Obtaining and Using Employee Medical Information as Part of Emergency Evacuation Procedures</w:t>
      </w:r>
      <w:r w:rsidR="00E96DDB">
        <w:t xml:space="preserve">. Retrieved from </w:t>
      </w:r>
      <w:hyperlink r:id="rId16" w:anchor="N_2" w:history="1">
        <w:r w:rsidR="00954510" w:rsidRPr="00EC61FD">
          <w:rPr>
            <w:rStyle w:val="Hyperlink"/>
          </w:rPr>
          <w:t>http://eeoc.gov/facts/evacuation.html#N_2</w:t>
        </w:r>
      </w:hyperlink>
      <w:r w:rsidRPr="007537B9">
        <w:t>.</w:t>
      </w:r>
      <w:r w:rsidR="00954510">
        <w:t xml:space="preserve"> </w:t>
      </w:r>
    </w:p>
  </w:footnote>
  <w:footnote w:id="27">
    <w:p w14:paraId="799998AB" w14:textId="222228D0" w:rsidR="00C21224" w:rsidRDefault="00C21224" w:rsidP="00C21224">
      <w:pPr>
        <w:pStyle w:val="FootnoteText"/>
      </w:pPr>
      <w:r>
        <w:rPr>
          <w:rStyle w:val="FootnoteReference"/>
        </w:rPr>
        <w:footnoteRef/>
      </w:r>
      <w:r>
        <w:t xml:space="preserve"> </w:t>
      </w:r>
      <w:r w:rsidR="00CC2F70" w:rsidRPr="00501273">
        <w:t>U.S. Equal Employment Opportunity Commission. Pandemic Preparedness in the Workplace and the Americans with Disabilities Act.</w:t>
      </w:r>
      <w:r w:rsidR="00CC2F70">
        <w:t xml:space="preserve"> Retrieved from </w:t>
      </w:r>
      <w:hyperlink r:id="rId17" w:history="1">
        <w:r w:rsidR="00CC2F70" w:rsidRPr="00EC61FD">
          <w:rPr>
            <w:rStyle w:val="Hyperlink"/>
          </w:rPr>
          <w:t>http://www.eeoc.gov/facts/pandemic_flu.html</w:t>
        </w:r>
      </w:hyperlink>
      <w:r w:rsidR="00CC2F70" w:rsidRPr="00501273">
        <w:t>.</w:t>
      </w:r>
    </w:p>
  </w:footnote>
  <w:footnote w:id="28">
    <w:p w14:paraId="1482C31F" w14:textId="5B2F4842" w:rsidR="00C21224" w:rsidRDefault="00C21224" w:rsidP="00C21224">
      <w:pPr>
        <w:pStyle w:val="FootnoteText"/>
      </w:pPr>
      <w:r>
        <w:rPr>
          <w:rStyle w:val="FootnoteReference"/>
        </w:rPr>
        <w:footnoteRef/>
      </w:r>
      <w:r>
        <w:t xml:space="preserve"> </w:t>
      </w:r>
      <w:r w:rsidR="00CC2F70" w:rsidRPr="00501273">
        <w:t>U.S. Equal Employment Opportunity Commission. Pandemic Preparedness in the Workplace and the Americans with Disabilities Act.</w:t>
      </w:r>
      <w:r w:rsidR="00CC2F70">
        <w:t xml:space="preserve"> Retrieved from </w:t>
      </w:r>
      <w:hyperlink r:id="rId18" w:history="1">
        <w:r w:rsidR="00CC2F70" w:rsidRPr="00EC61FD">
          <w:rPr>
            <w:rStyle w:val="Hyperlink"/>
          </w:rPr>
          <w:t>http://www.eeoc.gov/facts/pandemic_flu.html</w:t>
        </w:r>
      </w:hyperlink>
      <w:r w:rsidR="00CC2F70" w:rsidRPr="00501273">
        <w:t>.</w:t>
      </w:r>
    </w:p>
  </w:footnote>
  <w:footnote w:id="29">
    <w:p w14:paraId="77843E6C" w14:textId="39EDD1F9" w:rsidR="00C21224" w:rsidRDefault="00C21224" w:rsidP="00C21224">
      <w:pPr>
        <w:pStyle w:val="FootnoteText"/>
      </w:pPr>
      <w:r>
        <w:rPr>
          <w:rStyle w:val="FootnoteReference"/>
        </w:rPr>
        <w:footnoteRef/>
      </w:r>
      <w:r>
        <w:t xml:space="preserve"> </w:t>
      </w:r>
      <w:r w:rsidR="00F877F4" w:rsidRPr="00501273">
        <w:t>U.S. Equal Employment Opportunity Commission. Pandemic Preparedness in the Workplace and the Americans with Disabilities Act.</w:t>
      </w:r>
      <w:r w:rsidR="00F877F4">
        <w:t xml:space="preserve"> Retrieved from </w:t>
      </w:r>
      <w:hyperlink r:id="rId19" w:history="1">
        <w:r w:rsidR="00F877F4" w:rsidRPr="00EC61FD">
          <w:rPr>
            <w:rStyle w:val="Hyperlink"/>
          </w:rPr>
          <w:t>http://www.eeoc.gov/facts/pandemic_flu.html</w:t>
        </w:r>
      </w:hyperlink>
      <w:r w:rsidR="00F877F4" w:rsidRPr="00501273">
        <w:t>.</w:t>
      </w:r>
    </w:p>
  </w:footnote>
  <w:footnote w:id="30">
    <w:p w14:paraId="275B9DFC" w14:textId="1A159F30" w:rsidR="00C21224" w:rsidRDefault="00C21224" w:rsidP="00C21224">
      <w:pPr>
        <w:pStyle w:val="FootnoteText"/>
      </w:pPr>
      <w:r>
        <w:rPr>
          <w:rStyle w:val="FootnoteReference"/>
        </w:rPr>
        <w:footnoteRef/>
      </w:r>
      <w:r>
        <w:t xml:space="preserve"> </w:t>
      </w:r>
      <w:r w:rsidRPr="00F606C9">
        <w:t>42 U.S.C. § 12112; 29 C.F.R. § 1630.14(c), (d).</w:t>
      </w:r>
    </w:p>
  </w:footnote>
  <w:footnote w:id="31">
    <w:p w14:paraId="00C8A3FE" w14:textId="5058F174" w:rsidR="00C21224" w:rsidRDefault="00C21224" w:rsidP="00C21224">
      <w:pPr>
        <w:pStyle w:val="FootnoteText"/>
      </w:pPr>
      <w:r>
        <w:rPr>
          <w:rStyle w:val="FootnoteReference"/>
        </w:rPr>
        <w:footnoteRef/>
      </w:r>
      <w:r>
        <w:t xml:space="preserve"> </w:t>
      </w:r>
      <w:r w:rsidRPr="00F606C9">
        <w:t>42 U.S.C. § 12112(d)(3); 29 C.F.R. § 1630.14(c), (d).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9A8C2" w14:textId="67012531" w:rsidR="008C382B" w:rsidRPr="008C382B" w:rsidRDefault="008C382B" w:rsidP="008C382B">
    <w:pPr>
      <w:pStyle w:val="Header"/>
      <w:jc w:val="center"/>
      <w:rPr>
        <w:b/>
        <w:bCs/>
      </w:rPr>
    </w:pPr>
    <w:r w:rsidRPr="008C382B">
      <w:rPr>
        <w:b/>
        <w:bCs/>
        <w:highlight w:val="yellow"/>
      </w:rPr>
      <w:t>DRAFT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02473"/>
    <w:multiLevelType w:val="hybridMultilevel"/>
    <w:tmpl w:val="2804A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097C3F"/>
    <w:multiLevelType w:val="multilevel"/>
    <w:tmpl w:val="89AC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E07BB"/>
    <w:multiLevelType w:val="hybridMultilevel"/>
    <w:tmpl w:val="6DEC8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723D8A"/>
    <w:multiLevelType w:val="hybridMultilevel"/>
    <w:tmpl w:val="1270B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D9125A"/>
    <w:multiLevelType w:val="multilevel"/>
    <w:tmpl w:val="5EB2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130712"/>
    <w:multiLevelType w:val="multilevel"/>
    <w:tmpl w:val="CA4EA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4A5BD0"/>
    <w:multiLevelType w:val="hybridMultilevel"/>
    <w:tmpl w:val="29A069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264C04"/>
    <w:multiLevelType w:val="hybridMultilevel"/>
    <w:tmpl w:val="FC56F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900BD3"/>
    <w:multiLevelType w:val="hybridMultilevel"/>
    <w:tmpl w:val="86641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1C144B"/>
    <w:multiLevelType w:val="multilevel"/>
    <w:tmpl w:val="5342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4842E8"/>
    <w:multiLevelType w:val="hybridMultilevel"/>
    <w:tmpl w:val="ED0EC4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C5B0EE9"/>
    <w:multiLevelType w:val="multilevel"/>
    <w:tmpl w:val="714C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C7181A"/>
    <w:multiLevelType w:val="hybridMultilevel"/>
    <w:tmpl w:val="BF1E7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7FA0678"/>
    <w:multiLevelType w:val="multilevel"/>
    <w:tmpl w:val="D6A2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98619D"/>
    <w:multiLevelType w:val="hybridMultilevel"/>
    <w:tmpl w:val="278ED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E0E2C39"/>
    <w:multiLevelType w:val="multilevel"/>
    <w:tmpl w:val="868A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11"/>
  </w:num>
  <w:num w:numId="4">
    <w:abstractNumId w:val="1"/>
  </w:num>
  <w:num w:numId="5">
    <w:abstractNumId w:val="15"/>
  </w:num>
  <w:num w:numId="6">
    <w:abstractNumId w:val="4"/>
  </w:num>
  <w:num w:numId="7">
    <w:abstractNumId w:val="5"/>
  </w:num>
  <w:num w:numId="8">
    <w:abstractNumId w:val="10"/>
  </w:num>
  <w:num w:numId="9">
    <w:abstractNumId w:val="6"/>
  </w:num>
  <w:num w:numId="10">
    <w:abstractNumId w:val="7"/>
  </w:num>
  <w:num w:numId="11">
    <w:abstractNumId w:val="14"/>
  </w:num>
  <w:num w:numId="12">
    <w:abstractNumId w:val="3"/>
  </w:num>
  <w:num w:numId="13">
    <w:abstractNumId w:val="12"/>
  </w:num>
  <w:num w:numId="14">
    <w:abstractNumId w:val="8"/>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91"/>
    <w:rsid w:val="00023AC8"/>
    <w:rsid w:val="00037786"/>
    <w:rsid w:val="00071937"/>
    <w:rsid w:val="00073F52"/>
    <w:rsid w:val="00075EF7"/>
    <w:rsid w:val="000776BE"/>
    <w:rsid w:val="000778FE"/>
    <w:rsid w:val="0009633B"/>
    <w:rsid w:val="000A3EBB"/>
    <w:rsid w:val="000B39CA"/>
    <w:rsid w:val="000D3A95"/>
    <w:rsid w:val="000D6E16"/>
    <w:rsid w:val="000F0A60"/>
    <w:rsid w:val="000F11B0"/>
    <w:rsid w:val="00114675"/>
    <w:rsid w:val="0014477A"/>
    <w:rsid w:val="00144C52"/>
    <w:rsid w:val="00145A34"/>
    <w:rsid w:val="00151278"/>
    <w:rsid w:val="001542B9"/>
    <w:rsid w:val="00164655"/>
    <w:rsid w:val="00172D86"/>
    <w:rsid w:val="00190EAA"/>
    <w:rsid w:val="00191AD3"/>
    <w:rsid w:val="0019464C"/>
    <w:rsid w:val="001A2189"/>
    <w:rsid w:val="001A31E3"/>
    <w:rsid w:val="001B0EA2"/>
    <w:rsid w:val="001B19E9"/>
    <w:rsid w:val="001C7254"/>
    <w:rsid w:val="001C76E4"/>
    <w:rsid w:val="001D0E56"/>
    <w:rsid w:val="001D350D"/>
    <w:rsid w:val="001F331D"/>
    <w:rsid w:val="00206142"/>
    <w:rsid w:val="002276C1"/>
    <w:rsid w:val="002308AA"/>
    <w:rsid w:val="00237A7D"/>
    <w:rsid w:val="0024448A"/>
    <w:rsid w:val="00245439"/>
    <w:rsid w:val="00245928"/>
    <w:rsid w:val="002509EB"/>
    <w:rsid w:val="0025413C"/>
    <w:rsid w:val="00261A67"/>
    <w:rsid w:val="002754E8"/>
    <w:rsid w:val="00284D0E"/>
    <w:rsid w:val="00286E1B"/>
    <w:rsid w:val="00292CBE"/>
    <w:rsid w:val="002935FC"/>
    <w:rsid w:val="002A4FBA"/>
    <w:rsid w:val="002B210E"/>
    <w:rsid w:val="002C2F37"/>
    <w:rsid w:val="002C3D28"/>
    <w:rsid w:val="002C413A"/>
    <w:rsid w:val="002D0C7F"/>
    <w:rsid w:val="00314269"/>
    <w:rsid w:val="00321972"/>
    <w:rsid w:val="00330F73"/>
    <w:rsid w:val="00331755"/>
    <w:rsid w:val="0033754B"/>
    <w:rsid w:val="00356DA7"/>
    <w:rsid w:val="00360CAD"/>
    <w:rsid w:val="00364A3F"/>
    <w:rsid w:val="0037662D"/>
    <w:rsid w:val="003851BD"/>
    <w:rsid w:val="003934DC"/>
    <w:rsid w:val="003A1612"/>
    <w:rsid w:val="003A1FA0"/>
    <w:rsid w:val="003A3691"/>
    <w:rsid w:val="003A70A0"/>
    <w:rsid w:val="003A75A9"/>
    <w:rsid w:val="003E30CC"/>
    <w:rsid w:val="003E3E8B"/>
    <w:rsid w:val="003F148E"/>
    <w:rsid w:val="003F195A"/>
    <w:rsid w:val="003F4E7F"/>
    <w:rsid w:val="003F50CA"/>
    <w:rsid w:val="003F689A"/>
    <w:rsid w:val="004337DF"/>
    <w:rsid w:val="00434A0F"/>
    <w:rsid w:val="00444305"/>
    <w:rsid w:val="004514E2"/>
    <w:rsid w:val="00451C15"/>
    <w:rsid w:val="00475AA6"/>
    <w:rsid w:val="00476446"/>
    <w:rsid w:val="00493A97"/>
    <w:rsid w:val="004A131B"/>
    <w:rsid w:val="004D5647"/>
    <w:rsid w:val="004D761E"/>
    <w:rsid w:val="004E1747"/>
    <w:rsid w:val="004F292C"/>
    <w:rsid w:val="00501273"/>
    <w:rsid w:val="005025EA"/>
    <w:rsid w:val="00537A7F"/>
    <w:rsid w:val="00551D95"/>
    <w:rsid w:val="005602FB"/>
    <w:rsid w:val="0056608D"/>
    <w:rsid w:val="005709FD"/>
    <w:rsid w:val="00573BA3"/>
    <w:rsid w:val="00581985"/>
    <w:rsid w:val="00583359"/>
    <w:rsid w:val="005862EE"/>
    <w:rsid w:val="005A1A8B"/>
    <w:rsid w:val="005A5526"/>
    <w:rsid w:val="005B1352"/>
    <w:rsid w:val="005B14B7"/>
    <w:rsid w:val="005D5D41"/>
    <w:rsid w:val="005E6928"/>
    <w:rsid w:val="005F70E5"/>
    <w:rsid w:val="005F7D3D"/>
    <w:rsid w:val="00616CB9"/>
    <w:rsid w:val="00627A09"/>
    <w:rsid w:val="006305F6"/>
    <w:rsid w:val="00637E6A"/>
    <w:rsid w:val="00641FAD"/>
    <w:rsid w:val="00642086"/>
    <w:rsid w:val="00642D3C"/>
    <w:rsid w:val="0065121B"/>
    <w:rsid w:val="00664457"/>
    <w:rsid w:val="00664F99"/>
    <w:rsid w:val="00694DB6"/>
    <w:rsid w:val="006955F8"/>
    <w:rsid w:val="0069584D"/>
    <w:rsid w:val="006A4946"/>
    <w:rsid w:val="006B16E4"/>
    <w:rsid w:val="006C0344"/>
    <w:rsid w:val="006C7B4C"/>
    <w:rsid w:val="006D419D"/>
    <w:rsid w:val="00701AF5"/>
    <w:rsid w:val="007100B1"/>
    <w:rsid w:val="007265D7"/>
    <w:rsid w:val="007345DF"/>
    <w:rsid w:val="00750079"/>
    <w:rsid w:val="007537B9"/>
    <w:rsid w:val="00761C3B"/>
    <w:rsid w:val="0076559C"/>
    <w:rsid w:val="00774BD0"/>
    <w:rsid w:val="00774E5C"/>
    <w:rsid w:val="007828BF"/>
    <w:rsid w:val="00786A98"/>
    <w:rsid w:val="007D2E16"/>
    <w:rsid w:val="007E3FDD"/>
    <w:rsid w:val="007E5A7F"/>
    <w:rsid w:val="007E73F3"/>
    <w:rsid w:val="00810A6A"/>
    <w:rsid w:val="008176BA"/>
    <w:rsid w:val="008261F1"/>
    <w:rsid w:val="008465D9"/>
    <w:rsid w:val="00862ED1"/>
    <w:rsid w:val="00867AB6"/>
    <w:rsid w:val="00871DDA"/>
    <w:rsid w:val="00874355"/>
    <w:rsid w:val="00885689"/>
    <w:rsid w:val="008A40C5"/>
    <w:rsid w:val="008B693D"/>
    <w:rsid w:val="008B69A4"/>
    <w:rsid w:val="008C382B"/>
    <w:rsid w:val="008D3581"/>
    <w:rsid w:val="008D576E"/>
    <w:rsid w:val="008E33D6"/>
    <w:rsid w:val="008E77E5"/>
    <w:rsid w:val="008F2576"/>
    <w:rsid w:val="008F344C"/>
    <w:rsid w:val="00926D30"/>
    <w:rsid w:val="00926DED"/>
    <w:rsid w:val="0093425A"/>
    <w:rsid w:val="009473F6"/>
    <w:rsid w:val="00954510"/>
    <w:rsid w:val="00966115"/>
    <w:rsid w:val="00973AC6"/>
    <w:rsid w:val="00974D8D"/>
    <w:rsid w:val="0098413B"/>
    <w:rsid w:val="00992AE2"/>
    <w:rsid w:val="009A1242"/>
    <w:rsid w:val="009A7963"/>
    <w:rsid w:val="009B23F8"/>
    <w:rsid w:val="009B6112"/>
    <w:rsid w:val="009C2ED7"/>
    <w:rsid w:val="009D06C7"/>
    <w:rsid w:val="00A04EC4"/>
    <w:rsid w:val="00A20FDE"/>
    <w:rsid w:val="00A216E5"/>
    <w:rsid w:val="00A51379"/>
    <w:rsid w:val="00A5286F"/>
    <w:rsid w:val="00A5445A"/>
    <w:rsid w:val="00A65A91"/>
    <w:rsid w:val="00A71A2F"/>
    <w:rsid w:val="00A74D54"/>
    <w:rsid w:val="00A76835"/>
    <w:rsid w:val="00A77922"/>
    <w:rsid w:val="00A80743"/>
    <w:rsid w:val="00A9102D"/>
    <w:rsid w:val="00AA6E58"/>
    <w:rsid w:val="00AC6539"/>
    <w:rsid w:val="00AD2B66"/>
    <w:rsid w:val="00AD5772"/>
    <w:rsid w:val="00AF3BDC"/>
    <w:rsid w:val="00B05B53"/>
    <w:rsid w:val="00B11321"/>
    <w:rsid w:val="00B117B9"/>
    <w:rsid w:val="00B429F2"/>
    <w:rsid w:val="00B45435"/>
    <w:rsid w:val="00B472C0"/>
    <w:rsid w:val="00B538C0"/>
    <w:rsid w:val="00B63033"/>
    <w:rsid w:val="00B75B7F"/>
    <w:rsid w:val="00B80219"/>
    <w:rsid w:val="00B80876"/>
    <w:rsid w:val="00B87795"/>
    <w:rsid w:val="00BA7CAA"/>
    <w:rsid w:val="00BB1CFB"/>
    <w:rsid w:val="00BC05E4"/>
    <w:rsid w:val="00BC4F09"/>
    <w:rsid w:val="00BD30AD"/>
    <w:rsid w:val="00BD7E32"/>
    <w:rsid w:val="00C21224"/>
    <w:rsid w:val="00C24728"/>
    <w:rsid w:val="00C605EE"/>
    <w:rsid w:val="00C65FE3"/>
    <w:rsid w:val="00C67C0F"/>
    <w:rsid w:val="00C700A5"/>
    <w:rsid w:val="00C77CED"/>
    <w:rsid w:val="00C80B90"/>
    <w:rsid w:val="00C846EE"/>
    <w:rsid w:val="00C8570A"/>
    <w:rsid w:val="00CA1D0B"/>
    <w:rsid w:val="00CB0CB2"/>
    <w:rsid w:val="00CC2F70"/>
    <w:rsid w:val="00CD23B3"/>
    <w:rsid w:val="00D14225"/>
    <w:rsid w:val="00D22BA8"/>
    <w:rsid w:val="00D25DE8"/>
    <w:rsid w:val="00D33D13"/>
    <w:rsid w:val="00D453B1"/>
    <w:rsid w:val="00D5394F"/>
    <w:rsid w:val="00D573A8"/>
    <w:rsid w:val="00D85CB4"/>
    <w:rsid w:val="00D9625D"/>
    <w:rsid w:val="00DA2B06"/>
    <w:rsid w:val="00DA4422"/>
    <w:rsid w:val="00DB3E99"/>
    <w:rsid w:val="00DC4C2A"/>
    <w:rsid w:val="00DC66D1"/>
    <w:rsid w:val="00DC6EED"/>
    <w:rsid w:val="00DD2A3F"/>
    <w:rsid w:val="00DF09CE"/>
    <w:rsid w:val="00DF1D4D"/>
    <w:rsid w:val="00E05640"/>
    <w:rsid w:val="00E15EE6"/>
    <w:rsid w:val="00E269B6"/>
    <w:rsid w:val="00E36A87"/>
    <w:rsid w:val="00E41544"/>
    <w:rsid w:val="00E46F53"/>
    <w:rsid w:val="00E54013"/>
    <w:rsid w:val="00E6636A"/>
    <w:rsid w:val="00E758DE"/>
    <w:rsid w:val="00E91DBC"/>
    <w:rsid w:val="00E96DDB"/>
    <w:rsid w:val="00EA1DAF"/>
    <w:rsid w:val="00EA6370"/>
    <w:rsid w:val="00EC6AE2"/>
    <w:rsid w:val="00ED14A1"/>
    <w:rsid w:val="00EF45C2"/>
    <w:rsid w:val="00F16738"/>
    <w:rsid w:val="00F208EE"/>
    <w:rsid w:val="00F23C9F"/>
    <w:rsid w:val="00F26C49"/>
    <w:rsid w:val="00F32CD5"/>
    <w:rsid w:val="00F32F51"/>
    <w:rsid w:val="00F3760D"/>
    <w:rsid w:val="00F47911"/>
    <w:rsid w:val="00F55E21"/>
    <w:rsid w:val="00F606C9"/>
    <w:rsid w:val="00F672B9"/>
    <w:rsid w:val="00F70F86"/>
    <w:rsid w:val="00F71DF0"/>
    <w:rsid w:val="00F877F4"/>
    <w:rsid w:val="00FC428E"/>
    <w:rsid w:val="00FD42F9"/>
    <w:rsid w:val="00FD5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5C3C0"/>
  <w15:chartTrackingRefBased/>
  <w15:docId w15:val="{C3B2A8E0-7BC2-4F80-ADD7-C1A182720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65A91"/>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65A91"/>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65A9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A9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65A9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65A9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65A91"/>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65A91"/>
    <w:rPr>
      <w:color w:val="0000FF"/>
      <w:u w:val="single"/>
    </w:rPr>
  </w:style>
  <w:style w:type="character" w:styleId="Strong">
    <w:name w:val="Strong"/>
    <w:basedOn w:val="DefaultParagraphFont"/>
    <w:uiPriority w:val="22"/>
    <w:qFormat/>
    <w:rsid w:val="00A65A91"/>
    <w:rPr>
      <w:b/>
      <w:bCs/>
    </w:rPr>
  </w:style>
  <w:style w:type="character" w:styleId="Emphasis">
    <w:name w:val="Emphasis"/>
    <w:basedOn w:val="DefaultParagraphFont"/>
    <w:uiPriority w:val="20"/>
    <w:qFormat/>
    <w:rsid w:val="00A65A91"/>
    <w:rPr>
      <w:i/>
      <w:iCs/>
    </w:rPr>
  </w:style>
  <w:style w:type="paragraph" w:styleId="Header">
    <w:name w:val="header"/>
    <w:basedOn w:val="Normal"/>
    <w:link w:val="HeaderChar"/>
    <w:uiPriority w:val="99"/>
    <w:unhideWhenUsed/>
    <w:rsid w:val="009B6112"/>
    <w:pPr>
      <w:tabs>
        <w:tab w:val="center" w:pos="4680"/>
        <w:tab w:val="right" w:pos="9360"/>
      </w:tabs>
    </w:pPr>
  </w:style>
  <w:style w:type="character" w:customStyle="1" w:styleId="HeaderChar">
    <w:name w:val="Header Char"/>
    <w:basedOn w:val="DefaultParagraphFont"/>
    <w:link w:val="Header"/>
    <w:uiPriority w:val="99"/>
    <w:rsid w:val="009B6112"/>
  </w:style>
  <w:style w:type="paragraph" w:styleId="Footer">
    <w:name w:val="footer"/>
    <w:basedOn w:val="Normal"/>
    <w:link w:val="FooterChar"/>
    <w:uiPriority w:val="99"/>
    <w:unhideWhenUsed/>
    <w:rsid w:val="009B6112"/>
    <w:pPr>
      <w:tabs>
        <w:tab w:val="center" w:pos="4680"/>
        <w:tab w:val="right" w:pos="9360"/>
      </w:tabs>
    </w:pPr>
  </w:style>
  <w:style w:type="character" w:customStyle="1" w:styleId="FooterChar">
    <w:name w:val="Footer Char"/>
    <w:basedOn w:val="DefaultParagraphFont"/>
    <w:link w:val="Footer"/>
    <w:uiPriority w:val="99"/>
    <w:rsid w:val="009B6112"/>
  </w:style>
  <w:style w:type="paragraph" w:styleId="ListParagraph">
    <w:name w:val="List Paragraph"/>
    <w:basedOn w:val="Normal"/>
    <w:uiPriority w:val="34"/>
    <w:qFormat/>
    <w:rsid w:val="005B14B7"/>
    <w:pPr>
      <w:ind w:left="720"/>
      <w:contextualSpacing/>
    </w:pPr>
  </w:style>
  <w:style w:type="paragraph" w:customStyle="1" w:styleId="15para">
    <w:name w:val="1.5 para"/>
    <w:basedOn w:val="Normal"/>
    <w:qFormat/>
    <w:rsid w:val="008C382B"/>
    <w:pPr>
      <w:spacing w:line="360" w:lineRule="auto"/>
    </w:pPr>
    <w:rPr>
      <w:rFonts w:ascii="Calibri" w:eastAsia="Times New Roman" w:hAnsi="Calibri" w:cs="Calibri"/>
      <w:szCs w:val="20"/>
    </w:rPr>
  </w:style>
  <w:style w:type="paragraph" w:styleId="FootnoteText">
    <w:name w:val="footnote text"/>
    <w:basedOn w:val="Normal"/>
    <w:link w:val="FootnoteTextChar"/>
    <w:uiPriority w:val="99"/>
    <w:semiHidden/>
    <w:unhideWhenUsed/>
    <w:rsid w:val="00EF45C2"/>
    <w:rPr>
      <w:sz w:val="20"/>
      <w:szCs w:val="20"/>
    </w:rPr>
  </w:style>
  <w:style w:type="character" w:customStyle="1" w:styleId="FootnoteTextChar">
    <w:name w:val="Footnote Text Char"/>
    <w:basedOn w:val="DefaultParagraphFont"/>
    <w:link w:val="FootnoteText"/>
    <w:uiPriority w:val="99"/>
    <w:semiHidden/>
    <w:rsid w:val="00EF45C2"/>
    <w:rPr>
      <w:sz w:val="20"/>
      <w:szCs w:val="20"/>
    </w:rPr>
  </w:style>
  <w:style w:type="character" w:styleId="FootnoteReference">
    <w:name w:val="footnote reference"/>
    <w:basedOn w:val="DefaultParagraphFont"/>
    <w:uiPriority w:val="99"/>
    <w:semiHidden/>
    <w:unhideWhenUsed/>
    <w:rsid w:val="00EF45C2"/>
    <w:rPr>
      <w:vertAlign w:val="superscript"/>
    </w:rPr>
  </w:style>
  <w:style w:type="character" w:styleId="UnresolvedMention">
    <w:name w:val="Unresolved Mention"/>
    <w:basedOn w:val="DefaultParagraphFont"/>
    <w:uiPriority w:val="99"/>
    <w:semiHidden/>
    <w:unhideWhenUsed/>
    <w:rsid w:val="00C24728"/>
    <w:rPr>
      <w:color w:val="605E5C"/>
      <w:shd w:val="clear" w:color="auto" w:fill="E1DFDD"/>
    </w:rPr>
  </w:style>
  <w:style w:type="character" w:styleId="FollowedHyperlink">
    <w:name w:val="FollowedHyperlink"/>
    <w:basedOn w:val="DefaultParagraphFont"/>
    <w:uiPriority w:val="99"/>
    <w:semiHidden/>
    <w:unhideWhenUsed/>
    <w:rsid w:val="00C247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85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osha.gov/stateplans/" TargetMode="External"/><Relationship Id="rId13" Type="http://schemas.openxmlformats.org/officeDocument/2006/relationships/hyperlink" Target="http://www.osha.gov/Publications/influenza_pandemic.html" TargetMode="External"/><Relationship Id="rId18" Type="http://schemas.openxmlformats.org/officeDocument/2006/relationships/hyperlink" Target="http://www.eeoc.gov/facts/pandemic_flu.html" TargetMode="External"/><Relationship Id="rId3" Type="http://schemas.openxmlformats.org/officeDocument/2006/relationships/hyperlink" Target="https://www.osha.gov/SLTC/emergencypreparedness/" TargetMode="External"/><Relationship Id="rId7" Type="http://schemas.openxmlformats.org/officeDocument/2006/relationships/hyperlink" Target="https://www.osha.gov/stateplans/" TargetMode="External"/><Relationship Id="rId12" Type="http://schemas.openxmlformats.org/officeDocument/2006/relationships/hyperlink" Target="https://www.osha.gov/stateplans/" TargetMode="External"/><Relationship Id="rId17" Type="http://schemas.openxmlformats.org/officeDocument/2006/relationships/hyperlink" Target="http://www.eeoc.gov/facts/pandemic_flu.html" TargetMode="External"/><Relationship Id="rId2" Type="http://schemas.openxmlformats.org/officeDocument/2006/relationships/hyperlink" Target="https://emergency.cdc.gov/" TargetMode="External"/><Relationship Id="rId16" Type="http://schemas.openxmlformats.org/officeDocument/2006/relationships/hyperlink" Target="http://eeoc.gov/facts/evacuation.html" TargetMode="External"/><Relationship Id="rId1" Type="http://schemas.openxmlformats.org/officeDocument/2006/relationships/hyperlink" Target="https://www.phe.gov/preparedness/pages/default.aspx" TargetMode="External"/><Relationship Id="rId6" Type="http://schemas.openxmlformats.org/officeDocument/2006/relationships/hyperlink" Target="http://www.osha.gov/workers.html" TargetMode="External"/><Relationship Id="rId11" Type="http://schemas.openxmlformats.org/officeDocument/2006/relationships/hyperlink" Target="https://www.osha.gov/stateplans/" TargetMode="External"/><Relationship Id="rId5" Type="http://schemas.openxmlformats.org/officeDocument/2006/relationships/hyperlink" Target="http://www.dol.gov/odep/topics/EmergencyPreparedness.htm" TargetMode="External"/><Relationship Id="rId15" Type="http://schemas.openxmlformats.org/officeDocument/2006/relationships/hyperlink" Target="http://www.eeoc.gov/facts/pandemic_flu.html" TargetMode="External"/><Relationship Id="rId10" Type="http://schemas.openxmlformats.org/officeDocument/2006/relationships/hyperlink" Target="https://www.osha.gov/stateplans/" TargetMode="External"/><Relationship Id="rId19" Type="http://schemas.openxmlformats.org/officeDocument/2006/relationships/hyperlink" Target="http://www.eeoc.gov/facts/pandemic_flu.html" TargetMode="External"/><Relationship Id="rId4" Type="http://schemas.openxmlformats.org/officeDocument/2006/relationships/hyperlink" Target="https://www.ready.gov/" TargetMode="External"/><Relationship Id="rId9" Type="http://schemas.openxmlformats.org/officeDocument/2006/relationships/hyperlink" Target="https://www.osha.gov/stateplans/" TargetMode="External"/><Relationship Id="rId14" Type="http://schemas.openxmlformats.org/officeDocument/2006/relationships/hyperlink" Target="http://www.eeoc.gov/laws/statutes/rehab.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B887E-F160-4C76-9B18-08EB5A34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9</Pages>
  <Words>2512</Words>
  <Characters>14324</Characters>
  <Application>Microsoft Office Word</Application>
  <DocSecurity>0</DocSecurity>
  <Lines>119</Lines>
  <Paragraphs>33</Paragraphs>
  <ScaleCrop>false</ScaleCrop>
  <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Elliott</dc:creator>
  <cp:keywords/>
  <dc:description/>
  <cp:lastModifiedBy>Patricia Elliott</cp:lastModifiedBy>
  <cp:revision>251</cp:revision>
  <dcterms:created xsi:type="dcterms:W3CDTF">2020-03-07T23:23:00Z</dcterms:created>
  <dcterms:modified xsi:type="dcterms:W3CDTF">2020-03-14T18:43:00Z</dcterms:modified>
</cp:coreProperties>
</file>