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0AF60" w14:textId="77777777" w:rsidR="00502950" w:rsidRDefault="001547D9" w:rsidP="00866DCD">
      <w:pPr>
        <w:spacing w:after="120"/>
        <w:jc w:val="center"/>
        <w:rPr>
          <w:rFonts w:ascii="Calibri" w:eastAsia="Times New Roman" w:hAnsi="Calibri" w:cs="Calibri"/>
          <w:b/>
          <w:bCs/>
          <w:color w:val="333333"/>
          <w:spacing w:val="15"/>
          <w:kern w:val="36"/>
          <w:sz w:val="24"/>
          <w:szCs w:val="24"/>
        </w:rPr>
      </w:pPr>
      <w:r w:rsidRPr="00866DCD">
        <w:rPr>
          <w:rFonts w:ascii="Calibri" w:eastAsia="Times New Roman" w:hAnsi="Calibri" w:cs="Calibri"/>
          <w:b/>
          <w:bCs/>
          <w:color w:val="333333"/>
          <w:spacing w:val="15"/>
          <w:kern w:val="36"/>
          <w:sz w:val="24"/>
          <w:szCs w:val="24"/>
        </w:rPr>
        <w:t xml:space="preserve">AUTHORITIES AND LIMITATIONS IN SHARING INFORMATION BETWEEN </w:t>
      </w:r>
    </w:p>
    <w:p w14:paraId="71D7CF6B" w14:textId="487F6AD5" w:rsidR="006C2493" w:rsidRPr="00866DCD" w:rsidRDefault="001547D9" w:rsidP="00866DCD">
      <w:pPr>
        <w:spacing w:after="120"/>
        <w:jc w:val="center"/>
        <w:rPr>
          <w:rFonts w:ascii="Calibri" w:eastAsia="Times New Roman" w:hAnsi="Calibri" w:cs="Calibri"/>
          <w:b/>
          <w:bCs/>
          <w:color w:val="333333"/>
          <w:spacing w:val="15"/>
          <w:kern w:val="36"/>
          <w:sz w:val="24"/>
          <w:szCs w:val="24"/>
        </w:rPr>
      </w:pPr>
      <w:r w:rsidRPr="00866DCD">
        <w:rPr>
          <w:rFonts w:ascii="Calibri" w:eastAsia="Times New Roman" w:hAnsi="Calibri" w:cs="Calibri"/>
          <w:b/>
          <w:bCs/>
          <w:color w:val="333333"/>
          <w:spacing w:val="15"/>
          <w:kern w:val="36"/>
          <w:sz w:val="24"/>
          <w:szCs w:val="24"/>
        </w:rPr>
        <w:t>PUBLIC HEALTH</w:t>
      </w:r>
      <w:r w:rsidR="00502950">
        <w:rPr>
          <w:rFonts w:ascii="Calibri" w:eastAsia="Times New Roman" w:hAnsi="Calibri" w:cs="Calibri"/>
          <w:b/>
          <w:bCs/>
          <w:color w:val="333333"/>
          <w:spacing w:val="15"/>
          <w:kern w:val="36"/>
          <w:sz w:val="24"/>
          <w:szCs w:val="24"/>
        </w:rPr>
        <w:t xml:space="preserve"> </w:t>
      </w:r>
      <w:r w:rsidRPr="00866DCD">
        <w:rPr>
          <w:rFonts w:ascii="Calibri" w:eastAsia="Times New Roman" w:hAnsi="Calibri" w:cs="Calibri"/>
          <w:b/>
          <w:bCs/>
          <w:color w:val="333333"/>
          <w:spacing w:val="15"/>
          <w:kern w:val="36"/>
          <w:sz w:val="24"/>
          <w:szCs w:val="24"/>
        </w:rPr>
        <w:t>AGENCIES AND LAW ENFORCEMENT</w:t>
      </w:r>
    </w:p>
    <w:p w14:paraId="27545490" w14:textId="77777777" w:rsidR="001547D9" w:rsidRDefault="001547D9" w:rsidP="00764111">
      <w:pPr>
        <w:spacing w:line="360" w:lineRule="auto"/>
        <w:rPr>
          <w:rFonts w:ascii="Calibri" w:eastAsia="Times New Roman" w:hAnsi="Calibri" w:cs="Calibri"/>
          <w:b/>
          <w:bCs/>
          <w:color w:val="3C3030"/>
          <w:sz w:val="24"/>
          <w:szCs w:val="24"/>
        </w:rPr>
      </w:pPr>
    </w:p>
    <w:p w14:paraId="375CB162" w14:textId="247DD5FA" w:rsidR="00502950" w:rsidRPr="00E51732" w:rsidRDefault="00E51732" w:rsidP="00502950">
      <w:pPr>
        <w:spacing w:line="360" w:lineRule="auto"/>
        <w:rPr>
          <w:rFonts w:ascii="Calibri" w:eastAsia="Times New Roman" w:hAnsi="Calibri" w:cs="Calibri"/>
          <w:b/>
          <w:bCs/>
          <w:sz w:val="24"/>
          <w:szCs w:val="24"/>
        </w:rPr>
      </w:pPr>
      <w:r w:rsidRPr="00E51732">
        <w:rPr>
          <w:rFonts w:ascii="Calibri" w:eastAsia="Times New Roman" w:hAnsi="Calibri" w:cs="Calibri"/>
          <w:b/>
          <w:bCs/>
          <w:sz w:val="24"/>
          <w:szCs w:val="24"/>
        </w:rPr>
        <w:t>Overview</w:t>
      </w:r>
    </w:p>
    <w:p w14:paraId="267B820E" w14:textId="2E88A68C" w:rsidR="00502950" w:rsidRPr="00162CC1" w:rsidRDefault="006C2493" w:rsidP="00502950">
      <w:pPr>
        <w:spacing w:line="360" w:lineRule="auto"/>
        <w:rPr>
          <w:rFonts w:ascii="Calibri" w:eastAsia="Times New Roman" w:hAnsi="Calibri" w:cs="Calibri"/>
          <w:b/>
          <w:bCs/>
        </w:rPr>
      </w:pPr>
      <w:r w:rsidRPr="006C2493">
        <w:rPr>
          <w:rFonts w:ascii="Calibri" w:eastAsia="Times New Roman" w:hAnsi="Calibri" w:cs="Calibri"/>
        </w:rPr>
        <w:t xml:space="preserve">Public health agencies and law enforcement share responsibility for protecting the public and promoting its welfare. Their cooperation and collaboration are crucial to all </w:t>
      </w:r>
      <w:r w:rsidR="00E51732">
        <w:rPr>
          <w:rFonts w:ascii="Calibri" w:eastAsia="Times New Roman" w:hAnsi="Calibri" w:cs="Calibri"/>
        </w:rPr>
        <w:t xml:space="preserve">aspects </w:t>
      </w:r>
      <w:r w:rsidRPr="006C2493">
        <w:rPr>
          <w:rFonts w:ascii="Calibri" w:eastAsia="Times New Roman" w:hAnsi="Calibri" w:cs="Calibri"/>
        </w:rPr>
        <w:t>of emergency management: preparedness, mitigation, response, and recovery. Whether a public health emergency is caused by natural, accidental, or intentional means, data about the emergency and its impacts are crucial for both public health and law enforcement to carry out their respective functions. For this reason, "information sharing" is one of the 15 capabilities for national public health preparedness standards developed by CDC to assist state</w:t>
      </w:r>
      <w:r w:rsidR="0045005C">
        <w:rPr>
          <w:rFonts w:ascii="Calibri" w:eastAsia="Times New Roman" w:hAnsi="Calibri" w:cs="Calibri"/>
        </w:rPr>
        <w:t xml:space="preserve">, tribal, local, and territorial (STLT) </w:t>
      </w:r>
      <w:r w:rsidRPr="006C2493">
        <w:rPr>
          <w:rFonts w:ascii="Calibri" w:eastAsia="Times New Roman" w:hAnsi="Calibri" w:cs="Calibri"/>
        </w:rPr>
        <w:t>public health departments in their strategic planning.</w:t>
      </w:r>
      <w:r w:rsidR="00162CC1">
        <w:rPr>
          <w:rStyle w:val="FootnoteReference"/>
          <w:rFonts w:ascii="Calibri" w:eastAsia="Times New Roman" w:hAnsi="Calibri" w:cs="Calibri"/>
          <w:bdr w:val="none" w:sz="0" w:space="0" w:color="auto" w:frame="1"/>
        </w:rPr>
        <w:footnoteReference w:id="1"/>
      </w:r>
    </w:p>
    <w:p w14:paraId="077DFFD0" w14:textId="77777777" w:rsidR="00502950" w:rsidRDefault="00502950" w:rsidP="00502950">
      <w:pPr>
        <w:spacing w:line="360" w:lineRule="auto"/>
        <w:rPr>
          <w:rFonts w:ascii="Calibri" w:eastAsia="Times New Roman" w:hAnsi="Calibri" w:cs="Calibri"/>
          <w:b/>
          <w:bCs/>
        </w:rPr>
      </w:pPr>
    </w:p>
    <w:p w14:paraId="737F5C31" w14:textId="2C4359CB" w:rsidR="006C2493" w:rsidRPr="00502950" w:rsidRDefault="006C2493" w:rsidP="00502950">
      <w:pPr>
        <w:spacing w:line="360" w:lineRule="auto"/>
        <w:rPr>
          <w:rFonts w:ascii="Calibri" w:eastAsia="Times New Roman" w:hAnsi="Calibri" w:cs="Calibri"/>
          <w:b/>
          <w:bCs/>
        </w:rPr>
      </w:pPr>
      <w:r w:rsidRPr="006C2493">
        <w:rPr>
          <w:rFonts w:ascii="Calibri" w:eastAsia="Times New Roman" w:hAnsi="Calibri" w:cs="Calibri"/>
        </w:rPr>
        <w:t xml:space="preserve">Public health officials must understand their legal authority and limitations in providing information to law enforcement. In particular, public health agencies are subject to laws that provide for confidentiality of individually identifiable information. This issue brief examines the legal basis for public health agencies to share identifiable information with law enforcement and the benefits and challenges of working jointly to investigate public health events that may involve criminal activity. </w:t>
      </w:r>
    </w:p>
    <w:p w14:paraId="3C08FBFE" w14:textId="77777777" w:rsidR="00876427" w:rsidRPr="002B0A02" w:rsidRDefault="00876427" w:rsidP="00764111">
      <w:pPr>
        <w:spacing w:line="360" w:lineRule="auto"/>
        <w:rPr>
          <w:rFonts w:ascii="Calibri" w:eastAsia="Times New Roman" w:hAnsi="Calibri" w:cs="Calibri"/>
          <w:b/>
          <w:bCs/>
        </w:rPr>
      </w:pPr>
    </w:p>
    <w:p w14:paraId="1781DDA8" w14:textId="02220207" w:rsidR="00E04406" w:rsidRPr="00096CF3" w:rsidRDefault="006C2493" w:rsidP="00E04406">
      <w:pPr>
        <w:spacing w:line="360" w:lineRule="auto"/>
        <w:rPr>
          <w:rFonts w:ascii="Calibri" w:eastAsia="Times New Roman" w:hAnsi="Calibri" w:cs="Calibri"/>
          <w:b/>
          <w:bCs/>
          <w:sz w:val="24"/>
          <w:szCs w:val="24"/>
        </w:rPr>
      </w:pPr>
      <w:r w:rsidRPr="00096CF3">
        <w:rPr>
          <w:rFonts w:ascii="Calibri" w:eastAsia="Times New Roman" w:hAnsi="Calibri" w:cs="Calibri"/>
          <w:b/>
          <w:bCs/>
          <w:sz w:val="24"/>
          <w:szCs w:val="24"/>
        </w:rPr>
        <w:t>I. Potential Areas for Information Sharing</w:t>
      </w:r>
    </w:p>
    <w:p w14:paraId="58F5ECA9" w14:textId="5253BABA" w:rsidR="00D96E95" w:rsidRDefault="006C2493" w:rsidP="00D96E95">
      <w:pPr>
        <w:spacing w:line="360" w:lineRule="auto"/>
        <w:rPr>
          <w:rFonts w:ascii="Calibri" w:eastAsia="Times New Roman" w:hAnsi="Calibri" w:cs="Calibri"/>
        </w:rPr>
      </w:pPr>
      <w:r w:rsidRPr="006C2493">
        <w:rPr>
          <w:rFonts w:ascii="Calibri" w:eastAsia="Times New Roman" w:hAnsi="Calibri" w:cs="Calibri"/>
        </w:rPr>
        <w:t>While public health and law enforcement both protect society, they differ in their missions and approaches. Public health is responsible for protecting and promoting the health of communities through prevention, policy development, and population health surveillance. Law enforcement is responsible for identifying and apprehending people who have committed crimes or pose a threat to others.</w:t>
      </w:r>
      <w:r w:rsidR="002F6949">
        <w:rPr>
          <w:rFonts w:ascii="Calibri" w:eastAsia="Times New Roman" w:hAnsi="Calibri" w:cs="Calibri"/>
          <w:bdr w:val="none" w:sz="0" w:space="0" w:color="auto" w:frame="1"/>
        </w:rPr>
        <w:t xml:space="preserve"> </w:t>
      </w:r>
      <w:r w:rsidR="002F6949">
        <w:rPr>
          <w:rStyle w:val="FootnoteReference"/>
          <w:rFonts w:ascii="Calibri" w:eastAsia="Times New Roman" w:hAnsi="Calibri" w:cs="Calibri"/>
          <w:bdr w:val="none" w:sz="0" w:space="0" w:color="auto" w:frame="1"/>
        </w:rPr>
        <w:footnoteReference w:id="2"/>
      </w:r>
      <w:r w:rsidRPr="006C2493">
        <w:rPr>
          <w:rFonts w:ascii="Calibri" w:eastAsia="Times New Roman" w:hAnsi="Calibri" w:cs="Calibri"/>
        </w:rPr>
        <w:t xml:space="preserve">Common terminology used in public health and law enforcement reflects their different roles. For example, when used in the public health context, "surveillance" refers to the ongoing systematic </w:t>
      </w:r>
      <w:r w:rsidRPr="006C2493">
        <w:rPr>
          <w:rFonts w:ascii="Calibri" w:eastAsia="Times New Roman" w:hAnsi="Calibri" w:cs="Calibri"/>
        </w:rPr>
        <w:lastRenderedPageBreak/>
        <w:t>collection, analysis, interpretation, and dissemination of data regarding a health-related event for use in public health action to reduce morbidity and mortality and to improve health. When used in a law enforcement context, "surveillance" means observations of premises or person(s) under suspicion.</w:t>
      </w:r>
      <w:r w:rsidR="002F6949">
        <w:rPr>
          <w:rStyle w:val="FootnoteReference"/>
          <w:rFonts w:ascii="Calibri" w:eastAsia="Times New Roman" w:hAnsi="Calibri" w:cs="Calibri"/>
        </w:rPr>
        <w:footnoteReference w:id="3"/>
      </w:r>
      <w:r w:rsidR="002F6949">
        <w:rPr>
          <w:rFonts w:ascii="Calibri" w:eastAsia="Times New Roman" w:hAnsi="Calibri" w:cs="Calibri"/>
        </w:rPr>
        <w:t xml:space="preserve"> </w:t>
      </w:r>
      <w:r w:rsidR="002F6949" w:rsidRPr="002F6949">
        <w:rPr>
          <w:rFonts w:ascii="Calibri" w:eastAsia="Times New Roman" w:hAnsi="Calibri" w:cs="Calibri"/>
          <w:bdr w:val="none" w:sz="0" w:space="0" w:color="auto" w:frame="1"/>
        </w:rPr>
        <w:t>S</w:t>
      </w:r>
      <w:r w:rsidRPr="002F6949">
        <w:rPr>
          <w:rFonts w:ascii="Calibri" w:eastAsia="Times New Roman" w:hAnsi="Calibri" w:cs="Calibri"/>
        </w:rPr>
        <w:t>imilarly</w:t>
      </w:r>
      <w:r w:rsidRPr="006C2493">
        <w:rPr>
          <w:rFonts w:ascii="Calibri" w:eastAsia="Times New Roman" w:hAnsi="Calibri" w:cs="Calibri"/>
        </w:rPr>
        <w:t>, public health conducts "investigations" to determine the cause of disease and prevent its spread. Law enforcement conducts "investigations" to identify suspects, collect evidence, and solve crimes</w:t>
      </w:r>
      <w:r w:rsidR="00D96E95">
        <w:rPr>
          <w:rFonts w:ascii="Calibri" w:eastAsia="Times New Roman" w:hAnsi="Calibri" w:cs="Calibri"/>
        </w:rPr>
        <w:t>.</w:t>
      </w:r>
      <w:r w:rsidR="00D96E95">
        <w:rPr>
          <w:rStyle w:val="FootnoteReference"/>
          <w:rFonts w:ascii="Calibri" w:eastAsia="Times New Roman" w:hAnsi="Calibri" w:cs="Calibri"/>
        </w:rPr>
        <w:footnoteReference w:id="4"/>
      </w:r>
    </w:p>
    <w:p w14:paraId="712F4470" w14:textId="77777777" w:rsidR="00770A1B" w:rsidRDefault="00770A1B" w:rsidP="00D96E95">
      <w:pPr>
        <w:spacing w:line="360" w:lineRule="auto"/>
        <w:rPr>
          <w:rFonts w:ascii="Calibri" w:eastAsia="Times New Roman" w:hAnsi="Calibri" w:cs="Calibri"/>
          <w:b/>
          <w:bCs/>
        </w:rPr>
      </w:pPr>
    </w:p>
    <w:p w14:paraId="043BFD97" w14:textId="0BD72D6A" w:rsidR="006C2493" w:rsidRPr="00D96E95" w:rsidRDefault="006C2493" w:rsidP="00D96E95">
      <w:pPr>
        <w:spacing w:line="360" w:lineRule="auto"/>
        <w:rPr>
          <w:rFonts w:ascii="Calibri" w:eastAsia="Times New Roman" w:hAnsi="Calibri" w:cs="Calibri"/>
          <w:b/>
          <w:bCs/>
        </w:rPr>
      </w:pPr>
      <w:r w:rsidRPr="006C2493">
        <w:rPr>
          <w:rFonts w:ascii="Calibri" w:eastAsia="Times New Roman" w:hAnsi="Calibri" w:cs="Calibri"/>
        </w:rPr>
        <w:t>With regard to a public health threat or emergency, law enforcement's role might include:</w:t>
      </w:r>
    </w:p>
    <w:p w14:paraId="0C7C480D"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Locating an infected person who is either knowingly or unknowingly spreading a disease.</w:t>
      </w:r>
    </w:p>
    <w:p w14:paraId="16E4C50F"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Enforcing public health orders (e.g., quarantine, isolation, travel restrictions, and evacuation).</w:t>
      </w:r>
    </w:p>
    <w:p w14:paraId="61689BFA"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Securing the perimeter of contaminated areas.</w:t>
      </w:r>
    </w:p>
    <w:p w14:paraId="0534A343"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Securing healthcare facilities and public health sites, such as mass vaccination or treatment sites.</w:t>
      </w:r>
    </w:p>
    <w:p w14:paraId="4F67E1DC"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Controlling crowds.</w:t>
      </w:r>
    </w:p>
    <w:p w14:paraId="5F508851" w14:textId="77777777" w:rsidR="006C2493" w:rsidRPr="002B0A02" w:rsidRDefault="006C2493" w:rsidP="00764111">
      <w:pPr>
        <w:pStyle w:val="ListParagraph"/>
        <w:numPr>
          <w:ilvl w:val="0"/>
          <w:numId w:val="8"/>
        </w:numPr>
        <w:spacing w:after="120" w:line="360" w:lineRule="auto"/>
        <w:contextualSpacing w:val="0"/>
        <w:textAlignment w:val="baseline"/>
        <w:rPr>
          <w:rFonts w:ascii="Calibri" w:eastAsia="Times New Roman" w:hAnsi="Calibri" w:cs="Calibri"/>
        </w:rPr>
      </w:pPr>
      <w:r w:rsidRPr="002B0A02">
        <w:rPr>
          <w:rFonts w:ascii="Calibri" w:eastAsia="Times New Roman" w:hAnsi="Calibri" w:cs="Calibri"/>
        </w:rPr>
        <w:t>Investigating scenes of suspected biological or chemical terrorism.</w:t>
      </w:r>
    </w:p>
    <w:p w14:paraId="4DEE3FE8" w14:textId="77777777" w:rsidR="00D96E95" w:rsidRDefault="006C2493" w:rsidP="00FE778F">
      <w:pPr>
        <w:pStyle w:val="ListParagraph"/>
        <w:numPr>
          <w:ilvl w:val="0"/>
          <w:numId w:val="8"/>
        </w:numPr>
        <w:spacing w:line="360" w:lineRule="auto"/>
        <w:contextualSpacing w:val="0"/>
        <w:textAlignment w:val="baseline"/>
        <w:rPr>
          <w:rFonts w:ascii="Calibri" w:eastAsia="Times New Roman" w:hAnsi="Calibri" w:cs="Calibri"/>
        </w:rPr>
      </w:pPr>
      <w:r w:rsidRPr="002B0A02">
        <w:rPr>
          <w:rFonts w:ascii="Calibri" w:eastAsia="Times New Roman" w:hAnsi="Calibri" w:cs="Calibri"/>
        </w:rPr>
        <w:t>Protecting national stockpiles of vaccines or other medicines.</w:t>
      </w:r>
      <w:r w:rsidR="00D96E95">
        <w:rPr>
          <w:rStyle w:val="FootnoteReference"/>
          <w:rFonts w:ascii="Calibri" w:eastAsia="Times New Roman" w:hAnsi="Calibri" w:cs="Calibri"/>
        </w:rPr>
        <w:footnoteReference w:id="5"/>
      </w:r>
    </w:p>
    <w:p w14:paraId="2609256B" w14:textId="77777777" w:rsidR="00D96E95" w:rsidRDefault="00D96E95" w:rsidP="00FE778F">
      <w:pPr>
        <w:spacing w:line="360" w:lineRule="auto"/>
        <w:ind w:left="360"/>
        <w:textAlignment w:val="baseline"/>
        <w:rPr>
          <w:rFonts w:ascii="Calibri" w:eastAsia="Times New Roman" w:hAnsi="Calibri" w:cs="Calibri"/>
        </w:rPr>
      </w:pPr>
    </w:p>
    <w:p w14:paraId="3A56FADD" w14:textId="1D1A454F" w:rsidR="002B0A02" w:rsidRDefault="006C2493" w:rsidP="00D96E95">
      <w:pPr>
        <w:spacing w:after="120" w:line="360" w:lineRule="auto"/>
        <w:ind w:left="360"/>
        <w:textAlignment w:val="baseline"/>
        <w:rPr>
          <w:rFonts w:ascii="Calibri" w:eastAsia="Times New Roman" w:hAnsi="Calibri" w:cs="Calibri"/>
        </w:rPr>
      </w:pPr>
      <w:r w:rsidRPr="00D96E95">
        <w:rPr>
          <w:rFonts w:ascii="Calibri" w:eastAsia="Times New Roman" w:hAnsi="Calibri" w:cs="Calibri"/>
        </w:rPr>
        <w:t>For most security purposes, such as controlling crowds or securing facilities, law enforcement should not need identifiable information. However, for some purposes, public health agencies may need to provide identifiable personal, epidemiological, or medical information about patients or other members of the public to enable law enforcement staff to do their job and protect themselves from potentially harmful exposure or carrying contaminants from a scene.</w:t>
      </w:r>
    </w:p>
    <w:p w14:paraId="13E1BBEC" w14:textId="77777777" w:rsidR="00D96E95" w:rsidRPr="006C2493" w:rsidRDefault="00D96E95" w:rsidP="00D96E95">
      <w:pPr>
        <w:spacing w:after="120" w:line="360" w:lineRule="auto"/>
        <w:ind w:left="360"/>
        <w:textAlignment w:val="baseline"/>
        <w:rPr>
          <w:rFonts w:ascii="Calibri" w:eastAsia="Times New Roman" w:hAnsi="Calibri" w:cs="Calibri"/>
        </w:rPr>
      </w:pPr>
    </w:p>
    <w:p w14:paraId="0796FAA6" w14:textId="10B9562E" w:rsidR="00D96E95" w:rsidRPr="00887D12" w:rsidRDefault="006C2493" w:rsidP="00887D12">
      <w:pPr>
        <w:keepNext/>
        <w:spacing w:line="360" w:lineRule="auto"/>
        <w:rPr>
          <w:rFonts w:ascii="Calibri" w:eastAsia="Times New Roman" w:hAnsi="Calibri" w:cs="Calibri"/>
          <w:b/>
          <w:bCs/>
          <w:sz w:val="24"/>
          <w:szCs w:val="24"/>
        </w:rPr>
      </w:pPr>
      <w:r w:rsidRPr="00887D12">
        <w:rPr>
          <w:rFonts w:ascii="Calibri" w:eastAsia="Times New Roman" w:hAnsi="Calibri" w:cs="Calibri"/>
          <w:b/>
          <w:bCs/>
          <w:sz w:val="24"/>
          <w:szCs w:val="24"/>
        </w:rPr>
        <w:lastRenderedPageBreak/>
        <w:t>II. Joint Investigations</w:t>
      </w:r>
      <w:r w:rsidR="00533FB8">
        <w:rPr>
          <w:rFonts w:ascii="Calibri" w:eastAsia="Times New Roman" w:hAnsi="Calibri" w:cs="Calibri"/>
          <w:b/>
          <w:bCs/>
          <w:sz w:val="24"/>
          <w:szCs w:val="24"/>
        </w:rPr>
        <w:t xml:space="preserve"> and Information Sharing</w:t>
      </w:r>
    </w:p>
    <w:p w14:paraId="2260F751" w14:textId="24AB0FB3" w:rsidR="006C2493" w:rsidRPr="00D96E95" w:rsidRDefault="006C2493" w:rsidP="0095769F">
      <w:pPr>
        <w:spacing w:after="120" w:line="360" w:lineRule="auto"/>
        <w:rPr>
          <w:rFonts w:ascii="Calibri" w:eastAsia="Times New Roman" w:hAnsi="Calibri" w:cs="Calibri"/>
          <w:b/>
          <w:bCs/>
        </w:rPr>
      </w:pPr>
      <w:r w:rsidRPr="006C2493">
        <w:rPr>
          <w:rFonts w:ascii="Calibri" w:eastAsia="Times New Roman" w:hAnsi="Calibri" w:cs="Calibri"/>
        </w:rPr>
        <w:t xml:space="preserve">Public health agencies and law enforcement may </w:t>
      </w:r>
      <w:r w:rsidR="005241C0">
        <w:rPr>
          <w:rFonts w:ascii="Calibri" w:eastAsia="Times New Roman" w:hAnsi="Calibri" w:cs="Calibri"/>
        </w:rPr>
        <w:t xml:space="preserve">share information and </w:t>
      </w:r>
      <w:r w:rsidRPr="006C2493">
        <w:rPr>
          <w:rFonts w:ascii="Calibri" w:eastAsia="Times New Roman" w:hAnsi="Calibri" w:cs="Calibri"/>
        </w:rPr>
        <w:t>conduct joint investigations around public health incidents that involve suspected or confirmed criminal activity. Historical examples include:</w:t>
      </w:r>
    </w:p>
    <w:p w14:paraId="7CFC9951" w14:textId="6622F663" w:rsidR="006C2493" w:rsidRPr="00C04C3E" w:rsidRDefault="006C2493" w:rsidP="0095769F">
      <w:pPr>
        <w:pStyle w:val="ListParagraph"/>
        <w:numPr>
          <w:ilvl w:val="0"/>
          <w:numId w:val="9"/>
        </w:numPr>
        <w:spacing w:after="120" w:line="360" w:lineRule="auto"/>
        <w:ind w:left="360"/>
        <w:contextualSpacing w:val="0"/>
        <w:textAlignment w:val="baseline"/>
        <w:rPr>
          <w:rFonts w:ascii="Calibri" w:eastAsia="Times New Roman" w:hAnsi="Calibri" w:cs="Calibri"/>
        </w:rPr>
      </w:pPr>
      <w:r w:rsidRPr="00C04C3E">
        <w:rPr>
          <w:rFonts w:ascii="Calibri" w:eastAsia="Times New Roman" w:hAnsi="Calibri" w:cs="Calibri"/>
        </w:rPr>
        <w:t>Twelve laboratory workers contracted </w:t>
      </w:r>
      <w:r w:rsidRPr="00C04C3E">
        <w:rPr>
          <w:rFonts w:ascii="Calibri" w:eastAsia="Times New Roman" w:hAnsi="Calibri" w:cs="Calibri"/>
          <w:i/>
          <w:iCs/>
          <w:bdr w:val="none" w:sz="0" w:space="0" w:color="auto" w:frame="1"/>
        </w:rPr>
        <w:t>Shigella dysenteriae</w:t>
      </w:r>
      <w:r w:rsidRPr="00C04C3E">
        <w:rPr>
          <w:rFonts w:ascii="Calibri" w:eastAsia="Times New Roman" w:hAnsi="Calibri" w:cs="Calibri"/>
        </w:rPr>
        <w:t> after eating pastries left in the lab's break room. A lab worker was sentenced to 20 years in prison as a result of contaminating the pastries, most likely with the lab's stock culture</w:t>
      </w:r>
      <w:r w:rsidR="00CB3649">
        <w:rPr>
          <w:rFonts w:ascii="Calibri" w:eastAsia="Times New Roman" w:hAnsi="Calibri" w:cs="Calibri"/>
        </w:rPr>
        <w:t>.</w:t>
      </w:r>
      <w:r w:rsidR="00CB3649">
        <w:rPr>
          <w:rStyle w:val="FootnoteReference"/>
          <w:rFonts w:ascii="Calibri" w:eastAsia="Times New Roman" w:hAnsi="Calibri" w:cs="Calibri"/>
        </w:rPr>
        <w:footnoteReference w:id="6"/>
      </w:r>
      <w:r w:rsidR="00CB3649">
        <w:rPr>
          <w:rFonts w:ascii="Calibri" w:eastAsia="Times New Roman" w:hAnsi="Calibri" w:cs="Calibri"/>
        </w:rPr>
        <w:t xml:space="preserve"> </w:t>
      </w:r>
      <w:r w:rsidR="00CB3649">
        <w:rPr>
          <w:rStyle w:val="FootnoteReference"/>
          <w:rFonts w:ascii="Calibri" w:eastAsia="Times New Roman" w:hAnsi="Calibri" w:cs="Calibri"/>
        </w:rPr>
        <w:footnoteReference w:id="7"/>
      </w:r>
    </w:p>
    <w:p w14:paraId="0192AFCA" w14:textId="79418CE8" w:rsidR="006C2493" w:rsidRPr="00C04C3E" w:rsidRDefault="006C2493" w:rsidP="0095769F">
      <w:pPr>
        <w:pStyle w:val="ListParagraph"/>
        <w:numPr>
          <w:ilvl w:val="0"/>
          <w:numId w:val="9"/>
        </w:numPr>
        <w:spacing w:after="120" w:line="360" w:lineRule="auto"/>
        <w:ind w:left="360"/>
        <w:contextualSpacing w:val="0"/>
        <w:textAlignment w:val="baseline"/>
        <w:rPr>
          <w:rFonts w:ascii="Calibri" w:eastAsia="Times New Roman" w:hAnsi="Calibri" w:cs="Calibri"/>
        </w:rPr>
      </w:pPr>
      <w:r w:rsidRPr="00C04C3E">
        <w:rPr>
          <w:rFonts w:ascii="Calibri" w:eastAsia="Times New Roman" w:hAnsi="Calibri" w:cs="Calibri"/>
        </w:rPr>
        <w:t>A supermarket notified state and federal agencies of an upcoming recall of ground beef because of customers' complaints of acute illness after eating the product. High concentrations of nicotine were detected in ground beef. A supermarket employee plead guilty to poisoning the meat with an insecticide containing nicotine and was sentenced to nine years in prison.</w:t>
      </w:r>
      <w:r w:rsidR="00CB3649">
        <w:rPr>
          <w:rStyle w:val="FootnoteReference"/>
          <w:rFonts w:ascii="Calibri" w:eastAsia="Times New Roman" w:hAnsi="Calibri" w:cs="Calibri"/>
        </w:rPr>
        <w:footnoteReference w:id="8"/>
      </w:r>
    </w:p>
    <w:p w14:paraId="1F7DC0EF" w14:textId="77777777" w:rsidR="00824B6C" w:rsidRDefault="006C2493" w:rsidP="00824B6C">
      <w:pPr>
        <w:pStyle w:val="ListParagraph"/>
        <w:numPr>
          <w:ilvl w:val="0"/>
          <w:numId w:val="9"/>
        </w:numPr>
        <w:spacing w:line="360" w:lineRule="auto"/>
        <w:ind w:left="360"/>
        <w:textAlignment w:val="baseline"/>
        <w:rPr>
          <w:rFonts w:ascii="Calibri" w:eastAsia="Times New Roman" w:hAnsi="Calibri" w:cs="Calibri"/>
        </w:rPr>
      </w:pPr>
      <w:r w:rsidRPr="00C04C3E">
        <w:rPr>
          <w:rFonts w:ascii="Calibri" w:eastAsia="Times New Roman" w:hAnsi="Calibri" w:cs="Calibri"/>
        </w:rPr>
        <w:t>Over a six-week period, there was an unusual, increased prevalence of cardiopulmonary arrests in a Veterans Administration hospital associated with injections of pancuronium bromide (a muscle relaxant) during a specific shift. Two nurses were indicted for murder, attempted murder, and conspiracy to commit murder.</w:t>
      </w:r>
      <w:r w:rsidR="00D601BE">
        <w:rPr>
          <w:rStyle w:val="FootnoteReference"/>
          <w:rFonts w:ascii="Calibri" w:eastAsia="Times New Roman" w:hAnsi="Calibri" w:cs="Calibri"/>
        </w:rPr>
        <w:footnoteReference w:id="9"/>
      </w:r>
      <w:r w:rsidR="00D601BE">
        <w:rPr>
          <w:rFonts w:ascii="Calibri" w:eastAsia="Times New Roman" w:hAnsi="Calibri" w:cs="Calibri"/>
          <w:bdr w:val="none" w:sz="0" w:space="0" w:color="auto" w:frame="1"/>
          <w:vertAlign w:val="superscript"/>
        </w:rPr>
        <w:t xml:space="preserve"> </w:t>
      </w:r>
      <w:r w:rsidRPr="00C04C3E">
        <w:rPr>
          <w:rFonts w:ascii="Calibri" w:eastAsia="Times New Roman" w:hAnsi="Calibri" w:cs="Calibri"/>
        </w:rPr>
        <w:t>All charges against the nurses were eventually dismissed.</w:t>
      </w:r>
      <w:r w:rsidR="00D601BE">
        <w:rPr>
          <w:rStyle w:val="FootnoteReference"/>
          <w:rFonts w:ascii="Calibri" w:eastAsia="Times New Roman" w:hAnsi="Calibri" w:cs="Calibri"/>
        </w:rPr>
        <w:footnoteReference w:id="10"/>
      </w:r>
    </w:p>
    <w:p w14:paraId="365F4D38" w14:textId="7F0F9B5E" w:rsidR="00824B6C" w:rsidRDefault="00824B6C" w:rsidP="00E90FB2">
      <w:pPr>
        <w:rPr>
          <w:rFonts w:ascii="Calibri" w:eastAsia="Times New Roman" w:hAnsi="Calibri" w:cs="Calibri"/>
        </w:rPr>
      </w:pPr>
    </w:p>
    <w:p w14:paraId="14C851DF" w14:textId="47559FA3" w:rsidR="00E90FB2" w:rsidRPr="009C69C4" w:rsidRDefault="009C69C4" w:rsidP="009C69C4">
      <w:pPr>
        <w:spacing w:line="360" w:lineRule="auto"/>
        <w:rPr>
          <w:rFonts w:ascii="Calibri" w:eastAsia="Times New Roman" w:hAnsi="Calibri" w:cs="Calibri"/>
          <w:b/>
          <w:bCs/>
        </w:rPr>
      </w:pPr>
      <w:r w:rsidRPr="009C69C4">
        <w:rPr>
          <w:rFonts w:ascii="Calibri" w:eastAsia="Times New Roman" w:hAnsi="Calibri" w:cs="Calibri"/>
          <w:b/>
          <w:bCs/>
        </w:rPr>
        <w:t>Benefits of Joint Investigations</w:t>
      </w:r>
      <w:r w:rsidR="00533FB8">
        <w:rPr>
          <w:rFonts w:ascii="Calibri" w:eastAsia="Times New Roman" w:hAnsi="Calibri" w:cs="Calibri"/>
          <w:b/>
          <w:bCs/>
        </w:rPr>
        <w:t xml:space="preserve"> and Information Sharing</w:t>
      </w:r>
    </w:p>
    <w:p w14:paraId="5D69F041" w14:textId="06AD76CA" w:rsidR="00892ABC" w:rsidRDefault="00824B6C" w:rsidP="0041582A">
      <w:pPr>
        <w:spacing w:line="360" w:lineRule="auto"/>
        <w:textAlignment w:val="baseline"/>
        <w:rPr>
          <w:rFonts w:ascii="Calibri" w:eastAsia="Times New Roman" w:hAnsi="Calibri" w:cs="Calibri"/>
        </w:rPr>
      </w:pPr>
      <w:r>
        <w:rPr>
          <w:rFonts w:ascii="Calibri" w:eastAsia="Times New Roman" w:hAnsi="Calibri" w:cs="Calibri"/>
        </w:rPr>
        <w:t>J</w:t>
      </w:r>
      <w:r w:rsidR="006C2493" w:rsidRPr="00824B6C">
        <w:rPr>
          <w:rFonts w:ascii="Calibri" w:eastAsia="Times New Roman" w:hAnsi="Calibri" w:cs="Calibri"/>
        </w:rPr>
        <w:t xml:space="preserve">oint investigations </w:t>
      </w:r>
      <w:r w:rsidR="00533FB8">
        <w:rPr>
          <w:rFonts w:ascii="Calibri" w:eastAsia="Times New Roman" w:hAnsi="Calibri" w:cs="Calibri"/>
        </w:rPr>
        <w:t xml:space="preserve">and information sharing </w:t>
      </w:r>
      <w:r w:rsidR="006C2493" w:rsidRPr="00824B6C">
        <w:rPr>
          <w:rFonts w:ascii="Calibri" w:eastAsia="Times New Roman" w:hAnsi="Calibri" w:cs="Calibri"/>
        </w:rPr>
        <w:t xml:space="preserve">may benefit both public health and law enforcement as they carry out their respective roles in protecting the public. Law enforcement may benefit from assistance and information from disease investigation experts. Law enforcement's information may help public health to prevent further spread of a disease or decrease the impact of future threats. Working </w:t>
      </w:r>
      <w:r w:rsidR="006C2493" w:rsidRPr="00824B6C">
        <w:rPr>
          <w:rFonts w:ascii="Calibri" w:eastAsia="Times New Roman" w:hAnsi="Calibri" w:cs="Calibri"/>
        </w:rPr>
        <w:lastRenderedPageBreak/>
        <w:t xml:space="preserve">together strengthens relationships between public health professionals and officers, thereby facilitating future communication and information exchange. </w:t>
      </w:r>
    </w:p>
    <w:p w14:paraId="6DF1BE17" w14:textId="77777777" w:rsidR="00892ABC" w:rsidRDefault="00892ABC" w:rsidP="0041582A">
      <w:pPr>
        <w:spacing w:line="360" w:lineRule="auto"/>
        <w:textAlignment w:val="baseline"/>
        <w:rPr>
          <w:rFonts w:ascii="Calibri" w:eastAsia="Times New Roman" w:hAnsi="Calibri" w:cs="Calibri"/>
        </w:rPr>
      </w:pPr>
    </w:p>
    <w:p w14:paraId="07C8E610" w14:textId="1C300543" w:rsidR="0041582A" w:rsidRDefault="006C2493" w:rsidP="0041582A">
      <w:pPr>
        <w:spacing w:line="360" w:lineRule="auto"/>
        <w:textAlignment w:val="baseline"/>
        <w:rPr>
          <w:rFonts w:ascii="Calibri" w:eastAsia="Times New Roman" w:hAnsi="Calibri" w:cs="Calibri"/>
        </w:rPr>
      </w:pPr>
      <w:r w:rsidRPr="00824B6C">
        <w:rPr>
          <w:rFonts w:ascii="Calibri" w:eastAsia="Times New Roman" w:hAnsi="Calibri" w:cs="Calibri"/>
        </w:rPr>
        <w:t>Taking advantage of both law enforcement and public health perspectives, joint investigations may be more thorough and cover issues that may have been overlooked during separate investigations. Moreover, public health and law enforcement may be able to pool resources and avoid duplication of efforts through joint interviews or questionnaires that address both public health and law enforcement concerns.</w:t>
      </w:r>
      <w:r w:rsidR="00AA7182">
        <w:rPr>
          <w:rStyle w:val="FootnoteReference"/>
          <w:rFonts w:ascii="Calibri" w:eastAsia="Times New Roman" w:hAnsi="Calibri" w:cs="Calibri"/>
        </w:rPr>
        <w:footnoteReference w:id="11"/>
      </w:r>
      <w:r w:rsidR="00AA7182">
        <w:rPr>
          <w:rFonts w:ascii="Calibri" w:eastAsia="Times New Roman" w:hAnsi="Calibri" w:cs="Calibri"/>
          <w:bdr w:val="none" w:sz="0" w:space="0" w:color="auto" w:frame="1"/>
        </w:rPr>
        <w:t xml:space="preserve"> </w:t>
      </w:r>
      <w:r w:rsidRPr="00824B6C">
        <w:rPr>
          <w:rFonts w:ascii="Calibri" w:eastAsia="Times New Roman" w:hAnsi="Calibri" w:cs="Calibri"/>
        </w:rPr>
        <w:t>Time and efficiency are crucial, especially when one event can require hundreds of interviews. In particular, bioterrorism investigations require close cooperation between public health and law enforcement, which entails some blurring of their usual roles. Public health investigators may function as forensic experts if there is a prosecution, and law enforcement will try to mitigate harm by identifying and arresting the perpetrators who initiated the outbreak.</w:t>
      </w:r>
      <w:r w:rsidR="00540AF8">
        <w:rPr>
          <w:rStyle w:val="FootnoteReference"/>
          <w:rFonts w:ascii="Calibri" w:eastAsia="Times New Roman" w:hAnsi="Calibri" w:cs="Calibri"/>
        </w:rPr>
        <w:footnoteReference w:id="12"/>
      </w:r>
    </w:p>
    <w:p w14:paraId="79469914" w14:textId="7C93C3F8" w:rsidR="00B6177C" w:rsidRDefault="00B6177C" w:rsidP="0041582A">
      <w:pPr>
        <w:spacing w:line="360" w:lineRule="auto"/>
        <w:textAlignment w:val="baseline"/>
        <w:rPr>
          <w:rFonts w:ascii="Calibri" w:eastAsia="Times New Roman" w:hAnsi="Calibri" w:cs="Calibri"/>
        </w:rPr>
      </w:pPr>
    </w:p>
    <w:p w14:paraId="4BD1F2E9" w14:textId="2828605F" w:rsidR="00523585" w:rsidRPr="00825213" w:rsidRDefault="00825213" w:rsidP="0041582A">
      <w:pPr>
        <w:spacing w:line="360" w:lineRule="auto"/>
        <w:textAlignment w:val="baseline"/>
        <w:rPr>
          <w:rFonts w:ascii="Calibri" w:eastAsia="Times New Roman" w:hAnsi="Calibri" w:cs="Calibri"/>
          <w:b/>
          <w:bCs/>
        </w:rPr>
      </w:pPr>
      <w:r w:rsidRPr="00825213">
        <w:rPr>
          <w:rFonts w:ascii="Calibri" w:eastAsia="Times New Roman" w:hAnsi="Calibri" w:cs="Calibri"/>
          <w:b/>
          <w:bCs/>
        </w:rPr>
        <w:t xml:space="preserve">Information Sharing through </w:t>
      </w:r>
      <w:r w:rsidR="00523585" w:rsidRPr="00825213">
        <w:rPr>
          <w:rFonts w:ascii="Calibri" w:eastAsia="Times New Roman" w:hAnsi="Calibri" w:cs="Calibri"/>
          <w:b/>
          <w:bCs/>
        </w:rPr>
        <w:t xml:space="preserve">Fusion Centers </w:t>
      </w:r>
    </w:p>
    <w:p w14:paraId="5825E31D" w14:textId="77244108" w:rsidR="003D6EF6" w:rsidRDefault="0030609E" w:rsidP="0015489E">
      <w:pPr>
        <w:spacing w:line="360" w:lineRule="auto"/>
        <w:rPr>
          <w:rFonts w:ascii="Calibri" w:eastAsia="Times New Roman" w:hAnsi="Calibri" w:cs="Calibri"/>
        </w:rPr>
      </w:pPr>
      <w:r>
        <w:rPr>
          <w:rFonts w:ascii="Calibri" w:eastAsia="Times New Roman" w:hAnsi="Calibri" w:cs="Calibri"/>
        </w:rPr>
        <w:t xml:space="preserve">One ongoing mechanism for information sharing between law enforcement and public health </w:t>
      </w:r>
      <w:r w:rsidR="002E2CFF">
        <w:rPr>
          <w:rFonts w:ascii="Calibri" w:eastAsia="Times New Roman" w:hAnsi="Calibri" w:cs="Calibri"/>
        </w:rPr>
        <w:t>is the National Network of Fusion Centers</w:t>
      </w:r>
      <w:r w:rsidR="006A4C39">
        <w:rPr>
          <w:rFonts w:ascii="Calibri" w:eastAsia="Times New Roman" w:hAnsi="Calibri" w:cs="Calibri"/>
        </w:rPr>
        <w:t xml:space="preserve"> manage</w:t>
      </w:r>
      <w:r w:rsidR="00FC1DB1">
        <w:rPr>
          <w:rFonts w:ascii="Calibri" w:eastAsia="Times New Roman" w:hAnsi="Calibri" w:cs="Calibri"/>
        </w:rPr>
        <w:t>d by DHS and other federal agencies</w:t>
      </w:r>
      <w:r w:rsidR="00FC1DB1">
        <w:rPr>
          <w:rStyle w:val="FootnoteReference"/>
          <w:rFonts w:ascii="Calibri" w:eastAsia="Times New Roman" w:hAnsi="Calibri" w:cs="Calibri"/>
        </w:rPr>
        <w:footnoteReference w:id="13"/>
      </w:r>
      <w:r w:rsidR="00FC1DB1">
        <w:rPr>
          <w:rFonts w:ascii="Calibri" w:eastAsia="Times New Roman" w:hAnsi="Calibri" w:cs="Calibri"/>
        </w:rPr>
        <w:t>,</w:t>
      </w:r>
      <w:r w:rsidR="007239CD">
        <w:rPr>
          <w:rFonts w:ascii="Calibri" w:eastAsia="Times New Roman" w:hAnsi="Calibri" w:cs="Calibri"/>
        </w:rPr>
        <w:t xml:space="preserve"> and the individual state-operated fusions centers</w:t>
      </w:r>
      <w:r w:rsidR="00454DE4">
        <w:rPr>
          <w:rFonts w:ascii="Calibri" w:eastAsia="Times New Roman" w:hAnsi="Calibri" w:cs="Calibri"/>
        </w:rPr>
        <w:t xml:space="preserve"> that comprise the network.</w:t>
      </w:r>
      <w:r w:rsidR="00FC1DB1">
        <w:rPr>
          <w:rStyle w:val="FootnoteReference"/>
          <w:rFonts w:ascii="Calibri" w:eastAsia="Times New Roman" w:hAnsi="Calibri" w:cs="Calibri"/>
        </w:rPr>
        <w:footnoteReference w:id="14"/>
      </w:r>
      <w:r w:rsidR="00454DE4">
        <w:rPr>
          <w:rFonts w:ascii="Calibri" w:eastAsia="Times New Roman" w:hAnsi="Calibri" w:cs="Calibri"/>
        </w:rPr>
        <w:t xml:space="preserve"> </w:t>
      </w:r>
      <w:r w:rsidR="00B758CA">
        <w:rPr>
          <w:rFonts w:ascii="Calibri" w:eastAsia="Times New Roman" w:hAnsi="Calibri" w:cs="Calibri"/>
        </w:rPr>
        <w:t>Fusion centers are intended to gat</w:t>
      </w:r>
      <w:r w:rsidR="00913D92">
        <w:rPr>
          <w:rFonts w:ascii="Calibri" w:eastAsia="Times New Roman" w:hAnsi="Calibri" w:cs="Calibri"/>
        </w:rPr>
        <w:t xml:space="preserve">her information and facilitate </w:t>
      </w:r>
      <w:r w:rsidR="00780AEF" w:rsidRPr="00780AEF">
        <w:rPr>
          <w:rFonts w:ascii="Calibri" w:eastAsia="Times New Roman" w:hAnsi="Calibri" w:cs="Calibri"/>
        </w:rPr>
        <w:t xml:space="preserve">the sharing of information among multiple agencies </w:t>
      </w:r>
      <w:r w:rsidR="00B45875">
        <w:rPr>
          <w:rFonts w:ascii="Calibri" w:eastAsia="Times New Roman" w:hAnsi="Calibri" w:cs="Calibri"/>
        </w:rPr>
        <w:t xml:space="preserve">and partners </w:t>
      </w:r>
      <w:r w:rsidR="002B0327">
        <w:rPr>
          <w:rFonts w:ascii="Calibri" w:eastAsia="Times New Roman" w:hAnsi="Calibri" w:cs="Calibri"/>
        </w:rPr>
        <w:t xml:space="preserve">at the federal, state, tribal, local, </w:t>
      </w:r>
      <w:r w:rsidR="00780AEF" w:rsidRPr="00780AEF">
        <w:rPr>
          <w:rFonts w:ascii="Calibri" w:eastAsia="Times New Roman" w:hAnsi="Calibri" w:cs="Calibri"/>
        </w:rPr>
        <w:t xml:space="preserve">and </w:t>
      </w:r>
      <w:r w:rsidR="002B0327">
        <w:rPr>
          <w:rFonts w:ascii="Calibri" w:eastAsia="Times New Roman" w:hAnsi="Calibri" w:cs="Calibri"/>
        </w:rPr>
        <w:t xml:space="preserve">territorial levels and to </w:t>
      </w:r>
      <w:r w:rsidR="00780AEF" w:rsidRPr="00780AEF">
        <w:rPr>
          <w:rFonts w:ascii="Calibri" w:eastAsia="Times New Roman" w:hAnsi="Calibri" w:cs="Calibri"/>
        </w:rPr>
        <w:t>build their intelligence capabilities.</w:t>
      </w:r>
      <w:r w:rsidR="00462944">
        <w:rPr>
          <w:rStyle w:val="FootnoteReference"/>
          <w:rFonts w:ascii="Calibri" w:eastAsia="Times New Roman" w:hAnsi="Calibri" w:cs="Calibri"/>
        </w:rPr>
        <w:footnoteReference w:id="15"/>
      </w:r>
      <w:r w:rsidR="006F6739">
        <w:rPr>
          <w:rFonts w:ascii="Calibri" w:eastAsia="Times New Roman" w:hAnsi="Calibri" w:cs="Calibri"/>
        </w:rPr>
        <w:t xml:space="preserve"> </w:t>
      </w:r>
      <w:r w:rsidR="006F6739" w:rsidRPr="006C2493">
        <w:rPr>
          <w:rFonts w:ascii="Calibri" w:eastAsia="Times New Roman" w:hAnsi="Calibri" w:cs="Calibri"/>
        </w:rPr>
        <w:t>P</w:t>
      </w:r>
      <w:r w:rsidR="000F15B3">
        <w:rPr>
          <w:rFonts w:ascii="Calibri" w:eastAsia="Times New Roman" w:hAnsi="Calibri" w:cs="Calibri"/>
        </w:rPr>
        <w:t>artners</w:t>
      </w:r>
      <w:r w:rsidR="006F6739" w:rsidRPr="006C2493">
        <w:rPr>
          <w:rFonts w:ascii="Calibri" w:eastAsia="Times New Roman" w:hAnsi="Calibri" w:cs="Calibri"/>
        </w:rPr>
        <w:t xml:space="preserve"> may include public and private entities from sectors such as banking and finance, education, </w:t>
      </w:r>
      <w:r w:rsidR="006F6739" w:rsidRPr="006C2493">
        <w:rPr>
          <w:rFonts w:ascii="Calibri" w:eastAsia="Times New Roman" w:hAnsi="Calibri" w:cs="Calibri"/>
        </w:rPr>
        <w:lastRenderedPageBreak/>
        <w:t>government, health and public health services, postal and shipping, retail, and transportation.</w:t>
      </w:r>
      <w:r w:rsidR="006F6739">
        <w:rPr>
          <w:rStyle w:val="FootnoteReference"/>
          <w:rFonts w:ascii="Calibri" w:eastAsia="Times New Roman" w:hAnsi="Calibri" w:cs="Calibri"/>
        </w:rPr>
        <w:footnoteReference w:id="16"/>
      </w:r>
      <w:r w:rsidR="00AE4BCF">
        <w:rPr>
          <w:rFonts w:ascii="Calibri" w:eastAsia="Times New Roman" w:hAnsi="Calibri" w:cs="Calibri"/>
        </w:rPr>
        <w:t xml:space="preserve"> </w:t>
      </w:r>
      <w:r w:rsidR="0015489E" w:rsidRPr="006C2493">
        <w:rPr>
          <w:rFonts w:ascii="Calibri" w:eastAsia="Times New Roman" w:hAnsi="Calibri" w:cs="Calibri"/>
        </w:rPr>
        <w:t>State and local fusion centers vary in organization, function, and participants.</w:t>
      </w:r>
      <w:r w:rsidR="000431A5">
        <w:rPr>
          <w:rStyle w:val="FootnoteReference"/>
          <w:rFonts w:ascii="Calibri" w:eastAsia="Times New Roman" w:hAnsi="Calibri" w:cs="Calibri"/>
        </w:rPr>
        <w:footnoteReference w:id="17"/>
      </w:r>
      <w:r w:rsidR="0015489E" w:rsidRPr="006C2493">
        <w:rPr>
          <w:rFonts w:ascii="Calibri" w:eastAsia="Times New Roman" w:hAnsi="Calibri" w:cs="Calibri"/>
        </w:rPr>
        <w:t xml:space="preserve"> </w:t>
      </w:r>
    </w:p>
    <w:p w14:paraId="0BCE7A83" w14:textId="77777777" w:rsidR="003D6EF6" w:rsidRDefault="003D6EF6" w:rsidP="0015489E">
      <w:pPr>
        <w:spacing w:line="360" w:lineRule="auto"/>
        <w:rPr>
          <w:rFonts w:ascii="Calibri" w:eastAsia="Times New Roman" w:hAnsi="Calibri" w:cs="Calibri"/>
        </w:rPr>
      </w:pPr>
    </w:p>
    <w:p w14:paraId="52C7DEA5" w14:textId="5593B661" w:rsidR="003D6EF6" w:rsidRDefault="0015489E" w:rsidP="003D6EF6">
      <w:pPr>
        <w:spacing w:line="360" w:lineRule="auto"/>
        <w:rPr>
          <w:rFonts w:ascii="Calibri" w:eastAsia="Times New Roman" w:hAnsi="Calibri" w:cs="Calibri"/>
          <w:b/>
          <w:bCs/>
        </w:rPr>
      </w:pPr>
      <w:r w:rsidRPr="006C2493">
        <w:rPr>
          <w:rFonts w:ascii="Calibri" w:eastAsia="Times New Roman" w:hAnsi="Calibri" w:cs="Calibri"/>
        </w:rPr>
        <w:t>Generally, fusion centers involving public health entities focus on bioterrorism and similar threats but may include "all crimes" and assist in providing intelligence and risk assessment for "all hazards" to protect the security of the homeland.</w:t>
      </w:r>
      <w:r w:rsidR="003D6EF6">
        <w:rPr>
          <w:rFonts w:ascii="Calibri" w:eastAsia="Times New Roman" w:hAnsi="Calibri" w:cs="Calibri"/>
        </w:rPr>
        <w:t xml:space="preserve"> </w:t>
      </w:r>
      <w:r w:rsidR="003D6EF6" w:rsidRPr="006C2493">
        <w:rPr>
          <w:rFonts w:ascii="Calibri" w:eastAsia="Times New Roman" w:hAnsi="Calibri" w:cs="Calibri"/>
        </w:rPr>
        <w:t>For example, public health may contribute information about suspicious symptoms, abnormal environmental conditions that may be caused by an emergent disease or agent, or abnormal patterns and trends indicative of production or abuse of narcotics. Public health personnel may also contribute their specialized subject-matter expertise to assist in the analysis and interpretation of this information.</w:t>
      </w:r>
      <w:r w:rsidR="003D6EF6">
        <w:rPr>
          <w:rStyle w:val="FootnoteReference"/>
          <w:rFonts w:ascii="Calibri" w:eastAsia="Times New Roman" w:hAnsi="Calibri" w:cs="Calibri"/>
        </w:rPr>
        <w:footnoteReference w:id="18"/>
      </w:r>
      <w:r w:rsidR="003D6EF6">
        <w:rPr>
          <w:rFonts w:ascii="Calibri" w:eastAsia="Times New Roman" w:hAnsi="Calibri" w:cs="Calibri"/>
          <w:bdr w:val="none" w:sz="0" w:space="0" w:color="auto" w:frame="1"/>
        </w:rPr>
        <w:t xml:space="preserve"> </w:t>
      </w:r>
      <w:r w:rsidR="003D6EF6" w:rsidRPr="006C2493">
        <w:rPr>
          <w:rFonts w:ascii="Calibri" w:eastAsia="Times New Roman" w:hAnsi="Calibri" w:cs="Calibri"/>
        </w:rPr>
        <w:t>In many cases, information may be shared in a way that does not identify individuals-for example, aggregate data about the number of individuals exposed to an infectious condition within a population or who have exhibited symptoms of a condition that is a known bioterrorism agent. However, at times, identifiable information will be needed to prevent, prepare for, and respond to bioterrorism, including epidemiological and laboratory data about the specific health status of identifiable individuals or health status of known groups such as families, assemblies, employees, or persons within defined geographic boundaries.</w:t>
      </w:r>
      <w:r w:rsidR="003D6EF6">
        <w:rPr>
          <w:rStyle w:val="FootnoteReference"/>
          <w:rFonts w:ascii="Calibri" w:eastAsia="Times New Roman" w:hAnsi="Calibri" w:cs="Calibri"/>
        </w:rPr>
        <w:footnoteReference w:id="19"/>
      </w:r>
      <w:r w:rsidR="00825213">
        <w:rPr>
          <w:rFonts w:ascii="Calibri" w:eastAsia="Times New Roman" w:hAnsi="Calibri" w:cs="Calibri"/>
        </w:rPr>
        <w:t xml:space="preserve"> </w:t>
      </w:r>
      <w:r w:rsidR="004512EA">
        <w:rPr>
          <w:rFonts w:ascii="Calibri" w:eastAsia="Times New Roman" w:hAnsi="Calibri" w:cs="Calibri"/>
        </w:rPr>
        <w:t xml:space="preserve">One factor limiting potential </w:t>
      </w:r>
      <w:r w:rsidR="000F2369">
        <w:rPr>
          <w:rFonts w:ascii="Calibri" w:eastAsia="Times New Roman" w:hAnsi="Calibri" w:cs="Calibri"/>
        </w:rPr>
        <w:t>public health collaboration in fusion centers is</w:t>
      </w:r>
      <w:r w:rsidR="00A2794E">
        <w:rPr>
          <w:rFonts w:ascii="Calibri" w:eastAsia="Times New Roman" w:hAnsi="Calibri" w:cs="Calibri"/>
        </w:rPr>
        <w:t xml:space="preserve"> the continued </w:t>
      </w:r>
      <w:r w:rsidR="002A7010">
        <w:rPr>
          <w:rFonts w:ascii="Calibri" w:eastAsia="Times New Roman" w:hAnsi="Calibri" w:cs="Calibri"/>
        </w:rPr>
        <w:t>budget decreases to public health and fusion centers.</w:t>
      </w:r>
      <w:r w:rsidR="002A7010">
        <w:rPr>
          <w:rStyle w:val="FootnoteReference"/>
          <w:rFonts w:ascii="Calibri" w:eastAsia="Times New Roman" w:hAnsi="Calibri" w:cs="Calibri"/>
        </w:rPr>
        <w:footnoteReference w:id="20"/>
      </w:r>
    </w:p>
    <w:p w14:paraId="381C194D" w14:textId="0A28EA14" w:rsidR="0041582A" w:rsidRDefault="0041582A" w:rsidP="0041582A">
      <w:pPr>
        <w:spacing w:line="360" w:lineRule="auto"/>
        <w:textAlignment w:val="baseline"/>
        <w:rPr>
          <w:rFonts w:ascii="Calibri" w:eastAsia="Times New Roman" w:hAnsi="Calibri" w:cs="Calibri"/>
        </w:rPr>
      </w:pPr>
    </w:p>
    <w:p w14:paraId="5EA8B32B" w14:textId="5E3142F3" w:rsidR="00145F05" w:rsidRPr="00145F05" w:rsidRDefault="00145F05" w:rsidP="00145F05">
      <w:pPr>
        <w:spacing w:line="360" w:lineRule="auto"/>
        <w:textAlignment w:val="baseline"/>
        <w:rPr>
          <w:rFonts w:ascii="Calibri" w:eastAsia="Times New Roman" w:hAnsi="Calibri" w:cs="Calibri"/>
          <w:b/>
          <w:bCs/>
        </w:rPr>
      </w:pPr>
      <w:r w:rsidRPr="00145F05">
        <w:rPr>
          <w:rFonts w:ascii="Calibri" w:eastAsia="Times New Roman" w:hAnsi="Calibri" w:cs="Calibri"/>
          <w:b/>
          <w:bCs/>
        </w:rPr>
        <w:t xml:space="preserve">Risks of </w:t>
      </w:r>
      <w:r w:rsidR="00AD54D1">
        <w:rPr>
          <w:rFonts w:ascii="Calibri" w:eastAsia="Times New Roman" w:hAnsi="Calibri" w:cs="Calibri"/>
          <w:b/>
          <w:bCs/>
        </w:rPr>
        <w:t>P</w:t>
      </w:r>
      <w:r w:rsidR="00851D16">
        <w:rPr>
          <w:rFonts w:ascii="Calibri" w:eastAsia="Times New Roman" w:hAnsi="Calibri" w:cs="Calibri"/>
          <w:b/>
          <w:bCs/>
        </w:rPr>
        <w:t>u</w:t>
      </w:r>
      <w:r w:rsidR="00AD54D1">
        <w:rPr>
          <w:rFonts w:ascii="Calibri" w:eastAsia="Times New Roman" w:hAnsi="Calibri" w:cs="Calibri"/>
          <w:b/>
          <w:bCs/>
        </w:rPr>
        <w:t>blic</w:t>
      </w:r>
      <w:r w:rsidR="00851D16">
        <w:rPr>
          <w:rFonts w:ascii="Calibri" w:eastAsia="Times New Roman" w:hAnsi="Calibri" w:cs="Calibri"/>
          <w:b/>
          <w:bCs/>
        </w:rPr>
        <w:t xml:space="preserve"> Health–Law Enforcement Information </w:t>
      </w:r>
      <w:r w:rsidR="005F1499">
        <w:rPr>
          <w:rFonts w:ascii="Calibri" w:eastAsia="Times New Roman" w:hAnsi="Calibri" w:cs="Calibri"/>
          <w:b/>
          <w:bCs/>
        </w:rPr>
        <w:t xml:space="preserve">Sharing </w:t>
      </w:r>
      <w:r w:rsidR="00851D16">
        <w:rPr>
          <w:rFonts w:ascii="Calibri" w:eastAsia="Times New Roman" w:hAnsi="Calibri" w:cs="Calibri"/>
          <w:b/>
          <w:bCs/>
        </w:rPr>
        <w:t xml:space="preserve">and </w:t>
      </w:r>
      <w:r w:rsidRPr="00145F05">
        <w:rPr>
          <w:rFonts w:ascii="Calibri" w:eastAsia="Times New Roman" w:hAnsi="Calibri" w:cs="Calibri"/>
          <w:b/>
          <w:bCs/>
        </w:rPr>
        <w:t>Joint Investigations</w:t>
      </w:r>
    </w:p>
    <w:p w14:paraId="68FDC129" w14:textId="2CAD13C2" w:rsidR="00672D06" w:rsidRDefault="006C2493" w:rsidP="00672D06">
      <w:pPr>
        <w:spacing w:line="360" w:lineRule="auto"/>
        <w:textAlignment w:val="baseline"/>
        <w:rPr>
          <w:rFonts w:ascii="Calibri" w:eastAsia="Times New Roman" w:hAnsi="Calibri" w:cs="Calibri"/>
        </w:rPr>
      </w:pPr>
      <w:r w:rsidRPr="006C2493">
        <w:rPr>
          <w:rFonts w:ascii="Calibri" w:eastAsia="Times New Roman" w:hAnsi="Calibri" w:cs="Calibri"/>
        </w:rPr>
        <w:t xml:space="preserve">While valuable, joint public health and criminal investigations also present risks and challenges. Community trust is essential to carry out public health's mission. Underserved communities that are </w:t>
      </w:r>
      <w:r w:rsidRPr="006C2493">
        <w:rPr>
          <w:rFonts w:ascii="Calibri" w:eastAsia="Times New Roman" w:hAnsi="Calibri" w:cs="Calibri"/>
        </w:rPr>
        <w:lastRenderedPageBreak/>
        <w:t>traditionally in greatest need of public health services may be suspicious of collaboration between public health and law enforcement.</w:t>
      </w:r>
      <w:r w:rsidR="0041582A">
        <w:rPr>
          <w:rStyle w:val="FootnoteReference"/>
          <w:rFonts w:ascii="Calibri" w:eastAsia="Times New Roman" w:hAnsi="Calibri" w:cs="Calibri"/>
        </w:rPr>
        <w:footnoteReference w:id="21"/>
      </w:r>
      <w:r w:rsidR="003C086C">
        <w:rPr>
          <w:rFonts w:ascii="Calibri" w:eastAsia="Times New Roman" w:hAnsi="Calibri" w:cs="Calibri"/>
          <w:bdr w:val="none" w:sz="0" w:space="0" w:color="auto" w:frame="1"/>
        </w:rPr>
        <w:t xml:space="preserve"> Community members</w:t>
      </w:r>
      <w:r w:rsidRPr="006C2493">
        <w:rPr>
          <w:rFonts w:ascii="Calibri" w:eastAsia="Times New Roman" w:hAnsi="Calibri" w:cs="Calibri"/>
        </w:rPr>
        <w:t xml:space="preserve"> may fear that their race, status, or ethnicity will subject them to profiling or other unwanted attention.</w:t>
      </w:r>
      <w:r w:rsidR="0041582A" w:rsidRPr="0041582A">
        <w:rPr>
          <w:rFonts w:ascii="Calibri" w:eastAsia="Times New Roman" w:hAnsi="Calibri" w:cs="Calibri"/>
          <w:bdr w:val="none" w:sz="0" w:space="0" w:color="auto" w:frame="1"/>
        </w:rPr>
        <w:t xml:space="preserve"> </w:t>
      </w:r>
      <w:r w:rsidR="0041582A">
        <w:rPr>
          <w:rStyle w:val="FootnoteReference"/>
          <w:rFonts w:ascii="Calibri" w:eastAsia="Times New Roman" w:hAnsi="Calibri" w:cs="Calibri"/>
        </w:rPr>
        <w:footnoteReference w:id="22"/>
      </w:r>
      <w:r w:rsidR="0041582A">
        <w:rPr>
          <w:rFonts w:ascii="Calibri" w:eastAsia="Times New Roman" w:hAnsi="Calibri" w:cs="Calibri"/>
          <w:bdr w:val="none" w:sz="0" w:space="0" w:color="auto" w:frame="1"/>
        </w:rPr>
        <w:t xml:space="preserve"> </w:t>
      </w:r>
      <w:r w:rsidRPr="006C2493">
        <w:rPr>
          <w:rFonts w:ascii="Calibri" w:eastAsia="Times New Roman" w:hAnsi="Calibri" w:cs="Calibri"/>
        </w:rPr>
        <w:t>Undocumented individuals may fear detection and deportation. The presence of law enforcement officers may have a "chilling effect" on patients being interviewed and on the medical professionals with whom public health routinely works and upon whom traditional public health surveillance (through mandatory disease reporting) depends.</w:t>
      </w:r>
      <w:r w:rsidR="0041582A">
        <w:rPr>
          <w:rStyle w:val="FootnoteReference"/>
          <w:rFonts w:ascii="Calibri" w:eastAsia="Times New Roman" w:hAnsi="Calibri" w:cs="Calibri"/>
        </w:rPr>
        <w:footnoteReference w:id="23"/>
      </w:r>
    </w:p>
    <w:p w14:paraId="0CF4D980" w14:textId="77777777" w:rsidR="00672D06" w:rsidRDefault="00672D06" w:rsidP="00672D06">
      <w:pPr>
        <w:spacing w:line="360" w:lineRule="auto"/>
        <w:textAlignment w:val="baseline"/>
        <w:rPr>
          <w:rFonts w:ascii="Calibri" w:eastAsia="Times New Roman" w:hAnsi="Calibri" w:cs="Calibri"/>
        </w:rPr>
      </w:pPr>
    </w:p>
    <w:p w14:paraId="336F2459" w14:textId="029C79E4" w:rsidR="002B2F4F" w:rsidRDefault="006C2493" w:rsidP="002B2F4F">
      <w:pPr>
        <w:spacing w:line="360" w:lineRule="auto"/>
        <w:textAlignment w:val="baseline"/>
        <w:rPr>
          <w:rFonts w:ascii="Calibri" w:eastAsia="Times New Roman" w:hAnsi="Calibri" w:cs="Calibri"/>
        </w:rPr>
      </w:pPr>
      <w:r w:rsidRPr="006C2493">
        <w:rPr>
          <w:rFonts w:ascii="Calibri" w:eastAsia="Times New Roman" w:hAnsi="Calibri" w:cs="Calibri"/>
        </w:rPr>
        <w:t>Issues may also arise due to tensions between public health's interest in protecting the population's health and law enforcement's interest in collecting evidence that will be admissible in criminal investigations.</w:t>
      </w:r>
      <w:r w:rsidR="00672D06">
        <w:rPr>
          <w:rStyle w:val="FootnoteReference"/>
          <w:rFonts w:ascii="Calibri" w:eastAsia="Times New Roman" w:hAnsi="Calibri" w:cs="Calibri"/>
        </w:rPr>
        <w:footnoteReference w:id="24"/>
      </w:r>
      <w:r w:rsidR="002B2F4F">
        <w:rPr>
          <w:rFonts w:ascii="Calibri" w:eastAsia="Times New Roman" w:hAnsi="Calibri" w:cs="Calibri"/>
        </w:rPr>
        <w:t xml:space="preserve"> </w:t>
      </w:r>
      <w:r w:rsidRPr="006C2493">
        <w:rPr>
          <w:rFonts w:ascii="Calibri" w:eastAsia="Times New Roman" w:hAnsi="Calibri" w:cs="Calibri"/>
        </w:rPr>
        <w:t>For example, during an evolving epidemic with suspected terrorism, public health officials may seek to warn the public, while law enforcement argues that secrecy is essential to successfully identify, apprehend, and prosecute the perpetrators.</w:t>
      </w:r>
    </w:p>
    <w:p w14:paraId="47FCD10F" w14:textId="48ED03E3" w:rsidR="007D28A5" w:rsidRDefault="007D28A5" w:rsidP="002B2F4F">
      <w:pPr>
        <w:spacing w:line="360" w:lineRule="auto"/>
        <w:textAlignment w:val="baseline"/>
        <w:rPr>
          <w:rFonts w:ascii="Calibri" w:eastAsia="Times New Roman" w:hAnsi="Calibri" w:cs="Calibri"/>
        </w:rPr>
      </w:pPr>
    </w:p>
    <w:p w14:paraId="47BAECB0" w14:textId="37FF6F88" w:rsidR="007D28A5" w:rsidRPr="00FF6B3D" w:rsidRDefault="005F1499" w:rsidP="00FF6B3D">
      <w:pPr>
        <w:spacing w:line="360" w:lineRule="auto"/>
        <w:rPr>
          <w:rFonts w:ascii="Calibri" w:eastAsia="Times New Roman" w:hAnsi="Calibri" w:cs="Calibri"/>
          <w:b/>
          <w:bCs/>
        </w:rPr>
      </w:pPr>
      <w:r>
        <w:rPr>
          <w:rFonts w:ascii="Calibri" w:eastAsia="Times New Roman" w:hAnsi="Calibri" w:cs="Calibri"/>
        </w:rPr>
        <w:t>Similarly, p</w:t>
      </w:r>
      <w:r w:rsidR="007D28A5" w:rsidRPr="006C2493">
        <w:rPr>
          <w:rFonts w:ascii="Calibri" w:eastAsia="Times New Roman" w:hAnsi="Calibri" w:cs="Calibri"/>
        </w:rPr>
        <w:t xml:space="preserve">ublic health's contribution of information through fusion centers raises </w:t>
      </w:r>
      <w:r w:rsidR="00A562A2">
        <w:rPr>
          <w:rFonts w:ascii="Calibri" w:eastAsia="Times New Roman" w:hAnsi="Calibri" w:cs="Calibri"/>
        </w:rPr>
        <w:t xml:space="preserve">the same issues that </w:t>
      </w:r>
      <w:r w:rsidR="007D28A5" w:rsidRPr="006C2493">
        <w:rPr>
          <w:rFonts w:ascii="Calibri" w:eastAsia="Times New Roman" w:hAnsi="Calibri" w:cs="Calibri"/>
        </w:rPr>
        <w:t xml:space="preserve">arise </w:t>
      </w:r>
      <w:r w:rsidR="00A562A2">
        <w:rPr>
          <w:rFonts w:ascii="Calibri" w:eastAsia="Times New Roman" w:hAnsi="Calibri" w:cs="Calibri"/>
        </w:rPr>
        <w:t>with</w:t>
      </w:r>
      <w:r w:rsidR="007D28A5" w:rsidRPr="006C2493">
        <w:rPr>
          <w:rFonts w:ascii="Calibri" w:eastAsia="Times New Roman" w:hAnsi="Calibri" w:cs="Calibri"/>
        </w:rPr>
        <w:t xml:space="preserve"> joint investigations. </w:t>
      </w:r>
      <w:r w:rsidR="00613DCF">
        <w:rPr>
          <w:rFonts w:ascii="Calibri" w:eastAsia="Times New Roman" w:hAnsi="Calibri" w:cs="Calibri"/>
        </w:rPr>
        <w:t>While p</w:t>
      </w:r>
      <w:r w:rsidR="007D28A5" w:rsidRPr="006C2493">
        <w:rPr>
          <w:rFonts w:ascii="Calibri" w:eastAsia="Times New Roman" w:hAnsi="Calibri" w:cs="Calibri"/>
        </w:rPr>
        <w:t>ublic health benefits through cross-sector partnerships with law enforcement and other agencies and pooling of expertise and resources</w:t>
      </w:r>
      <w:r w:rsidR="00613DCF">
        <w:rPr>
          <w:rFonts w:ascii="Calibri" w:eastAsia="Times New Roman" w:hAnsi="Calibri" w:cs="Calibri"/>
        </w:rPr>
        <w:t>, a</w:t>
      </w:r>
      <w:r w:rsidR="007D28A5" w:rsidRPr="006C2493">
        <w:rPr>
          <w:rFonts w:ascii="Calibri" w:eastAsia="Times New Roman" w:hAnsi="Calibri" w:cs="Calibri"/>
        </w:rPr>
        <w:t>t the same time</w:t>
      </w:r>
      <w:r w:rsidR="00613DCF">
        <w:rPr>
          <w:rFonts w:ascii="Calibri" w:eastAsia="Times New Roman" w:hAnsi="Calibri" w:cs="Calibri"/>
        </w:rPr>
        <w:t xml:space="preserve"> </w:t>
      </w:r>
      <w:r w:rsidR="007D28A5" w:rsidRPr="006C2493">
        <w:rPr>
          <w:rFonts w:ascii="Calibri" w:eastAsia="Times New Roman" w:hAnsi="Calibri" w:cs="Calibri"/>
        </w:rPr>
        <w:t xml:space="preserve">public health's core mission </w:t>
      </w:r>
      <w:r w:rsidR="00613DCF">
        <w:rPr>
          <w:rFonts w:ascii="Calibri" w:eastAsia="Times New Roman" w:hAnsi="Calibri" w:cs="Calibri"/>
        </w:rPr>
        <w:t xml:space="preserve">can </w:t>
      </w:r>
      <w:r w:rsidR="007D28A5" w:rsidRPr="006C2493">
        <w:rPr>
          <w:rFonts w:ascii="Calibri" w:eastAsia="Times New Roman" w:hAnsi="Calibri" w:cs="Calibri"/>
        </w:rPr>
        <w:t>suffer if public health agencies act</w:t>
      </w:r>
      <w:r w:rsidR="00613DCF">
        <w:rPr>
          <w:rFonts w:ascii="Calibri" w:eastAsia="Times New Roman" w:hAnsi="Calibri" w:cs="Calibri"/>
        </w:rPr>
        <w:t>–</w:t>
      </w:r>
      <w:r w:rsidR="00D95A45">
        <w:rPr>
          <w:rFonts w:ascii="Calibri" w:eastAsia="Times New Roman" w:hAnsi="Calibri" w:cs="Calibri"/>
        </w:rPr>
        <w:t>o</w:t>
      </w:r>
      <w:r w:rsidR="007D28A5" w:rsidRPr="006C2493">
        <w:rPr>
          <w:rFonts w:ascii="Calibri" w:eastAsia="Times New Roman" w:hAnsi="Calibri" w:cs="Calibri"/>
        </w:rPr>
        <w:t>r are perceived to act</w:t>
      </w:r>
      <w:r w:rsidR="00D95A45">
        <w:rPr>
          <w:rFonts w:ascii="Calibri" w:eastAsia="Times New Roman" w:hAnsi="Calibri" w:cs="Calibri"/>
        </w:rPr>
        <w:t>–</w:t>
      </w:r>
      <w:r w:rsidR="007D28A5" w:rsidRPr="006C2493">
        <w:rPr>
          <w:rFonts w:ascii="Calibri" w:eastAsia="Times New Roman" w:hAnsi="Calibri" w:cs="Calibri"/>
        </w:rPr>
        <w:t xml:space="preserve">as law enforcement's agents. Privacy and civil liberties advocates warn against fusion centers' promotion of a surveillance-based society and cite abuses and mission creep by some fusion centers that result in suspicious activity reports about individuals </w:t>
      </w:r>
      <w:r w:rsidR="00B32D19">
        <w:rPr>
          <w:rFonts w:ascii="Calibri" w:eastAsia="Times New Roman" w:hAnsi="Calibri" w:cs="Calibri"/>
        </w:rPr>
        <w:t xml:space="preserve">and communities </w:t>
      </w:r>
      <w:r w:rsidR="007D28A5" w:rsidRPr="006C2493">
        <w:rPr>
          <w:rFonts w:ascii="Calibri" w:eastAsia="Times New Roman" w:hAnsi="Calibri" w:cs="Calibri"/>
        </w:rPr>
        <w:t>who are engaging in lawful activities.</w:t>
      </w:r>
      <w:r w:rsidR="007D28A5">
        <w:rPr>
          <w:rStyle w:val="FootnoteReference"/>
          <w:rFonts w:ascii="Calibri" w:eastAsia="Times New Roman" w:hAnsi="Calibri" w:cs="Calibri"/>
        </w:rPr>
        <w:footnoteReference w:id="25"/>
      </w:r>
    </w:p>
    <w:p w14:paraId="20B3D2FF" w14:textId="11EC782C" w:rsidR="002B2F4F" w:rsidRDefault="002B2F4F" w:rsidP="002B2F4F">
      <w:pPr>
        <w:spacing w:line="360" w:lineRule="auto"/>
        <w:textAlignment w:val="baseline"/>
        <w:rPr>
          <w:rFonts w:ascii="Calibri" w:eastAsia="Times New Roman" w:hAnsi="Calibri" w:cs="Calibri"/>
        </w:rPr>
      </w:pPr>
    </w:p>
    <w:p w14:paraId="37CADD2B" w14:textId="112FC501" w:rsidR="0070229D" w:rsidRPr="0070229D" w:rsidRDefault="0070229D" w:rsidP="00093DA9">
      <w:pPr>
        <w:keepNext/>
        <w:spacing w:line="360" w:lineRule="auto"/>
        <w:textAlignment w:val="baseline"/>
        <w:rPr>
          <w:rFonts w:ascii="Calibri" w:eastAsia="Times New Roman" w:hAnsi="Calibri" w:cs="Calibri"/>
          <w:b/>
          <w:bCs/>
        </w:rPr>
      </w:pPr>
      <w:r w:rsidRPr="0070229D">
        <w:rPr>
          <w:rFonts w:ascii="Calibri" w:eastAsia="Times New Roman" w:hAnsi="Calibri" w:cs="Calibri"/>
          <w:b/>
          <w:bCs/>
        </w:rPr>
        <w:lastRenderedPageBreak/>
        <w:t>Diffe</w:t>
      </w:r>
      <w:r w:rsidR="00B60F4E">
        <w:rPr>
          <w:rFonts w:ascii="Calibri" w:eastAsia="Times New Roman" w:hAnsi="Calibri" w:cs="Calibri"/>
          <w:b/>
          <w:bCs/>
        </w:rPr>
        <w:t>ring</w:t>
      </w:r>
      <w:r w:rsidRPr="0070229D">
        <w:rPr>
          <w:rFonts w:ascii="Calibri" w:eastAsia="Times New Roman" w:hAnsi="Calibri" w:cs="Calibri"/>
          <w:b/>
          <w:bCs/>
        </w:rPr>
        <w:t xml:space="preserve"> Legal Mandates</w:t>
      </w:r>
    </w:p>
    <w:p w14:paraId="462AF386" w14:textId="77777777" w:rsidR="002B2F4F" w:rsidRDefault="006C2493" w:rsidP="002B2F4F">
      <w:pPr>
        <w:spacing w:line="360" w:lineRule="auto"/>
        <w:textAlignment w:val="baseline"/>
        <w:rPr>
          <w:rFonts w:ascii="Calibri" w:eastAsia="Times New Roman" w:hAnsi="Calibri" w:cs="Calibri"/>
        </w:rPr>
      </w:pPr>
      <w:r w:rsidRPr="006C2493">
        <w:rPr>
          <w:rFonts w:ascii="Calibri" w:eastAsia="Times New Roman" w:hAnsi="Calibri" w:cs="Calibri"/>
        </w:rPr>
        <w:t>Joint investigations also raise legal challenges, because legal constraints for public health and criminal investigations differ. The U.S. Supreme Court has steadfastly upheld the broad powers of the state to protect its citizens from threats to public health.</w:t>
      </w:r>
      <w:r w:rsidR="002B2F4F">
        <w:rPr>
          <w:rStyle w:val="FootnoteReference"/>
          <w:rFonts w:ascii="Calibri" w:eastAsia="Times New Roman" w:hAnsi="Calibri" w:cs="Calibri"/>
        </w:rPr>
        <w:footnoteReference w:id="26"/>
      </w:r>
      <w:r w:rsidR="002B2F4F">
        <w:rPr>
          <w:rFonts w:ascii="Calibri" w:eastAsia="Times New Roman" w:hAnsi="Calibri" w:cs="Calibri"/>
          <w:bdr w:val="none" w:sz="0" w:space="0" w:color="auto" w:frame="1"/>
        </w:rPr>
        <w:t xml:space="preserve"> </w:t>
      </w:r>
      <w:r w:rsidRPr="006C2493">
        <w:rPr>
          <w:rFonts w:ascii="Calibri" w:eastAsia="Times New Roman" w:hAnsi="Calibri" w:cs="Calibri"/>
        </w:rPr>
        <w:t>These powers grant public health agencies wide latitude in conducting investigations, including the authority to access detailed and sensitive health information about individuals and their contacts and to obtain biological specimens for testing when necessary to prevent and control disease outbreak or other public health threats.</w:t>
      </w:r>
      <w:r w:rsidR="002B2F4F">
        <w:rPr>
          <w:rStyle w:val="FootnoteReference"/>
          <w:rFonts w:ascii="Calibri" w:eastAsia="Times New Roman" w:hAnsi="Calibri" w:cs="Calibri"/>
        </w:rPr>
        <w:footnoteReference w:id="27"/>
      </w:r>
      <w:r w:rsidR="002B2F4F">
        <w:rPr>
          <w:rFonts w:ascii="Calibri" w:eastAsia="Times New Roman" w:hAnsi="Calibri" w:cs="Calibri"/>
          <w:bdr w:val="none" w:sz="0" w:space="0" w:color="auto" w:frame="1"/>
        </w:rPr>
        <w:t xml:space="preserve"> </w:t>
      </w:r>
      <w:r w:rsidRPr="006C2493">
        <w:rPr>
          <w:rFonts w:ascii="Calibri" w:eastAsia="Times New Roman" w:hAnsi="Calibri" w:cs="Calibri"/>
        </w:rPr>
        <w:t>In contrast, law enforcement is subject to constitutional constraints that limit the state's powers to prosecute and punish individuals for crimes.</w:t>
      </w:r>
      <w:r w:rsidR="002B2F4F">
        <w:rPr>
          <w:rStyle w:val="FootnoteReference"/>
          <w:rFonts w:ascii="Calibri" w:eastAsia="Times New Roman" w:hAnsi="Calibri" w:cs="Calibri"/>
        </w:rPr>
        <w:footnoteReference w:id="28"/>
      </w:r>
    </w:p>
    <w:p w14:paraId="71EA33BD" w14:textId="77777777" w:rsidR="002B2F4F" w:rsidRDefault="002B2F4F" w:rsidP="002B2F4F">
      <w:pPr>
        <w:spacing w:line="360" w:lineRule="auto"/>
        <w:textAlignment w:val="baseline"/>
        <w:rPr>
          <w:rFonts w:ascii="Calibri" w:eastAsia="Times New Roman" w:hAnsi="Calibri" w:cs="Calibri"/>
        </w:rPr>
      </w:pPr>
    </w:p>
    <w:p w14:paraId="2608B793" w14:textId="77777777" w:rsidR="00716224" w:rsidRDefault="006C2493" w:rsidP="00716224">
      <w:pPr>
        <w:spacing w:line="360" w:lineRule="auto"/>
        <w:textAlignment w:val="baseline"/>
        <w:rPr>
          <w:rFonts w:ascii="Calibri" w:eastAsia="Times New Roman" w:hAnsi="Calibri" w:cs="Calibri"/>
        </w:rPr>
      </w:pPr>
      <w:r w:rsidRPr="006C2493">
        <w:rPr>
          <w:rFonts w:ascii="Calibri" w:eastAsia="Times New Roman" w:hAnsi="Calibri" w:cs="Calibri"/>
        </w:rPr>
        <w:t>Successful prosecution of the perpetrators of crimes that use biologic or chemical agents requires admissible evidence. In gathering evidence, the government must comply with the Fourth Amendment prohibition against unreasonable searches and seizures and the Fifth Amendment privilege against self-incrimination. It must also collect and process evidence with a proper chain of custody so that it can be authenticated by an expert and admitted into evidence. Evidence that is not obtained, handled, and secured to meet standards for criminal prosecution may be excluded from trial.</w:t>
      </w:r>
    </w:p>
    <w:p w14:paraId="751B363B" w14:textId="77777777" w:rsidR="00716224" w:rsidRDefault="00716224" w:rsidP="00716224">
      <w:pPr>
        <w:spacing w:line="360" w:lineRule="auto"/>
        <w:textAlignment w:val="baseline"/>
        <w:rPr>
          <w:rFonts w:ascii="Calibri" w:eastAsia="Times New Roman" w:hAnsi="Calibri" w:cs="Calibri"/>
        </w:rPr>
      </w:pPr>
    </w:p>
    <w:p w14:paraId="7385D5D1" w14:textId="77777777" w:rsidR="00815EE9" w:rsidRDefault="006C2493" w:rsidP="00815EE9">
      <w:pPr>
        <w:spacing w:line="360" w:lineRule="auto"/>
        <w:textAlignment w:val="baseline"/>
        <w:rPr>
          <w:rFonts w:ascii="Calibri" w:eastAsia="Times New Roman" w:hAnsi="Calibri" w:cs="Calibri"/>
        </w:rPr>
      </w:pPr>
      <w:r w:rsidRPr="006C2493">
        <w:rPr>
          <w:rFonts w:ascii="Calibri" w:eastAsia="Times New Roman" w:hAnsi="Calibri" w:cs="Calibri"/>
        </w:rPr>
        <w:t>In the context of bioterrorism, the presence of ill persons may be the first sign of an attack; criminal intent may be unclear or may not be immediately apparent. At the onset of the first anthrax attack in 2001, a Florida media company's employee's symptoms triggered only a public health investigation.</w:t>
      </w:r>
      <w:r w:rsidR="003E27FB">
        <w:rPr>
          <w:rStyle w:val="FootnoteReference"/>
          <w:rFonts w:ascii="Calibri" w:eastAsia="Times New Roman" w:hAnsi="Calibri" w:cs="Calibri"/>
        </w:rPr>
        <w:footnoteReference w:id="29"/>
      </w:r>
      <w:r w:rsidR="003E27FB">
        <w:rPr>
          <w:rFonts w:ascii="Calibri" w:eastAsia="Times New Roman" w:hAnsi="Calibri" w:cs="Calibri"/>
          <w:bdr w:val="none" w:sz="0" w:space="0" w:color="auto" w:frame="1"/>
        </w:rPr>
        <w:t xml:space="preserve"> </w:t>
      </w:r>
      <w:r w:rsidRPr="006C2493">
        <w:rPr>
          <w:rFonts w:ascii="Calibri" w:eastAsia="Times New Roman" w:hAnsi="Calibri" w:cs="Calibri"/>
        </w:rPr>
        <w:t xml:space="preserve">But when findings strongly suggested a deliberate and criminal act, the public health investigation was </w:t>
      </w:r>
      <w:r w:rsidRPr="006C2493">
        <w:rPr>
          <w:rFonts w:ascii="Calibri" w:eastAsia="Times New Roman" w:hAnsi="Calibri" w:cs="Calibri"/>
        </w:rPr>
        <w:lastRenderedPageBreak/>
        <w:t>joined by a criminal investigation.</w:t>
      </w:r>
      <w:r w:rsidR="00815EE9">
        <w:rPr>
          <w:rStyle w:val="FootnoteReference"/>
          <w:rFonts w:ascii="Calibri" w:eastAsia="Times New Roman" w:hAnsi="Calibri" w:cs="Calibri"/>
        </w:rPr>
        <w:footnoteReference w:id="30"/>
      </w:r>
      <w:r w:rsidR="00815EE9">
        <w:rPr>
          <w:rFonts w:ascii="Calibri" w:eastAsia="Times New Roman" w:hAnsi="Calibri" w:cs="Calibri"/>
        </w:rPr>
        <w:t xml:space="preserve"> </w:t>
      </w:r>
      <w:r w:rsidRPr="006C2493">
        <w:rPr>
          <w:rFonts w:ascii="Calibri" w:eastAsia="Times New Roman" w:hAnsi="Calibri" w:cs="Calibri"/>
        </w:rPr>
        <w:t>Because public health officials typically do not investigate criminal activity, a delayed criminal investigation may mean that public health agencies have already obtained statements, collected evidence, and tested specimens, all of which may be legally inadmissible or lacking information relevant to law enforcement for criminal prosecution.</w:t>
      </w:r>
    </w:p>
    <w:p w14:paraId="78F52A07" w14:textId="77777777" w:rsidR="00815EE9" w:rsidRDefault="00815EE9" w:rsidP="00815EE9">
      <w:pPr>
        <w:spacing w:line="360" w:lineRule="auto"/>
        <w:textAlignment w:val="baseline"/>
        <w:rPr>
          <w:rFonts w:ascii="Calibri" w:eastAsia="Times New Roman" w:hAnsi="Calibri" w:cs="Calibri"/>
        </w:rPr>
      </w:pPr>
    </w:p>
    <w:p w14:paraId="0A77714B" w14:textId="61B2C1CC" w:rsidR="006C2493" w:rsidRPr="006C2493" w:rsidRDefault="006C2493" w:rsidP="00815EE9">
      <w:pPr>
        <w:spacing w:line="360" w:lineRule="auto"/>
        <w:textAlignment w:val="baseline"/>
        <w:rPr>
          <w:rFonts w:ascii="Calibri" w:eastAsia="Times New Roman" w:hAnsi="Calibri" w:cs="Calibri"/>
        </w:rPr>
      </w:pPr>
      <w:r w:rsidRPr="006C2493">
        <w:rPr>
          <w:rFonts w:ascii="Calibri" w:eastAsia="Times New Roman" w:hAnsi="Calibri" w:cs="Calibri"/>
        </w:rPr>
        <w:t xml:space="preserve">CDC and the Department of Justice </w:t>
      </w:r>
      <w:r w:rsidR="00020728">
        <w:rPr>
          <w:rFonts w:ascii="Calibri" w:eastAsia="Times New Roman" w:hAnsi="Calibri" w:cs="Calibri"/>
        </w:rPr>
        <w:t xml:space="preserve">have jointly developed </w:t>
      </w:r>
      <w:r w:rsidRPr="006C2493">
        <w:rPr>
          <w:rFonts w:ascii="Calibri" w:eastAsia="Times New Roman" w:hAnsi="Calibri" w:cs="Calibri"/>
        </w:rPr>
        <w:t>a framework, action steps, and tools to strengthen collaboration between public health and law enforcement while minimizing the challenges. These include:</w:t>
      </w:r>
    </w:p>
    <w:p w14:paraId="2341FD93" w14:textId="400AD662" w:rsidR="006C2493" w:rsidRPr="006C2493" w:rsidRDefault="006C2493" w:rsidP="00764111">
      <w:pPr>
        <w:numPr>
          <w:ilvl w:val="0"/>
          <w:numId w:val="10"/>
        </w:numPr>
        <w:spacing w:after="120" w:line="360" w:lineRule="auto"/>
        <w:textAlignment w:val="baseline"/>
        <w:rPr>
          <w:rFonts w:ascii="Calibri" w:eastAsia="Times New Roman" w:hAnsi="Calibri" w:cs="Calibri"/>
        </w:rPr>
      </w:pPr>
      <w:r w:rsidRPr="006C2493">
        <w:rPr>
          <w:rFonts w:ascii="Calibri" w:eastAsia="Times New Roman" w:hAnsi="Calibri" w:cs="Calibri"/>
        </w:rPr>
        <w:t>"A Framework for Improving Cross-Sector Coordination for Emergency Preparedness and Response"</w:t>
      </w:r>
      <w:r w:rsidR="00815EE9">
        <w:rPr>
          <w:rStyle w:val="FootnoteReference"/>
          <w:rFonts w:ascii="Calibri" w:eastAsia="Times New Roman" w:hAnsi="Calibri" w:cs="Calibri"/>
        </w:rPr>
        <w:footnoteReference w:id="31"/>
      </w:r>
    </w:p>
    <w:p w14:paraId="35A9B423" w14:textId="23B3700A" w:rsidR="006C2493" w:rsidRPr="006C2493" w:rsidRDefault="006C2493" w:rsidP="00764111">
      <w:pPr>
        <w:numPr>
          <w:ilvl w:val="0"/>
          <w:numId w:val="10"/>
        </w:numPr>
        <w:spacing w:after="120" w:line="360" w:lineRule="auto"/>
        <w:textAlignment w:val="baseline"/>
        <w:rPr>
          <w:rFonts w:ascii="Calibri" w:eastAsia="Times New Roman" w:hAnsi="Calibri" w:cs="Calibri"/>
        </w:rPr>
      </w:pPr>
      <w:r w:rsidRPr="006C2493">
        <w:rPr>
          <w:rFonts w:ascii="Calibri" w:eastAsia="Times New Roman" w:hAnsi="Calibri" w:cs="Calibri"/>
        </w:rPr>
        <w:t>"Coordinated Implementation of Community Response Measures (Including Social Distancing) to Control the Spread of Pandemic Respiratory Disease: A Guide for Developing a Memorandum of Understanding for Public Health, Law Enforcement, Corrections, and the Judiciary"</w:t>
      </w:r>
      <w:r w:rsidR="00815EE9">
        <w:rPr>
          <w:rStyle w:val="FootnoteReference"/>
          <w:rFonts w:ascii="Calibri" w:eastAsia="Times New Roman" w:hAnsi="Calibri" w:cs="Calibri"/>
        </w:rPr>
        <w:footnoteReference w:id="32"/>
      </w:r>
    </w:p>
    <w:p w14:paraId="4A708459" w14:textId="0328E308" w:rsidR="006C2493" w:rsidRDefault="006C2493" w:rsidP="003E7BAF">
      <w:pPr>
        <w:numPr>
          <w:ilvl w:val="0"/>
          <w:numId w:val="10"/>
        </w:numPr>
        <w:spacing w:line="360" w:lineRule="auto"/>
        <w:textAlignment w:val="baseline"/>
        <w:rPr>
          <w:rFonts w:ascii="Calibri" w:eastAsia="Times New Roman" w:hAnsi="Calibri" w:cs="Calibri"/>
        </w:rPr>
      </w:pPr>
      <w:r w:rsidRPr="006C2493">
        <w:rPr>
          <w:rFonts w:ascii="Calibri" w:eastAsia="Times New Roman" w:hAnsi="Calibri" w:cs="Calibri"/>
        </w:rPr>
        <w:t>"Joint Public Health-Law Enforcement Investigations</w:t>
      </w:r>
      <w:r w:rsidR="00A06BC8">
        <w:rPr>
          <w:rFonts w:ascii="Calibri" w:eastAsia="Times New Roman" w:hAnsi="Calibri" w:cs="Calibri"/>
        </w:rPr>
        <w:t xml:space="preserve">: Model Memorandum of </w:t>
      </w:r>
      <w:r w:rsidR="00907F44">
        <w:rPr>
          <w:rFonts w:ascii="Calibri" w:eastAsia="Times New Roman" w:hAnsi="Calibri" w:cs="Calibri"/>
        </w:rPr>
        <w:t>Understanding</w:t>
      </w:r>
      <w:r w:rsidR="00E13D87">
        <w:rPr>
          <w:rFonts w:ascii="Calibri" w:eastAsia="Times New Roman" w:hAnsi="Calibri" w:cs="Calibri"/>
        </w:rPr>
        <w:t>”</w:t>
      </w:r>
      <w:r w:rsidR="008468C9">
        <w:rPr>
          <w:rFonts w:ascii="Calibri" w:eastAsia="Times New Roman" w:hAnsi="Calibri" w:cs="Calibri"/>
        </w:rPr>
        <w:t xml:space="preserve"> </w:t>
      </w:r>
      <w:r w:rsidR="00815EE9">
        <w:rPr>
          <w:rStyle w:val="FootnoteReference"/>
          <w:rFonts w:ascii="Calibri" w:eastAsia="Times New Roman" w:hAnsi="Calibri" w:cs="Calibri"/>
        </w:rPr>
        <w:footnoteReference w:id="33"/>
      </w:r>
    </w:p>
    <w:p w14:paraId="529A682C" w14:textId="77777777" w:rsidR="003E7BAF" w:rsidRPr="004F40C9" w:rsidRDefault="003E7BAF" w:rsidP="003E7BAF">
      <w:pPr>
        <w:spacing w:line="360" w:lineRule="auto"/>
        <w:textAlignment w:val="baseline"/>
        <w:rPr>
          <w:rFonts w:ascii="Calibri" w:eastAsia="Times New Roman" w:hAnsi="Calibri" w:cs="Calibri"/>
        </w:rPr>
      </w:pPr>
    </w:p>
    <w:p w14:paraId="2B274E96" w14:textId="6A3A3014" w:rsidR="002952B7" w:rsidRDefault="006C2493" w:rsidP="003E7BAF">
      <w:pPr>
        <w:spacing w:after="120" w:line="360" w:lineRule="auto"/>
        <w:textAlignment w:val="baseline"/>
        <w:rPr>
          <w:rFonts w:ascii="Calibri" w:eastAsia="Times New Roman" w:hAnsi="Calibri" w:cs="Calibri"/>
        </w:rPr>
      </w:pPr>
      <w:r w:rsidRPr="004F40C9">
        <w:rPr>
          <w:rFonts w:ascii="Calibri" w:eastAsia="Times New Roman" w:hAnsi="Calibri" w:cs="Calibri"/>
        </w:rPr>
        <w:t>Joint investigative training can develop effective work relationships between public health and law enforcement, promote an understanding of investigative methods, and facilitate communication and information exchange. CDC, in partnership with other agencies and organizations, developed "</w:t>
      </w:r>
      <w:bookmarkStart w:id="1" w:name="_GoBack"/>
      <w:bookmarkEnd w:id="1"/>
      <w:r w:rsidRPr="004F40C9">
        <w:rPr>
          <w:rFonts w:ascii="Calibri" w:eastAsia="Times New Roman" w:hAnsi="Calibri" w:cs="Calibri"/>
        </w:rPr>
        <w:t>Forensic Epidemiology," a module for the joint training of law enforcement and public health officials.</w:t>
      </w:r>
      <w:r w:rsidR="00815EE9">
        <w:rPr>
          <w:rStyle w:val="FootnoteReference"/>
          <w:rFonts w:ascii="Calibri" w:eastAsia="Times New Roman" w:hAnsi="Calibri" w:cs="Calibri"/>
        </w:rPr>
        <w:footnoteReference w:id="34"/>
      </w:r>
      <w:r w:rsidR="00815EE9">
        <w:rPr>
          <w:rFonts w:ascii="Calibri" w:eastAsia="Times New Roman" w:hAnsi="Calibri" w:cs="Calibri"/>
          <w:bdr w:val="none" w:sz="0" w:space="0" w:color="auto" w:frame="1"/>
          <w:vertAlign w:val="superscript"/>
        </w:rPr>
        <w:t xml:space="preserve"> </w:t>
      </w:r>
      <w:r w:rsidRPr="004F40C9">
        <w:rPr>
          <w:rFonts w:ascii="Calibri" w:eastAsia="Times New Roman" w:hAnsi="Calibri" w:cs="Calibri"/>
        </w:rPr>
        <w:t xml:space="preserve">Public health and law enforcement are also encouraged to consult investigation manuals, including the FBI-CDC </w:t>
      </w:r>
      <w:r w:rsidRPr="004F40C9">
        <w:rPr>
          <w:rFonts w:ascii="Calibri" w:eastAsia="Times New Roman" w:hAnsi="Calibri" w:cs="Calibri"/>
        </w:rPr>
        <w:lastRenderedPageBreak/>
        <w:t>"Criminal and Epidemiological Investigation Handbook"</w:t>
      </w:r>
      <w:r w:rsidR="00812856">
        <w:rPr>
          <w:rFonts w:ascii="Calibri" w:eastAsia="Times New Roman" w:hAnsi="Calibri" w:cs="Calibri"/>
        </w:rPr>
        <w:t xml:space="preserve"> (</w:t>
      </w:r>
      <w:r w:rsidR="00075209">
        <w:rPr>
          <w:rFonts w:ascii="Calibri" w:eastAsia="Times New Roman" w:hAnsi="Calibri" w:cs="Calibri"/>
        </w:rPr>
        <w:t xml:space="preserve">separate handbooks for </w:t>
      </w:r>
      <w:r w:rsidR="00B574FE">
        <w:rPr>
          <w:rFonts w:ascii="Calibri" w:eastAsia="Times New Roman" w:hAnsi="Calibri" w:cs="Calibri"/>
        </w:rPr>
        <w:t>domestic and international events.)</w:t>
      </w:r>
      <w:r w:rsidR="00815EE9">
        <w:rPr>
          <w:rStyle w:val="FootnoteReference"/>
          <w:rFonts w:ascii="Calibri" w:eastAsia="Times New Roman" w:hAnsi="Calibri" w:cs="Calibri"/>
        </w:rPr>
        <w:footnoteReference w:id="35"/>
      </w:r>
    </w:p>
    <w:p w14:paraId="731C0964" w14:textId="77777777" w:rsidR="00D10874" w:rsidRDefault="00D10874" w:rsidP="00C43736">
      <w:pPr>
        <w:spacing w:line="360" w:lineRule="auto"/>
        <w:rPr>
          <w:rFonts w:ascii="Calibri" w:eastAsia="Times New Roman" w:hAnsi="Calibri" w:cs="Calibri"/>
          <w:b/>
          <w:bCs/>
        </w:rPr>
      </w:pPr>
    </w:p>
    <w:p w14:paraId="340A7E03" w14:textId="7520EB82" w:rsidR="00C43736" w:rsidRPr="00CA688B" w:rsidRDefault="006C2493" w:rsidP="00C43736">
      <w:pPr>
        <w:spacing w:line="360" w:lineRule="auto"/>
        <w:rPr>
          <w:rFonts w:ascii="Calibri" w:eastAsia="Times New Roman" w:hAnsi="Calibri" w:cs="Calibri"/>
          <w:b/>
          <w:bCs/>
          <w:sz w:val="24"/>
          <w:szCs w:val="24"/>
        </w:rPr>
      </w:pPr>
      <w:r w:rsidRPr="00CA688B">
        <w:rPr>
          <w:rFonts w:ascii="Calibri" w:eastAsia="Times New Roman" w:hAnsi="Calibri" w:cs="Calibri"/>
          <w:b/>
          <w:bCs/>
          <w:sz w:val="24"/>
          <w:szCs w:val="24"/>
        </w:rPr>
        <w:t>I</w:t>
      </w:r>
      <w:r w:rsidR="005D2A20" w:rsidRPr="00CA688B">
        <w:rPr>
          <w:rFonts w:ascii="Calibri" w:eastAsia="Times New Roman" w:hAnsi="Calibri" w:cs="Calibri"/>
          <w:b/>
          <w:bCs/>
          <w:sz w:val="24"/>
          <w:szCs w:val="24"/>
        </w:rPr>
        <w:t>II</w:t>
      </w:r>
      <w:r w:rsidRPr="00CA688B">
        <w:rPr>
          <w:rFonts w:ascii="Calibri" w:eastAsia="Times New Roman" w:hAnsi="Calibri" w:cs="Calibri"/>
          <w:b/>
          <w:bCs/>
          <w:sz w:val="24"/>
          <w:szCs w:val="24"/>
        </w:rPr>
        <w:t>. Public Health Investigations, Information Sharing, and U.S. Constitutional Rights</w:t>
      </w:r>
      <w:r w:rsidR="00C43736" w:rsidRPr="00CA688B">
        <w:rPr>
          <w:rFonts w:ascii="Calibri" w:eastAsia="Times New Roman" w:hAnsi="Calibri" w:cs="Calibri"/>
          <w:b/>
          <w:bCs/>
          <w:sz w:val="24"/>
          <w:szCs w:val="24"/>
        </w:rPr>
        <w:t xml:space="preserve">  </w:t>
      </w:r>
    </w:p>
    <w:p w14:paraId="533042F8" w14:textId="31EC38DB" w:rsidR="006C2493" w:rsidRDefault="006C2493" w:rsidP="00C43736">
      <w:pPr>
        <w:spacing w:line="360" w:lineRule="auto"/>
        <w:rPr>
          <w:rFonts w:ascii="Calibri" w:eastAsia="Times New Roman" w:hAnsi="Calibri" w:cs="Calibri"/>
        </w:rPr>
      </w:pPr>
      <w:r w:rsidRPr="006C2493">
        <w:rPr>
          <w:rFonts w:ascii="Calibri" w:eastAsia="Times New Roman" w:hAnsi="Calibri" w:cs="Calibri"/>
        </w:rPr>
        <w:t>The U.S. Constitution creates fundamental rights to protect individuals from arbitrary actions by the government. As noted above, these fundamental rights include the Fourth Amendment prohibition against unreasonable searches and seizures and the Fifth Amendment protection of the accused against self-incrimination. If evidence is obtained in violation of these rights, it may be inadmissible in a criminal prosecution. Further, to be admissible, the chain of custody of evidence must be documented to link this evidence to the scene of the crime. When working with law enforcement, public health officials must understand their legal authority and limits to ensure individual rights are protected and criminal investigations are not compromised.</w:t>
      </w:r>
    </w:p>
    <w:p w14:paraId="4E4DEA5F" w14:textId="77777777" w:rsidR="00397C48" w:rsidRPr="00C43736" w:rsidRDefault="00397C48" w:rsidP="00C43736">
      <w:pPr>
        <w:spacing w:line="360" w:lineRule="auto"/>
        <w:rPr>
          <w:rFonts w:ascii="Calibri" w:eastAsia="Times New Roman" w:hAnsi="Calibri" w:cs="Calibri"/>
          <w:b/>
          <w:bCs/>
        </w:rPr>
      </w:pPr>
    </w:p>
    <w:p w14:paraId="5B57C6C4" w14:textId="77777777" w:rsidR="00397C48" w:rsidRDefault="006C2493" w:rsidP="00397C48">
      <w:pPr>
        <w:spacing w:line="360" w:lineRule="auto"/>
        <w:rPr>
          <w:rFonts w:ascii="Calibri" w:eastAsia="Times New Roman" w:hAnsi="Calibri" w:cs="Calibri"/>
          <w:b/>
          <w:bCs/>
        </w:rPr>
      </w:pPr>
      <w:r w:rsidRPr="006C2493">
        <w:rPr>
          <w:rFonts w:ascii="Calibri" w:eastAsia="Times New Roman" w:hAnsi="Calibri" w:cs="Calibri"/>
          <w:b/>
          <w:bCs/>
        </w:rPr>
        <w:t>Fourth Amendment Prohibition on Unreasonable Searches and Seizures</w:t>
      </w:r>
    </w:p>
    <w:p w14:paraId="1527C28E" w14:textId="77777777" w:rsidR="00633987" w:rsidRDefault="006C2493" w:rsidP="00074148">
      <w:pPr>
        <w:spacing w:after="120" w:line="360" w:lineRule="auto"/>
        <w:rPr>
          <w:rFonts w:ascii="Calibri" w:eastAsia="Times New Roman" w:hAnsi="Calibri" w:cs="Calibri"/>
          <w:b/>
          <w:bCs/>
        </w:rPr>
      </w:pPr>
      <w:r w:rsidRPr="006C2493">
        <w:rPr>
          <w:rFonts w:ascii="Calibri" w:eastAsia="Times New Roman" w:hAnsi="Calibri" w:cs="Calibri"/>
        </w:rPr>
        <w:t>In gathering evidence, the government must comply with the Fourth Amendment warrant requirements or meet an exception. The Fourth Amendment, which is enforceable against the states through the Fourteenth Amendment, provides:</w:t>
      </w:r>
    </w:p>
    <w:p w14:paraId="60345A7F" w14:textId="65717C7A" w:rsidR="003E4441" w:rsidRDefault="006C2493" w:rsidP="00093DA9">
      <w:pPr>
        <w:spacing w:after="120" w:line="360" w:lineRule="auto"/>
        <w:ind w:left="1440" w:right="576"/>
        <w:rPr>
          <w:rFonts w:ascii="Calibri" w:eastAsia="Times New Roman" w:hAnsi="Calibri" w:cs="Calibri"/>
          <w:b/>
          <w:bCs/>
        </w:rPr>
      </w:pPr>
      <w:r w:rsidRPr="006C2493">
        <w:rPr>
          <w:rFonts w:ascii="Calibri" w:eastAsia="Times New Roman" w:hAnsi="Calibri" w:cs="Calibri"/>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67924F1F" w14:textId="77777777" w:rsidR="005D3307" w:rsidRDefault="006C2493" w:rsidP="005D3307">
      <w:pPr>
        <w:spacing w:line="360" w:lineRule="auto"/>
        <w:rPr>
          <w:rFonts w:ascii="Calibri" w:eastAsia="Times New Roman" w:hAnsi="Calibri" w:cs="Calibri"/>
          <w:b/>
          <w:bCs/>
        </w:rPr>
      </w:pPr>
      <w:r w:rsidRPr="006C2493">
        <w:rPr>
          <w:rFonts w:ascii="Calibri" w:eastAsia="Times New Roman" w:hAnsi="Calibri" w:cs="Calibri"/>
        </w:rPr>
        <w:t>A search occurs when government action infringes upon an expectation of privacy that society recognizes as reasonable-for example, an individual's expectation of privacy in their home, business, vehicle, and person. Searches also include the collection and subsequent analysis of biological samples.</w:t>
      </w:r>
      <w:r w:rsidR="003E4441">
        <w:rPr>
          <w:rStyle w:val="FootnoteReference"/>
          <w:rFonts w:ascii="Calibri" w:eastAsia="Times New Roman" w:hAnsi="Calibri" w:cs="Calibri"/>
        </w:rPr>
        <w:footnoteReference w:id="36"/>
      </w:r>
      <w:r w:rsidR="003E4441">
        <w:rPr>
          <w:rFonts w:ascii="Calibri" w:eastAsia="Times New Roman" w:hAnsi="Calibri" w:cs="Calibri"/>
          <w:bdr w:val="none" w:sz="0" w:space="0" w:color="auto" w:frame="1"/>
          <w:vertAlign w:val="superscript"/>
        </w:rPr>
        <w:t xml:space="preserve"> </w:t>
      </w:r>
      <w:r w:rsidRPr="006C2493">
        <w:rPr>
          <w:rFonts w:ascii="Calibri" w:eastAsia="Times New Roman" w:hAnsi="Calibri" w:cs="Calibri"/>
        </w:rPr>
        <w:t xml:space="preserve">A seizure occurs when government action meaningfully interferes with an individual's possessory interest in property, such as seizure of items that belong to the individual. The basic purpose of this </w:t>
      </w:r>
      <w:r w:rsidRPr="006C2493">
        <w:rPr>
          <w:rFonts w:ascii="Calibri" w:eastAsia="Times New Roman" w:hAnsi="Calibri" w:cs="Calibri"/>
        </w:rPr>
        <w:lastRenderedPageBreak/>
        <w:t>amendment is to safeguard the privacy and security of individuals against arbitrary invasions by governmental officials.</w:t>
      </w:r>
    </w:p>
    <w:p w14:paraId="53F6D8E5" w14:textId="77777777" w:rsidR="005D3307" w:rsidRDefault="005D3307" w:rsidP="005D3307">
      <w:pPr>
        <w:spacing w:line="360" w:lineRule="auto"/>
        <w:rPr>
          <w:rFonts w:ascii="Calibri" w:eastAsia="Times New Roman" w:hAnsi="Calibri" w:cs="Calibri"/>
          <w:b/>
          <w:bCs/>
        </w:rPr>
      </w:pPr>
    </w:p>
    <w:p w14:paraId="7DE736E9" w14:textId="77777777" w:rsidR="00EF1E3D" w:rsidRDefault="006C2493" w:rsidP="00EF1E3D">
      <w:pPr>
        <w:spacing w:line="360" w:lineRule="auto"/>
        <w:rPr>
          <w:rFonts w:ascii="Calibri" w:eastAsia="Times New Roman" w:hAnsi="Calibri" w:cs="Calibri"/>
          <w:b/>
          <w:bCs/>
        </w:rPr>
      </w:pPr>
      <w:r w:rsidRPr="006C2493">
        <w:rPr>
          <w:rFonts w:ascii="Calibri" w:eastAsia="Times New Roman" w:hAnsi="Calibri" w:cs="Calibri"/>
        </w:rPr>
        <w:t>Absent an exception, the Fourth Amendment applies to health and safety inspections and to public health investigations, requiring an administrative warrant. The exception or warrant requirement applies to searches and seizures on both residential and commercial property.</w:t>
      </w:r>
      <w:r w:rsidR="005D3307">
        <w:rPr>
          <w:rStyle w:val="FootnoteReference"/>
          <w:rFonts w:ascii="Calibri" w:eastAsia="Times New Roman" w:hAnsi="Calibri" w:cs="Calibri"/>
        </w:rPr>
        <w:footnoteReference w:id="37"/>
      </w:r>
      <w:r w:rsidR="005D3307">
        <w:rPr>
          <w:rFonts w:ascii="Calibri" w:eastAsia="Times New Roman" w:hAnsi="Calibri" w:cs="Calibri"/>
          <w:bdr w:val="none" w:sz="0" w:space="0" w:color="auto" w:frame="1"/>
        </w:rPr>
        <w:t xml:space="preserve"> </w:t>
      </w:r>
      <w:r w:rsidRPr="006C2493">
        <w:rPr>
          <w:rFonts w:ascii="Calibri" w:eastAsia="Times New Roman" w:hAnsi="Calibri" w:cs="Calibri"/>
        </w:rPr>
        <w:t xml:space="preserve">However, the standard for an administrative warrant is not as high as it is for criminal investigations. In administrative searches, probable cause is supported not by the traditional definition of likelihood to believe that evidence of a </w:t>
      </w:r>
      <w:r w:rsidRPr="00093DA9">
        <w:rPr>
          <w:rFonts w:ascii="Calibri" w:eastAsia="Times New Roman" w:hAnsi="Calibri" w:cs="Calibri"/>
        </w:rPr>
        <w:t>crime will be found in the area to be searched, but rather by reasonable legislative or administrative standards</w:t>
      </w:r>
      <w:r w:rsidRPr="006C2493">
        <w:rPr>
          <w:rFonts w:ascii="Calibri" w:eastAsia="Times New Roman" w:hAnsi="Calibri" w:cs="Calibri"/>
        </w:rPr>
        <w:t xml:space="preserve"> for conducting an area search with respect to a particular dwelling.</w:t>
      </w:r>
      <w:r w:rsidR="00EF1E3D">
        <w:rPr>
          <w:rStyle w:val="FootnoteReference"/>
          <w:rFonts w:ascii="Calibri" w:eastAsia="Times New Roman" w:hAnsi="Calibri" w:cs="Calibri"/>
        </w:rPr>
        <w:footnoteReference w:id="38"/>
      </w:r>
      <w:r w:rsidR="00EF1E3D">
        <w:rPr>
          <w:rFonts w:ascii="Calibri" w:eastAsia="Times New Roman" w:hAnsi="Calibri" w:cs="Calibri"/>
          <w:bdr w:val="none" w:sz="0" w:space="0" w:color="auto" w:frame="1"/>
        </w:rPr>
        <w:t xml:space="preserve"> </w:t>
      </w:r>
    </w:p>
    <w:p w14:paraId="6F45C3C0" w14:textId="77777777" w:rsidR="00EF1E3D" w:rsidRDefault="00EF1E3D" w:rsidP="00EF1E3D">
      <w:pPr>
        <w:spacing w:line="360" w:lineRule="auto"/>
        <w:rPr>
          <w:rFonts w:ascii="Calibri" w:eastAsia="Times New Roman" w:hAnsi="Calibri" w:cs="Calibri"/>
          <w:b/>
          <w:bCs/>
        </w:rPr>
      </w:pPr>
    </w:p>
    <w:p w14:paraId="3198A814" w14:textId="7D2A4693" w:rsidR="00261D34" w:rsidRDefault="006C2493" w:rsidP="00261D34">
      <w:pPr>
        <w:spacing w:line="360" w:lineRule="auto"/>
        <w:rPr>
          <w:rFonts w:ascii="Calibri" w:eastAsia="Times New Roman" w:hAnsi="Calibri" w:cs="Calibri"/>
          <w:b/>
          <w:bCs/>
        </w:rPr>
      </w:pPr>
      <w:r w:rsidRPr="006C2493">
        <w:rPr>
          <w:rFonts w:ascii="Calibri" w:eastAsia="Times New Roman" w:hAnsi="Calibri" w:cs="Calibri"/>
        </w:rPr>
        <w:t>Evidence found during an administrative search may be admissible in a criminal prosecution if two criteria are met. First, the information must be collected and processed with a proper chain of custody so that it can be authenticated by an expert and admitted into evidence. The chain of custody connects evidence to a crime scene. Since careful handling is also critical to proper epidemiologic investigations, this standard of care should be maintained in all investigations. Second, the evidence must be obtained as part of a legitimate public health investigation.</w:t>
      </w:r>
      <w:r w:rsidR="00EF1E3D">
        <w:rPr>
          <w:rStyle w:val="FootnoteReference"/>
          <w:rFonts w:ascii="Calibri" w:eastAsia="Times New Roman" w:hAnsi="Calibri" w:cs="Calibri"/>
        </w:rPr>
        <w:footnoteReference w:id="39"/>
      </w:r>
      <w:r w:rsidR="00EF1E3D">
        <w:rPr>
          <w:rFonts w:ascii="Calibri" w:eastAsia="Times New Roman" w:hAnsi="Calibri" w:cs="Calibri"/>
          <w:bdr w:val="none" w:sz="0" w:space="0" w:color="auto" w:frame="1"/>
        </w:rPr>
        <w:t xml:space="preserve"> </w:t>
      </w:r>
      <w:r w:rsidRPr="006C2493">
        <w:rPr>
          <w:rFonts w:ascii="Calibri" w:eastAsia="Times New Roman" w:hAnsi="Calibri" w:cs="Calibri"/>
        </w:rPr>
        <w:t>In other words, a public health agency must be acting in its public health capacity. Public health investigations cannot be used as a pretext to gather evidence of criminal activity.</w:t>
      </w:r>
      <w:r w:rsidR="00C54FD1">
        <w:rPr>
          <w:rFonts w:ascii="Calibri" w:eastAsia="Times New Roman" w:hAnsi="Calibri" w:cs="Calibri"/>
          <w:b/>
          <w:bCs/>
        </w:rPr>
        <w:t xml:space="preserve"> </w:t>
      </w:r>
      <w:r w:rsidRPr="006C2493">
        <w:rPr>
          <w:rFonts w:ascii="Calibri" w:eastAsia="Times New Roman" w:hAnsi="Calibri" w:cs="Calibri"/>
        </w:rPr>
        <w:t>Public health professionals must avoid serving as agents to law enforcement, lest they jeopardize both criminal proceedings and the public's trust.</w:t>
      </w:r>
      <w:r w:rsidR="00DA6A2D">
        <w:rPr>
          <w:rFonts w:ascii="Calibri" w:eastAsia="Times New Roman" w:hAnsi="Calibri" w:cs="Calibri"/>
        </w:rPr>
        <w:t xml:space="preserve"> Similarly, law enfor</w:t>
      </w:r>
      <w:r w:rsidR="00966F3A">
        <w:rPr>
          <w:rFonts w:ascii="Calibri" w:eastAsia="Times New Roman" w:hAnsi="Calibri" w:cs="Calibri"/>
        </w:rPr>
        <w:t xml:space="preserve">cement professionals should avoid </w:t>
      </w:r>
      <w:r w:rsidR="004710D8">
        <w:rPr>
          <w:rFonts w:ascii="Calibri" w:eastAsia="Times New Roman" w:hAnsi="Calibri" w:cs="Calibri"/>
        </w:rPr>
        <w:t>undertaking law enforcement actions under the guise of public health progra</w:t>
      </w:r>
      <w:r w:rsidR="00F772BD">
        <w:rPr>
          <w:rFonts w:ascii="Calibri" w:eastAsia="Times New Roman" w:hAnsi="Calibri" w:cs="Calibri"/>
        </w:rPr>
        <w:t>m</w:t>
      </w:r>
      <w:r w:rsidR="004710D8">
        <w:rPr>
          <w:rFonts w:ascii="Calibri" w:eastAsia="Times New Roman" w:hAnsi="Calibri" w:cs="Calibri"/>
        </w:rPr>
        <w:t>m</w:t>
      </w:r>
      <w:r w:rsidR="00F772BD">
        <w:rPr>
          <w:rFonts w:ascii="Calibri" w:eastAsia="Times New Roman" w:hAnsi="Calibri" w:cs="Calibri"/>
        </w:rPr>
        <w:t>ing</w:t>
      </w:r>
      <w:r w:rsidR="006D0E0B">
        <w:rPr>
          <w:rFonts w:ascii="Calibri" w:eastAsia="Times New Roman" w:hAnsi="Calibri" w:cs="Calibri"/>
        </w:rPr>
        <w:t xml:space="preserve"> or messaging</w:t>
      </w:r>
      <w:r w:rsidR="009931D7">
        <w:rPr>
          <w:rFonts w:ascii="Calibri" w:eastAsia="Times New Roman" w:hAnsi="Calibri" w:cs="Calibri"/>
        </w:rPr>
        <w:t>,</w:t>
      </w:r>
      <w:r w:rsidR="00944C36">
        <w:rPr>
          <w:rFonts w:ascii="Calibri" w:eastAsia="Times New Roman" w:hAnsi="Calibri" w:cs="Calibri"/>
        </w:rPr>
        <w:t xml:space="preserve"> which will likewise undermine public trust </w:t>
      </w:r>
      <w:r w:rsidR="00D06A10">
        <w:rPr>
          <w:rFonts w:ascii="Calibri" w:eastAsia="Times New Roman" w:hAnsi="Calibri" w:cs="Calibri"/>
        </w:rPr>
        <w:t xml:space="preserve">and compliance with </w:t>
      </w:r>
      <w:r w:rsidR="00AD5B44">
        <w:rPr>
          <w:rFonts w:ascii="Calibri" w:eastAsia="Times New Roman" w:hAnsi="Calibri" w:cs="Calibri"/>
        </w:rPr>
        <w:t xml:space="preserve">public health </w:t>
      </w:r>
      <w:r w:rsidR="00FE6B05">
        <w:rPr>
          <w:rFonts w:ascii="Calibri" w:eastAsia="Times New Roman" w:hAnsi="Calibri" w:cs="Calibri"/>
        </w:rPr>
        <w:t>activities.</w:t>
      </w:r>
    </w:p>
    <w:p w14:paraId="42A84BA0" w14:textId="77777777" w:rsidR="00261D34" w:rsidRDefault="00261D34" w:rsidP="00261D34">
      <w:pPr>
        <w:spacing w:line="360" w:lineRule="auto"/>
        <w:rPr>
          <w:rFonts w:ascii="Calibri" w:eastAsia="Times New Roman" w:hAnsi="Calibri" w:cs="Calibri"/>
          <w:b/>
          <w:bCs/>
        </w:rPr>
      </w:pPr>
    </w:p>
    <w:p w14:paraId="194C4821" w14:textId="77777777" w:rsidR="009E2AAB" w:rsidRDefault="006C2493" w:rsidP="009E2AAB">
      <w:pPr>
        <w:spacing w:line="360" w:lineRule="auto"/>
        <w:rPr>
          <w:rFonts w:ascii="Calibri" w:eastAsia="Times New Roman" w:hAnsi="Calibri" w:cs="Calibri"/>
          <w:b/>
          <w:bCs/>
        </w:rPr>
      </w:pPr>
      <w:r w:rsidRPr="006C2493">
        <w:rPr>
          <w:rFonts w:ascii="Calibri" w:eastAsia="Times New Roman" w:hAnsi="Calibri" w:cs="Calibri"/>
        </w:rPr>
        <w:t xml:space="preserve">In many investigations, the owner or occupier gives consent for public health investigators to enter and search their premises, to copy records, take specimens or samples for testing, and remove evidence that </w:t>
      </w:r>
      <w:r w:rsidRPr="006C2493">
        <w:rPr>
          <w:rFonts w:ascii="Calibri" w:eastAsia="Times New Roman" w:hAnsi="Calibri" w:cs="Calibri"/>
        </w:rPr>
        <w:lastRenderedPageBreak/>
        <w:t>might be relevant to the public health concern. Knowing and voluntary consent by an individual with actual or apparent authority over the premises to be searched or items to be seized is an exception to the warrant requirement. The search is limited to the scope provided in the consent. Thus, if an individual gives investigators permission to search his room, investigators cannot expand the search to other rooms or the individual's vehicle.</w:t>
      </w:r>
      <w:r w:rsidR="009E2AAB">
        <w:rPr>
          <w:rStyle w:val="FootnoteReference"/>
          <w:rFonts w:ascii="Calibri" w:eastAsia="Times New Roman" w:hAnsi="Calibri" w:cs="Calibri"/>
        </w:rPr>
        <w:footnoteReference w:id="40"/>
      </w:r>
    </w:p>
    <w:p w14:paraId="74996555" w14:textId="77777777" w:rsidR="009E2AAB" w:rsidRDefault="009E2AAB" w:rsidP="009E2AAB">
      <w:pPr>
        <w:spacing w:line="360" w:lineRule="auto"/>
        <w:rPr>
          <w:rFonts w:ascii="Calibri" w:eastAsia="Times New Roman" w:hAnsi="Calibri" w:cs="Calibri"/>
          <w:b/>
          <w:bCs/>
        </w:rPr>
      </w:pPr>
    </w:p>
    <w:p w14:paraId="52977BE9" w14:textId="1E77CA52" w:rsidR="006C2493" w:rsidRPr="009E2AAB" w:rsidRDefault="006C2493" w:rsidP="00093DA9">
      <w:pPr>
        <w:spacing w:after="120" w:line="360" w:lineRule="auto"/>
        <w:rPr>
          <w:rFonts w:ascii="Calibri" w:eastAsia="Times New Roman" w:hAnsi="Calibri" w:cs="Calibri"/>
          <w:b/>
          <w:bCs/>
        </w:rPr>
      </w:pPr>
      <w:r w:rsidRPr="006C2493">
        <w:rPr>
          <w:rFonts w:ascii="Calibri" w:eastAsia="Times New Roman" w:hAnsi="Calibri" w:cs="Calibri"/>
        </w:rPr>
        <w:t>Additional exceptions to the warrant and probable cause requirement might apply to public health inspections and investigations. These include:</w:t>
      </w:r>
    </w:p>
    <w:p w14:paraId="187980C0" w14:textId="1D0FAE26" w:rsidR="006C2493" w:rsidRPr="00360591" w:rsidRDefault="006C2493" w:rsidP="00764111">
      <w:pPr>
        <w:pStyle w:val="ListParagraph"/>
        <w:numPr>
          <w:ilvl w:val="0"/>
          <w:numId w:val="12"/>
        </w:numPr>
        <w:spacing w:line="360" w:lineRule="auto"/>
        <w:ind w:left="360"/>
        <w:textAlignment w:val="baseline"/>
        <w:rPr>
          <w:rFonts w:ascii="Calibri" w:eastAsia="Times New Roman" w:hAnsi="Calibri" w:cs="Calibri"/>
        </w:rPr>
      </w:pPr>
      <w:r w:rsidRPr="00360591">
        <w:rPr>
          <w:rFonts w:ascii="Calibri" w:eastAsia="Times New Roman" w:hAnsi="Calibri" w:cs="Calibri"/>
          <w:b/>
          <w:bCs/>
          <w:bdr w:val="none" w:sz="0" w:space="0" w:color="auto" w:frame="1"/>
        </w:rPr>
        <w:t>Pervasively regulated businesses.</w:t>
      </w:r>
      <w:r w:rsidR="00713DD5">
        <w:rPr>
          <w:rFonts w:ascii="Calibri" w:eastAsia="Times New Roman" w:hAnsi="Calibri" w:cs="Calibri"/>
        </w:rPr>
        <w:t xml:space="preserve"> </w:t>
      </w:r>
      <w:r w:rsidRPr="00360591">
        <w:rPr>
          <w:rFonts w:ascii="Calibri" w:eastAsia="Times New Roman" w:hAnsi="Calibri" w:cs="Calibri"/>
        </w:rPr>
        <w:t>Warrantless searches are permitted of certain industries that have a history of pervasive regulation. The history of government oversight prevents those engaged in these businesses from holding any reasonable expectations of privacy. Most businesses that can endanger the public health, such as food service establishments or health facilities, require a permit or license to operate. Through licensing, these businesses are put on notice that they are subject to warrantless searches during regular business hours as a condition of doing business.</w:t>
      </w:r>
      <w:r w:rsidR="00E4145E">
        <w:rPr>
          <w:rStyle w:val="FootnoteReference"/>
          <w:rFonts w:ascii="Calibri" w:eastAsia="Times New Roman" w:hAnsi="Calibri" w:cs="Calibri"/>
        </w:rPr>
        <w:footnoteReference w:id="41"/>
      </w:r>
    </w:p>
    <w:p w14:paraId="6CAD27C3" w14:textId="77777777" w:rsidR="002952B7" w:rsidRPr="006C2493" w:rsidRDefault="002952B7" w:rsidP="00764111">
      <w:pPr>
        <w:spacing w:line="360" w:lineRule="auto"/>
        <w:textAlignment w:val="baseline"/>
        <w:rPr>
          <w:rFonts w:ascii="Calibri" w:eastAsia="Times New Roman" w:hAnsi="Calibri" w:cs="Calibri"/>
        </w:rPr>
      </w:pPr>
    </w:p>
    <w:p w14:paraId="084CF6D5" w14:textId="65F98341" w:rsidR="006C2493" w:rsidRPr="00360591" w:rsidRDefault="006C2493" w:rsidP="00764111">
      <w:pPr>
        <w:pStyle w:val="ListParagraph"/>
        <w:numPr>
          <w:ilvl w:val="0"/>
          <w:numId w:val="12"/>
        </w:numPr>
        <w:spacing w:line="360" w:lineRule="auto"/>
        <w:ind w:left="360"/>
        <w:textAlignment w:val="baseline"/>
        <w:rPr>
          <w:rFonts w:ascii="Calibri" w:eastAsia="Times New Roman" w:hAnsi="Calibri" w:cs="Calibri"/>
        </w:rPr>
      </w:pPr>
      <w:r w:rsidRPr="00360591">
        <w:rPr>
          <w:rFonts w:ascii="Calibri" w:eastAsia="Times New Roman" w:hAnsi="Calibri" w:cs="Calibri"/>
          <w:b/>
          <w:bCs/>
          <w:bdr w:val="none" w:sz="0" w:space="0" w:color="auto" w:frame="1"/>
        </w:rPr>
        <w:t>Checkpoints and other blanket searches.</w:t>
      </w:r>
      <w:r w:rsidR="00713DD5">
        <w:rPr>
          <w:rFonts w:ascii="Calibri" w:eastAsia="Times New Roman" w:hAnsi="Calibri" w:cs="Calibri"/>
        </w:rPr>
        <w:t xml:space="preserve"> </w:t>
      </w:r>
      <w:r w:rsidRPr="00360591">
        <w:rPr>
          <w:rFonts w:ascii="Calibri" w:eastAsia="Times New Roman" w:hAnsi="Calibri" w:cs="Calibri"/>
        </w:rPr>
        <w:t>Warrantless, suspicionless searches are valid at places where the need to enforce public safety is particularly acute, such as borders, airports, and government buildings. Appropriately tailored roadblocks may also be permitted, for example, to thwart an imminent terrorist attack or to catch a dangerous criminal who is likely to flee by way of a particular route. Permitted checkpoint programs and blanket searches depend on the primary programmatic purpose; for example, motor vehicle checkpoints are not permitted for the primary purpose of uncovering evidence of criminal wrongdoing.</w:t>
      </w:r>
      <w:r w:rsidR="00E4145E">
        <w:rPr>
          <w:rStyle w:val="FootnoteReference"/>
          <w:rFonts w:ascii="Calibri" w:eastAsia="Times New Roman" w:hAnsi="Calibri" w:cs="Calibri"/>
        </w:rPr>
        <w:footnoteReference w:id="42"/>
      </w:r>
    </w:p>
    <w:p w14:paraId="7D7D8FA3" w14:textId="77777777" w:rsidR="002952B7" w:rsidRPr="006C2493" w:rsidRDefault="002952B7" w:rsidP="00764111">
      <w:pPr>
        <w:spacing w:line="360" w:lineRule="auto"/>
        <w:textAlignment w:val="baseline"/>
        <w:rPr>
          <w:rFonts w:ascii="Calibri" w:eastAsia="Times New Roman" w:hAnsi="Calibri" w:cs="Calibri"/>
        </w:rPr>
      </w:pPr>
    </w:p>
    <w:p w14:paraId="0BA5FBE2" w14:textId="5108620D" w:rsidR="006C2493" w:rsidRPr="00360591" w:rsidRDefault="006C2493" w:rsidP="00764111">
      <w:pPr>
        <w:pStyle w:val="ListParagraph"/>
        <w:numPr>
          <w:ilvl w:val="0"/>
          <w:numId w:val="12"/>
        </w:numPr>
        <w:spacing w:line="360" w:lineRule="auto"/>
        <w:ind w:left="360"/>
        <w:textAlignment w:val="baseline"/>
        <w:rPr>
          <w:rFonts w:ascii="Calibri" w:eastAsia="Times New Roman" w:hAnsi="Calibri" w:cs="Calibri"/>
        </w:rPr>
      </w:pPr>
      <w:r w:rsidRPr="00360591">
        <w:rPr>
          <w:rFonts w:ascii="Calibri" w:eastAsia="Times New Roman" w:hAnsi="Calibri" w:cs="Calibri"/>
          <w:b/>
          <w:bCs/>
          <w:bdr w:val="none" w:sz="0" w:space="0" w:color="auto" w:frame="1"/>
        </w:rPr>
        <w:t>Emergency circumstances.</w:t>
      </w:r>
      <w:r w:rsidR="00713DD5">
        <w:rPr>
          <w:rFonts w:ascii="Calibri" w:eastAsia="Times New Roman" w:hAnsi="Calibri" w:cs="Calibri"/>
        </w:rPr>
        <w:t xml:space="preserve"> </w:t>
      </w:r>
      <w:r w:rsidRPr="00360591">
        <w:rPr>
          <w:rFonts w:ascii="Calibri" w:eastAsia="Times New Roman" w:hAnsi="Calibri" w:cs="Calibri"/>
        </w:rPr>
        <w:t>Warrantless searches are permitted for exigent circumstances if delay associated with obtaining a warrant is likely to lead to injury, public harm, or the destruction of evidence.</w:t>
      </w:r>
      <w:r w:rsidR="00E4145E">
        <w:rPr>
          <w:rStyle w:val="FootnoteReference"/>
          <w:rFonts w:ascii="Calibri" w:eastAsia="Times New Roman" w:hAnsi="Calibri" w:cs="Calibri"/>
        </w:rPr>
        <w:footnoteReference w:id="43"/>
      </w:r>
    </w:p>
    <w:p w14:paraId="4B36B87F" w14:textId="77777777" w:rsidR="002952B7" w:rsidRPr="006C2493" w:rsidRDefault="002952B7" w:rsidP="00764111">
      <w:pPr>
        <w:spacing w:line="360" w:lineRule="auto"/>
        <w:textAlignment w:val="baseline"/>
        <w:rPr>
          <w:rFonts w:ascii="Calibri" w:eastAsia="Times New Roman" w:hAnsi="Calibri" w:cs="Calibri"/>
        </w:rPr>
      </w:pPr>
    </w:p>
    <w:p w14:paraId="79BCD0E9" w14:textId="4C73C078" w:rsidR="006C2493" w:rsidRPr="00360591" w:rsidRDefault="006C2493" w:rsidP="00764111">
      <w:pPr>
        <w:pStyle w:val="ListParagraph"/>
        <w:numPr>
          <w:ilvl w:val="0"/>
          <w:numId w:val="12"/>
        </w:numPr>
        <w:spacing w:line="360" w:lineRule="auto"/>
        <w:ind w:left="360"/>
        <w:textAlignment w:val="baseline"/>
        <w:rPr>
          <w:rFonts w:ascii="Calibri" w:eastAsia="Times New Roman" w:hAnsi="Calibri" w:cs="Calibri"/>
        </w:rPr>
      </w:pPr>
      <w:r w:rsidRPr="00360591">
        <w:rPr>
          <w:rFonts w:ascii="Calibri" w:eastAsia="Times New Roman" w:hAnsi="Calibri" w:cs="Calibri"/>
          <w:b/>
          <w:bCs/>
          <w:bdr w:val="none" w:sz="0" w:space="0" w:color="auto" w:frame="1"/>
        </w:rPr>
        <w:lastRenderedPageBreak/>
        <w:t>Open-fields doctrine</w:t>
      </w:r>
      <w:r w:rsidRPr="00360591">
        <w:rPr>
          <w:rFonts w:ascii="Calibri" w:eastAsia="Times New Roman" w:hAnsi="Calibri" w:cs="Calibri"/>
        </w:rPr>
        <w:t>. No warrant is required to inspect a public place, such as the eating area of a restaurant, testing pollutants emitted into the open air, or examining the exterior of an apartment and refuse dumpster.</w:t>
      </w:r>
      <w:r w:rsidR="00E4145E">
        <w:rPr>
          <w:rStyle w:val="FootnoteReference"/>
          <w:rFonts w:ascii="Calibri" w:eastAsia="Times New Roman" w:hAnsi="Calibri" w:cs="Calibri"/>
        </w:rPr>
        <w:footnoteReference w:id="44"/>
      </w:r>
    </w:p>
    <w:p w14:paraId="29910AD9" w14:textId="77777777" w:rsidR="002952B7" w:rsidRPr="006C2493" w:rsidRDefault="002952B7" w:rsidP="00764111">
      <w:pPr>
        <w:spacing w:line="360" w:lineRule="auto"/>
        <w:textAlignment w:val="baseline"/>
        <w:rPr>
          <w:rFonts w:ascii="Calibri" w:eastAsia="Times New Roman" w:hAnsi="Calibri" w:cs="Calibri"/>
        </w:rPr>
      </w:pPr>
    </w:p>
    <w:p w14:paraId="27E87D4C" w14:textId="0FDA4676" w:rsidR="00E4145E" w:rsidRDefault="006C2493" w:rsidP="000D3808">
      <w:pPr>
        <w:keepNext/>
        <w:spacing w:line="360" w:lineRule="auto"/>
        <w:rPr>
          <w:rFonts w:ascii="Calibri" w:eastAsia="Times New Roman" w:hAnsi="Calibri" w:cs="Calibri"/>
          <w:b/>
          <w:bCs/>
        </w:rPr>
      </w:pPr>
      <w:r w:rsidRPr="006C2493">
        <w:rPr>
          <w:rFonts w:ascii="Calibri" w:eastAsia="Times New Roman" w:hAnsi="Calibri" w:cs="Calibri"/>
          <w:b/>
          <w:bCs/>
        </w:rPr>
        <w:t>Fifth Amendment Privilege Against Self-Incrimination</w:t>
      </w:r>
      <w:r w:rsidR="000D3808">
        <w:rPr>
          <w:rFonts w:ascii="Calibri" w:eastAsia="Times New Roman" w:hAnsi="Calibri" w:cs="Calibri"/>
          <w:b/>
          <w:bCs/>
        </w:rPr>
        <w:t xml:space="preserve"> </w:t>
      </w:r>
    </w:p>
    <w:p w14:paraId="4428CC33" w14:textId="77777777" w:rsidR="00AB6AFA" w:rsidRDefault="006C2493" w:rsidP="00AB6AFA">
      <w:pPr>
        <w:spacing w:line="360" w:lineRule="auto"/>
        <w:rPr>
          <w:rFonts w:ascii="Calibri" w:eastAsia="Times New Roman" w:hAnsi="Calibri" w:cs="Calibri"/>
          <w:b/>
          <w:bCs/>
        </w:rPr>
      </w:pPr>
      <w:r w:rsidRPr="006C2493">
        <w:rPr>
          <w:rFonts w:ascii="Calibri" w:eastAsia="Times New Roman" w:hAnsi="Calibri" w:cs="Calibri"/>
        </w:rPr>
        <w:t>The Fifth Amendment to the Constitution provides that "[n]o person … shall be compelled in any criminal case to be a witness against himself." The privilege prevents the government from forcing a defendant to testify against himself. The privilege also applies to "custodial interrogations" and prevents the government from forcing a person to talk to the police and answer potentially incriminating questions concerning a crime.</w:t>
      </w:r>
    </w:p>
    <w:p w14:paraId="5451E965" w14:textId="77777777" w:rsidR="00AB6AFA" w:rsidRDefault="00AB6AFA" w:rsidP="00AB6AFA">
      <w:pPr>
        <w:spacing w:line="360" w:lineRule="auto"/>
        <w:rPr>
          <w:rFonts w:ascii="Calibri" w:eastAsia="Times New Roman" w:hAnsi="Calibri" w:cs="Calibri"/>
          <w:b/>
          <w:bCs/>
        </w:rPr>
      </w:pPr>
    </w:p>
    <w:p w14:paraId="3B8A8044" w14:textId="2723683F" w:rsidR="00AB6AFA" w:rsidRDefault="006C2493" w:rsidP="00AB6AFA">
      <w:pPr>
        <w:spacing w:line="360" w:lineRule="auto"/>
        <w:rPr>
          <w:rFonts w:ascii="Calibri" w:eastAsia="Times New Roman" w:hAnsi="Calibri" w:cs="Calibri"/>
          <w:b/>
          <w:bCs/>
        </w:rPr>
      </w:pPr>
      <w:r w:rsidRPr="006C2493">
        <w:rPr>
          <w:rFonts w:ascii="Calibri" w:eastAsia="Times New Roman" w:hAnsi="Calibri" w:cs="Calibri"/>
        </w:rPr>
        <w:t>Before conducting a custodial interview of a suspect, a government agent must provide the familiar "Miranda warnings," namely, "you have the right to remain silent," "anything you say or do can and will be held against you in a court of law," "you have the right to an attorney," and "if you cannot afford an attorney, one will be provided for you." The suspect can "take the Fifth" to avoid saying something incriminating himself.</w:t>
      </w:r>
      <w:r w:rsidR="00AB6AFA">
        <w:rPr>
          <w:rFonts w:ascii="Calibri" w:eastAsia="Times New Roman" w:hAnsi="Calibri" w:cs="Calibri"/>
        </w:rPr>
        <w:t xml:space="preserve"> </w:t>
      </w:r>
      <w:r w:rsidRPr="006C2493">
        <w:rPr>
          <w:rFonts w:ascii="Calibri" w:eastAsia="Times New Roman" w:hAnsi="Calibri" w:cs="Calibri"/>
        </w:rPr>
        <w:t>When the government agent fails to provide Miranda warnings to a person interviewed while in custody, the statement generally may not be used as evidence in criminal proceedings.</w:t>
      </w:r>
      <w:r w:rsidR="00AB6AFA">
        <w:rPr>
          <w:rStyle w:val="FootnoteReference"/>
          <w:rFonts w:ascii="Calibri" w:eastAsia="Times New Roman" w:hAnsi="Calibri" w:cs="Calibri"/>
        </w:rPr>
        <w:footnoteReference w:id="45"/>
      </w:r>
    </w:p>
    <w:p w14:paraId="5D96EF8A" w14:textId="77777777" w:rsidR="00AB6AFA" w:rsidRDefault="00AB6AFA" w:rsidP="00AB6AFA">
      <w:pPr>
        <w:spacing w:line="360" w:lineRule="auto"/>
        <w:rPr>
          <w:rFonts w:ascii="Calibri" w:eastAsia="Times New Roman" w:hAnsi="Calibri" w:cs="Calibri"/>
          <w:b/>
          <w:bCs/>
        </w:rPr>
      </w:pPr>
    </w:p>
    <w:p w14:paraId="667133BF" w14:textId="77777777" w:rsidR="00772045" w:rsidRDefault="006C2493" w:rsidP="00772045">
      <w:pPr>
        <w:spacing w:line="360" w:lineRule="auto"/>
        <w:rPr>
          <w:rFonts w:ascii="Calibri" w:eastAsia="Times New Roman" w:hAnsi="Calibri" w:cs="Calibri"/>
          <w:b/>
          <w:bCs/>
        </w:rPr>
      </w:pPr>
      <w:r w:rsidRPr="006C2493">
        <w:rPr>
          <w:rFonts w:ascii="Calibri" w:eastAsia="Times New Roman" w:hAnsi="Calibri" w:cs="Calibri"/>
        </w:rPr>
        <w:t>The suspect making the statement must be "in custody." Generally, this occurs when, because of a show of government authority, a reasonable person would not feel free to leave. Additionally, the statement must be uttered while the suspect was under interrogation. "In custody" may include situations where the individual physically cannot leave, such as when a public health official conducts a hospital bedside interview in the presence of a police officer. In such case, custody would depend on whether a reasonable person would feel free to decline to answer the questions posed.</w:t>
      </w:r>
    </w:p>
    <w:p w14:paraId="346D22A7" w14:textId="77777777" w:rsidR="00772045" w:rsidRDefault="00772045" w:rsidP="00772045">
      <w:pPr>
        <w:spacing w:line="360" w:lineRule="auto"/>
        <w:rPr>
          <w:rFonts w:ascii="Calibri" w:eastAsia="Times New Roman" w:hAnsi="Calibri" w:cs="Calibri"/>
          <w:b/>
          <w:bCs/>
        </w:rPr>
      </w:pPr>
    </w:p>
    <w:p w14:paraId="76773F7E" w14:textId="77777777" w:rsidR="00C641CE" w:rsidRDefault="006C2493" w:rsidP="00C641CE">
      <w:pPr>
        <w:spacing w:line="360" w:lineRule="auto"/>
        <w:rPr>
          <w:rFonts w:ascii="Calibri" w:eastAsia="Times New Roman" w:hAnsi="Calibri" w:cs="Calibri"/>
          <w:b/>
          <w:bCs/>
        </w:rPr>
      </w:pPr>
      <w:r w:rsidRPr="006C2493">
        <w:rPr>
          <w:rFonts w:ascii="Calibri" w:eastAsia="Times New Roman" w:hAnsi="Calibri" w:cs="Calibri"/>
        </w:rPr>
        <w:lastRenderedPageBreak/>
        <w:t>The Fifth Amendment does not require suppression of statements that a suspect volunteers, for example, if a suspect volunteers after arrest that he has a biological agent in his apartment.</w:t>
      </w:r>
      <w:r w:rsidR="00C641CE">
        <w:rPr>
          <w:rStyle w:val="FootnoteReference"/>
          <w:rFonts w:ascii="Calibri" w:eastAsia="Times New Roman" w:hAnsi="Calibri" w:cs="Calibri"/>
        </w:rPr>
        <w:footnoteReference w:id="46"/>
      </w:r>
      <w:r w:rsidR="00C641CE">
        <w:rPr>
          <w:rFonts w:ascii="Calibri" w:eastAsia="Times New Roman" w:hAnsi="Calibri" w:cs="Calibri"/>
        </w:rPr>
        <w:t xml:space="preserve"> </w:t>
      </w:r>
      <w:r w:rsidRPr="006C2493">
        <w:rPr>
          <w:rFonts w:ascii="Calibri" w:eastAsia="Times New Roman" w:hAnsi="Calibri" w:cs="Calibri"/>
        </w:rPr>
        <w:t>Additionally, emergency circumstances might provide an exception to the requirement that Miranda warnings be provided prior to a custodial interrogation. For example, a "public safety" exception might apply to custodial questions posed in an attempt to avert an immediate threat. For example, a suspect caught in the act of making a bioterrorist threat of immediate danger may be asked where else he released biological agents prior to Miranda warnings.</w:t>
      </w:r>
      <w:r w:rsidR="00C641CE">
        <w:rPr>
          <w:rStyle w:val="FootnoteReference"/>
          <w:rFonts w:ascii="Calibri" w:eastAsia="Times New Roman" w:hAnsi="Calibri" w:cs="Calibri"/>
        </w:rPr>
        <w:footnoteReference w:id="47"/>
      </w:r>
    </w:p>
    <w:p w14:paraId="3CD25947" w14:textId="77777777" w:rsidR="00C641CE" w:rsidRDefault="00C641CE" w:rsidP="00C641CE">
      <w:pPr>
        <w:spacing w:line="360" w:lineRule="auto"/>
        <w:rPr>
          <w:rFonts w:ascii="Calibri" w:eastAsia="Times New Roman" w:hAnsi="Calibri" w:cs="Calibri"/>
          <w:b/>
          <w:bCs/>
        </w:rPr>
      </w:pPr>
    </w:p>
    <w:p w14:paraId="0BC9E057" w14:textId="638A9A75" w:rsidR="005310FC" w:rsidRDefault="006C2493" w:rsidP="00C641CE">
      <w:pPr>
        <w:spacing w:line="360" w:lineRule="auto"/>
        <w:rPr>
          <w:rFonts w:ascii="Calibri" w:eastAsia="Times New Roman" w:hAnsi="Calibri" w:cs="Calibri"/>
          <w:b/>
          <w:bCs/>
        </w:rPr>
      </w:pPr>
      <w:r w:rsidRPr="006C2493">
        <w:rPr>
          <w:rFonts w:ascii="Calibri" w:eastAsia="Times New Roman" w:hAnsi="Calibri" w:cs="Calibri"/>
        </w:rPr>
        <w:t>Usually, public health investigators need not be concerned with Miranda warnings because they conduct most investigations alone and typically do not conduct criminal investigations. However, Fifth Amendment issues might arise during a public health investigation if, for example, individuals who are interviewed as witnesses or victims of a disease-causing agent come to be considered suspect perpetrators. Fifth Amendment challenges are most likely to occur during interviews conducted jointly by public health investigators and law enforcement or public health interviews that are conducted in the presence of law enforcement. Fifth Amendment concerns might also arise if public health investigators interview suspects for the purpose of gathering evidence of criminal activity for the police.</w:t>
      </w:r>
    </w:p>
    <w:p w14:paraId="57546F2B" w14:textId="77777777" w:rsidR="00C641CE" w:rsidRPr="00C641CE" w:rsidRDefault="00C641CE" w:rsidP="00C641CE">
      <w:pPr>
        <w:spacing w:line="360" w:lineRule="auto"/>
        <w:rPr>
          <w:rFonts w:ascii="Calibri" w:eastAsia="Times New Roman" w:hAnsi="Calibri" w:cs="Calibri"/>
          <w:b/>
          <w:bCs/>
        </w:rPr>
      </w:pPr>
    </w:p>
    <w:p w14:paraId="617D2F43" w14:textId="4F13A834" w:rsidR="00C641CE" w:rsidRPr="00CF7ECE" w:rsidRDefault="005D2A20" w:rsidP="00C641CE">
      <w:pPr>
        <w:spacing w:line="360" w:lineRule="auto"/>
        <w:rPr>
          <w:rFonts w:ascii="Calibri" w:eastAsia="Times New Roman" w:hAnsi="Calibri" w:cs="Calibri"/>
          <w:b/>
          <w:bCs/>
          <w:sz w:val="24"/>
          <w:szCs w:val="24"/>
        </w:rPr>
      </w:pPr>
      <w:r w:rsidRPr="00CF7ECE">
        <w:rPr>
          <w:rFonts w:ascii="Calibri" w:eastAsia="Times New Roman" w:hAnsi="Calibri" w:cs="Calibri"/>
          <w:b/>
          <w:bCs/>
          <w:sz w:val="24"/>
          <w:szCs w:val="24"/>
        </w:rPr>
        <w:t>I</w:t>
      </w:r>
      <w:r w:rsidR="006C2493" w:rsidRPr="00CF7ECE">
        <w:rPr>
          <w:rFonts w:ascii="Calibri" w:eastAsia="Times New Roman" w:hAnsi="Calibri" w:cs="Calibri"/>
          <w:b/>
          <w:bCs/>
          <w:sz w:val="24"/>
          <w:szCs w:val="24"/>
        </w:rPr>
        <w:t>V. Federal Statutes and Public Health Information Sharing with Law Enforcement</w:t>
      </w:r>
    </w:p>
    <w:p w14:paraId="337710B9" w14:textId="77777777" w:rsidR="00C641CE" w:rsidRDefault="006C2493" w:rsidP="00764111">
      <w:pPr>
        <w:spacing w:line="360" w:lineRule="auto"/>
        <w:rPr>
          <w:rFonts w:ascii="Calibri" w:eastAsia="Times New Roman" w:hAnsi="Calibri" w:cs="Calibri"/>
          <w:b/>
          <w:bCs/>
        </w:rPr>
      </w:pPr>
      <w:r w:rsidRPr="006C2493">
        <w:rPr>
          <w:rFonts w:ascii="Calibri" w:eastAsia="Times New Roman" w:hAnsi="Calibri" w:cs="Calibri"/>
        </w:rPr>
        <w:t>The applicability of mandated federal reporting and the HIPAA Privacy Rule are discussed below. However, it is beyond the scope of this Issue Brief to identify all federal statutes that might be relevant to information sharing by state and local public health agencies with law enforcement.</w:t>
      </w:r>
    </w:p>
    <w:p w14:paraId="3DE0F56B" w14:textId="77777777" w:rsidR="00C641CE" w:rsidRDefault="00C641CE" w:rsidP="00764111">
      <w:pPr>
        <w:spacing w:line="360" w:lineRule="auto"/>
        <w:rPr>
          <w:rFonts w:ascii="Calibri" w:eastAsia="Times New Roman" w:hAnsi="Calibri" w:cs="Calibri"/>
          <w:b/>
          <w:bCs/>
        </w:rPr>
      </w:pPr>
    </w:p>
    <w:p w14:paraId="2822DF42" w14:textId="72C51B9F" w:rsidR="00C641CE" w:rsidRDefault="006C2493" w:rsidP="00C641CE">
      <w:pPr>
        <w:spacing w:line="360" w:lineRule="auto"/>
        <w:rPr>
          <w:rFonts w:ascii="Calibri" w:eastAsia="Times New Roman" w:hAnsi="Calibri" w:cs="Calibri"/>
          <w:b/>
          <w:bCs/>
        </w:rPr>
      </w:pPr>
      <w:r w:rsidRPr="002C7C3C">
        <w:rPr>
          <w:rFonts w:ascii="Calibri" w:eastAsia="Times New Roman" w:hAnsi="Calibri" w:cs="Calibri"/>
          <w:b/>
          <w:bCs/>
        </w:rPr>
        <w:t>Public Health and Federal Reporting</w:t>
      </w:r>
      <w:r w:rsidR="00CF7ECE">
        <w:rPr>
          <w:rFonts w:ascii="Calibri" w:eastAsia="Times New Roman" w:hAnsi="Calibri" w:cs="Calibri"/>
          <w:b/>
          <w:bCs/>
        </w:rPr>
        <w:t xml:space="preserve"> </w:t>
      </w:r>
    </w:p>
    <w:p w14:paraId="261B49FA" w14:textId="30747367" w:rsidR="00FF1FF1" w:rsidRDefault="006C2493" w:rsidP="0018578C">
      <w:pPr>
        <w:spacing w:line="360" w:lineRule="auto"/>
        <w:rPr>
          <w:rFonts w:ascii="Calibri" w:eastAsia="Times New Roman" w:hAnsi="Calibri" w:cs="Calibri"/>
          <w:b/>
          <w:bCs/>
        </w:rPr>
      </w:pPr>
      <w:r w:rsidRPr="006C2493">
        <w:rPr>
          <w:rFonts w:ascii="Calibri" w:eastAsia="Times New Roman" w:hAnsi="Calibri" w:cs="Calibri"/>
        </w:rPr>
        <w:t>Public health agencies may be compelled to provide identifiable information to law enforcement, for example, by an FBI administrative order issued under the Patriot Act,</w:t>
      </w:r>
      <w:r w:rsidR="00C641CE">
        <w:rPr>
          <w:rStyle w:val="FootnoteReference"/>
          <w:rFonts w:ascii="Calibri" w:eastAsia="Times New Roman" w:hAnsi="Calibri" w:cs="Calibri"/>
        </w:rPr>
        <w:footnoteReference w:id="48"/>
      </w:r>
      <w:r w:rsidR="00C641CE">
        <w:rPr>
          <w:rFonts w:ascii="Calibri" w:eastAsia="Times New Roman" w:hAnsi="Calibri" w:cs="Calibri"/>
          <w:bdr w:val="none" w:sz="0" w:space="0" w:color="auto" w:frame="1"/>
        </w:rPr>
        <w:t xml:space="preserve"> </w:t>
      </w:r>
      <w:r w:rsidRPr="006C2493">
        <w:rPr>
          <w:rFonts w:ascii="Calibri" w:eastAsia="Times New Roman" w:hAnsi="Calibri" w:cs="Calibri"/>
        </w:rPr>
        <w:t>federal subpoena, or other legal process. However, generally, there appears to be no federal statute mandating state or local public health agencies to report information regarding suspicious activity or other indications of possible bioterrorism or other threats. Federal laws, such as the National Security Act,</w:t>
      </w:r>
      <w:r w:rsidR="0018578C">
        <w:rPr>
          <w:rStyle w:val="FootnoteReference"/>
          <w:rFonts w:ascii="Calibri" w:eastAsia="Times New Roman" w:hAnsi="Calibri" w:cs="Calibri"/>
        </w:rPr>
        <w:footnoteReference w:id="49"/>
      </w:r>
      <w:r w:rsidR="0018578C">
        <w:rPr>
          <w:rFonts w:ascii="Calibri" w:eastAsia="Times New Roman" w:hAnsi="Calibri" w:cs="Calibri"/>
          <w:bdr w:val="none" w:sz="0" w:space="0" w:color="auto" w:frame="1"/>
        </w:rPr>
        <w:t xml:space="preserve"> </w:t>
      </w:r>
      <w:r w:rsidRPr="006C2493">
        <w:rPr>
          <w:rFonts w:ascii="Calibri" w:eastAsia="Times New Roman" w:hAnsi="Calibri" w:cs="Calibri"/>
        </w:rPr>
        <w:t xml:space="preserve">authorize the federal </w:t>
      </w:r>
      <w:r w:rsidRPr="006C2493">
        <w:rPr>
          <w:rFonts w:ascii="Calibri" w:eastAsia="Times New Roman" w:hAnsi="Calibri" w:cs="Calibri"/>
        </w:rPr>
        <w:lastRenderedPageBreak/>
        <w:t>government to collect such information; however, national reporting is not mandated. Thus, state and local public health agencies may provide information for law enforcement purposes, either as required or permitted by their state's law.</w:t>
      </w:r>
    </w:p>
    <w:p w14:paraId="7E7BF14F" w14:textId="77777777" w:rsidR="0018578C" w:rsidRPr="0018578C" w:rsidRDefault="0018578C" w:rsidP="0018578C">
      <w:pPr>
        <w:spacing w:line="360" w:lineRule="auto"/>
        <w:rPr>
          <w:rFonts w:ascii="Calibri" w:eastAsia="Times New Roman" w:hAnsi="Calibri" w:cs="Calibri"/>
          <w:b/>
          <w:bCs/>
        </w:rPr>
      </w:pPr>
    </w:p>
    <w:p w14:paraId="4867CF23" w14:textId="052FC037" w:rsidR="00FE342F" w:rsidRPr="00477339" w:rsidRDefault="006C2493" w:rsidP="00602951">
      <w:pPr>
        <w:spacing w:line="360" w:lineRule="auto"/>
        <w:rPr>
          <w:rFonts w:ascii="Calibri" w:eastAsia="Times New Roman" w:hAnsi="Calibri" w:cs="Calibri"/>
          <w:b/>
          <w:bCs/>
        </w:rPr>
      </w:pPr>
      <w:r w:rsidRPr="00A45A7F">
        <w:rPr>
          <w:rFonts w:ascii="Calibri" w:eastAsia="Times New Roman" w:hAnsi="Calibri" w:cs="Calibri"/>
          <w:b/>
          <w:bCs/>
        </w:rPr>
        <w:t>Disclosure and the Health Information Portability and Accountability Act Privacy</w:t>
      </w:r>
      <w:r w:rsidR="0022077A" w:rsidRPr="00A45A7F">
        <w:rPr>
          <w:rFonts w:ascii="Calibri" w:eastAsia="Times New Roman" w:hAnsi="Calibri" w:cs="Calibri"/>
          <w:b/>
          <w:bCs/>
        </w:rPr>
        <w:t xml:space="preserve"> </w:t>
      </w:r>
      <w:r w:rsidRPr="00A45A7F">
        <w:rPr>
          <w:rFonts w:ascii="Calibri" w:eastAsia="Times New Roman" w:hAnsi="Calibri" w:cs="Calibri"/>
          <w:b/>
          <w:bCs/>
        </w:rPr>
        <w:t>Rule</w:t>
      </w:r>
    </w:p>
    <w:p w14:paraId="2D503814" w14:textId="650D18AE" w:rsidR="00C060E6" w:rsidRDefault="006C2493" w:rsidP="00C060E6">
      <w:pPr>
        <w:spacing w:line="360" w:lineRule="auto"/>
        <w:rPr>
          <w:rFonts w:ascii="Calibri" w:eastAsia="Times New Roman" w:hAnsi="Calibri" w:cs="Calibri"/>
          <w:b/>
          <w:bCs/>
        </w:rPr>
      </w:pPr>
      <w:r w:rsidRPr="006C2493">
        <w:rPr>
          <w:rFonts w:ascii="Calibri" w:eastAsia="Times New Roman" w:hAnsi="Calibri" w:cs="Calibri"/>
        </w:rPr>
        <w:t xml:space="preserve">The Privacy Rule </w:t>
      </w:r>
      <w:r w:rsidR="00FE342F" w:rsidRPr="006C2493">
        <w:rPr>
          <w:rFonts w:ascii="Calibri" w:eastAsia="Times New Roman" w:hAnsi="Calibri" w:cs="Calibri"/>
        </w:rPr>
        <w:t>adopted by the U.S. Department of Health and Human Services under the Health Insurance Portability and Accountability Act (HIPAA)</w:t>
      </w:r>
      <w:r w:rsidR="00FE342F">
        <w:rPr>
          <w:rStyle w:val="FootnoteReference"/>
          <w:rFonts w:ascii="Calibri" w:eastAsia="Times New Roman" w:hAnsi="Calibri" w:cs="Calibri"/>
        </w:rPr>
        <w:footnoteReference w:id="50"/>
      </w:r>
      <w:r w:rsidR="00FE342F">
        <w:rPr>
          <w:rFonts w:ascii="Calibri" w:eastAsia="Times New Roman" w:hAnsi="Calibri" w:cs="Calibri"/>
          <w:bdr w:val="none" w:sz="0" w:space="0" w:color="auto" w:frame="1"/>
        </w:rPr>
        <w:t xml:space="preserve"> </w:t>
      </w:r>
      <w:r w:rsidRPr="006C2493">
        <w:rPr>
          <w:rFonts w:ascii="Calibri" w:eastAsia="Times New Roman" w:hAnsi="Calibri" w:cs="Calibri"/>
        </w:rPr>
        <w:t>established national minimum standards to protect the privacy of individually identifiable health information (referred to as "protected health information" or "PHI") and gives patients an array of rights with respect to that information. PHI is individually identifiable health information that relates to physical or mental health or condition, the provision of healthcare to the individual, or any payment for the provision of healthcare.</w:t>
      </w:r>
      <w:r w:rsidR="00452B39">
        <w:rPr>
          <w:rStyle w:val="FootnoteReference"/>
          <w:rFonts w:ascii="Calibri" w:eastAsia="Times New Roman" w:hAnsi="Calibri" w:cs="Calibri"/>
        </w:rPr>
        <w:footnoteReference w:id="51"/>
      </w:r>
      <w:r w:rsidR="00452B39">
        <w:rPr>
          <w:rFonts w:ascii="Calibri" w:eastAsia="Times New Roman" w:hAnsi="Calibri" w:cs="Calibri"/>
          <w:bdr w:val="none" w:sz="0" w:space="0" w:color="auto" w:frame="1"/>
        </w:rPr>
        <w:t xml:space="preserve"> </w:t>
      </w:r>
      <w:r w:rsidR="00C060E6" w:rsidRPr="006C2493">
        <w:rPr>
          <w:rFonts w:ascii="Calibri" w:eastAsia="Times New Roman" w:hAnsi="Calibri" w:cs="Calibri"/>
        </w:rPr>
        <w:t>The Privacy Rule does not apply to "de-identified information," such as aggregate statistical data or data stripped of individual identifiers.</w:t>
      </w:r>
      <w:r w:rsidR="00C060E6">
        <w:rPr>
          <w:rStyle w:val="FootnoteReference"/>
          <w:rFonts w:ascii="Calibri" w:eastAsia="Times New Roman" w:hAnsi="Calibri" w:cs="Calibri"/>
        </w:rPr>
        <w:footnoteReference w:id="52"/>
      </w:r>
      <w:r w:rsidR="00C060E6">
        <w:rPr>
          <w:rFonts w:ascii="Calibri" w:eastAsia="Times New Roman" w:hAnsi="Calibri" w:cs="Calibri"/>
          <w:bdr w:val="none" w:sz="0" w:space="0" w:color="auto" w:frame="1"/>
        </w:rPr>
        <w:t xml:space="preserve"> </w:t>
      </w:r>
      <w:r w:rsidR="00C060E6" w:rsidRPr="006C2493">
        <w:rPr>
          <w:rFonts w:ascii="Calibri" w:eastAsia="Times New Roman" w:hAnsi="Calibri" w:cs="Calibri"/>
        </w:rPr>
        <w:t>This data requires no individual privacy protections and may be disclosed to law enforcement and others without authorization.</w:t>
      </w:r>
      <w:r w:rsidR="00C060E6">
        <w:rPr>
          <w:rStyle w:val="FootnoteReference"/>
          <w:rFonts w:ascii="Calibri" w:eastAsia="Times New Roman" w:hAnsi="Calibri" w:cs="Calibri"/>
        </w:rPr>
        <w:footnoteReference w:id="53"/>
      </w:r>
      <w:r w:rsidR="00C060E6">
        <w:rPr>
          <w:rFonts w:ascii="Calibri" w:eastAsia="Times New Roman" w:hAnsi="Calibri" w:cs="Calibri"/>
          <w:bdr w:val="none" w:sz="0" w:space="0" w:color="auto" w:frame="1"/>
        </w:rPr>
        <w:t xml:space="preserve"> </w:t>
      </w:r>
      <w:r w:rsidR="00C57A4A">
        <w:rPr>
          <w:rFonts w:ascii="Calibri" w:eastAsia="Times New Roman" w:hAnsi="Calibri" w:cs="Calibri"/>
        </w:rPr>
        <w:t>(See the HIPAA Privacy Rule Issue Brief for more detail about the Privacy Rule.)</w:t>
      </w:r>
    </w:p>
    <w:p w14:paraId="6769BB1D" w14:textId="77777777" w:rsidR="00EC1A6F" w:rsidRDefault="00EC1A6F" w:rsidP="00602951">
      <w:pPr>
        <w:spacing w:line="360" w:lineRule="auto"/>
        <w:rPr>
          <w:rFonts w:ascii="Calibri" w:eastAsia="Times New Roman" w:hAnsi="Calibri" w:cs="Calibri"/>
          <w:bdr w:val="none" w:sz="0" w:space="0" w:color="auto" w:frame="1"/>
        </w:rPr>
      </w:pPr>
    </w:p>
    <w:p w14:paraId="65E8A663" w14:textId="5CF66059" w:rsidR="00602951" w:rsidRDefault="002063C5" w:rsidP="00602951">
      <w:pPr>
        <w:spacing w:line="360" w:lineRule="auto"/>
        <w:rPr>
          <w:rFonts w:ascii="Calibri" w:eastAsia="Times New Roman" w:hAnsi="Calibri" w:cs="Calibri"/>
          <w:b/>
          <w:bCs/>
        </w:rPr>
      </w:pPr>
      <w:r w:rsidRPr="006C2493">
        <w:rPr>
          <w:rFonts w:ascii="Calibri" w:eastAsia="Times New Roman" w:hAnsi="Calibri" w:cs="Calibri"/>
        </w:rPr>
        <w:t>Some public health agencies, or programs or services within public health agencies, are covered by the federal Privacy Rule</w:t>
      </w:r>
      <w:r>
        <w:rPr>
          <w:rFonts w:ascii="Calibri" w:eastAsia="Times New Roman" w:hAnsi="Calibri" w:cs="Calibri"/>
        </w:rPr>
        <w:t>.</w:t>
      </w:r>
      <w:r>
        <w:rPr>
          <w:rStyle w:val="FootnoteReference"/>
          <w:rFonts w:ascii="Calibri" w:eastAsia="Times New Roman" w:hAnsi="Calibri" w:cs="Calibri"/>
        </w:rPr>
        <w:footnoteReference w:id="54"/>
      </w:r>
      <w:r>
        <w:rPr>
          <w:rFonts w:ascii="Calibri" w:eastAsia="Times New Roman" w:hAnsi="Calibri" w:cs="Calibri"/>
          <w:bdr w:val="none" w:sz="0" w:space="0" w:color="auto" w:frame="1"/>
        </w:rPr>
        <w:t xml:space="preserve"> </w:t>
      </w:r>
      <w:r w:rsidR="006C2493" w:rsidRPr="006C2493">
        <w:rPr>
          <w:rFonts w:ascii="Calibri" w:eastAsia="Times New Roman" w:hAnsi="Calibri" w:cs="Calibri"/>
        </w:rPr>
        <w:t>A covered entity is prohibited from using or disclosing PHI without the written authorization of the patient unless required or permitted by the Privacy Rule. A covered entity that violates the Privacy Rule is subject to civil or criminal penalties.</w:t>
      </w:r>
      <w:r w:rsidR="00BA63AF">
        <w:rPr>
          <w:rFonts w:ascii="Calibri" w:eastAsia="Times New Roman" w:hAnsi="Calibri" w:cs="Calibri"/>
        </w:rPr>
        <w:t xml:space="preserve"> </w:t>
      </w:r>
      <w:r w:rsidR="006C2493" w:rsidRPr="006C2493">
        <w:rPr>
          <w:rFonts w:ascii="Calibri" w:eastAsia="Times New Roman" w:hAnsi="Calibri" w:cs="Calibri"/>
        </w:rPr>
        <w:t>Depending on a public health agency's organization and functions, it may or may not be covered by the Privacy Rule. To the extent that the Privacy Rule applies, it should allow public health agencies to disclose information to law enforcement in many situations that involve disease control, bioterrorism, or other public health threats. In this regard, the Privacy Rule is balanced to protect an individual's privacy while allowing important law enforcement functions to continue.</w:t>
      </w:r>
      <w:r w:rsidR="009616FA">
        <w:rPr>
          <w:rFonts w:ascii="Calibri" w:eastAsia="Times New Roman" w:hAnsi="Calibri" w:cs="Calibri"/>
        </w:rPr>
        <w:t xml:space="preserve"> </w:t>
      </w:r>
    </w:p>
    <w:p w14:paraId="034499D8" w14:textId="77777777" w:rsidR="001E0FCC" w:rsidRDefault="001E0FCC" w:rsidP="001E0FCC">
      <w:pPr>
        <w:spacing w:line="360" w:lineRule="auto"/>
        <w:rPr>
          <w:rFonts w:ascii="Calibri" w:eastAsia="Times New Roman" w:hAnsi="Calibri" w:cs="Calibri"/>
          <w:b/>
          <w:bCs/>
        </w:rPr>
      </w:pPr>
    </w:p>
    <w:p w14:paraId="6C1F3416" w14:textId="00F1953C" w:rsidR="00572FBE" w:rsidRPr="007D6F37" w:rsidRDefault="006C2493" w:rsidP="00980EE9">
      <w:pPr>
        <w:spacing w:line="360" w:lineRule="auto"/>
        <w:rPr>
          <w:rFonts w:ascii="Calibri" w:eastAsia="Times New Roman" w:hAnsi="Calibri" w:cs="Calibri"/>
        </w:rPr>
      </w:pPr>
      <w:r w:rsidRPr="006C2493">
        <w:rPr>
          <w:rFonts w:ascii="Calibri" w:eastAsia="Times New Roman" w:hAnsi="Calibri" w:cs="Calibri"/>
        </w:rPr>
        <w:t>The Privacy Rule also permits covered entities to disclose PHI to law enforcement officials</w:t>
      </w:r>
      <w:r w:rsidR="001E0FCC">
        <w:rPr>
          <w:rStyle w:val="FootnoteReference"/>
          <w:rFonts w:ascii="Calibri" w:eastAsia="Times New Roman" w:hAnsi="Calibri" w:cs="Calibri"/>
        </w:rPr>
        <w:footnoteReference w:id="55"/>
      </w:r>
      <w:r w:rsidR="001E0FCC">
        <w:rPr>
          <w:rFonts w:ascii="Calibri" w:eastAsia="Times New Roman" w:hAnsi="Calibri" w:cs="Calibri"/>
          <w:bdr w:val="none" w:sz="0" w:space="0" w:color="auto" w:frame="1"/>
        </w:rPr>
        <w:t xml:space="preserve"> </w:t>
      </w:r>
      <w:r w:rsidRPr="006C2493">
        <w:rPr>
          <w:rFonts w:ascii="Calibri" w:eastAsia="Times New Roman" w:hAnsi="Calibri" w:cs="Calibri"/>
        </w:rPr>
        <w:t xml:space="preserve">without the individual's authorization </w:t>
      </w:r>
      <w:r w:rsidR="003D09FC">
        <w:rPr>
          <w:rFonts w:ascii="Calibri" w:eastAsia="Times New Roman" w:hAnsi="Calibri" w:cs="Calibri"/>
        </w:rPr>
        <w:t>multiple</w:t>
      </w:r>
      <w:r w:rsidRPr="006C2493">
        <w:rPr>
          <w:rFonts w:ascii="Calibri" w:eastAsia="Times New Roman" w:hAnsi="Calibri" w:cs="Calibri"/>
        </w:rPr>
        <w:t xml:space="preserve"> specific circumstances described </w:t>
      </w:r>
      <w:r w:rsidR="003D09FC">
        <w:rPr>
          <w:rFonts w:ascii="Calibri" w:eastAsia="Times New Roman" w:hAnsi="Calibri" w:cs="Calibri"/>
        </w:rPr>
        <w:t>in the rule, such as</w:t>
      </w:r>
      <w:r w:rsidR="00973139">
        <w:rPr>
          <w:rFonts w:ascii="Calibri" w:eastAsia="Times New Roman" w:hAnsi="Calibri" w:cs="Calibri"/>
        </w:rPr>
        <w:t xml:space="preserve"> reporting PHI </w:t>
      </w:r>
      <w:r w:rsidR="002A2B1E">
        <w:rPr>
          <w:rFonts w:ascii="Calibri" w:eastAsia="Times New Roman" w:hAnsi="Calibri" w:cs="Calibri"/>
        </w:rPr>
        <w:t xml:space="preserve">to law enforcement </w:t>
      </w:r>
      <w:r w:rsidR="00973139">
        <w:rPr>
          <w:rFonts w:ascii="Calibri" w:eastAsia="Times New Roman" w:hAnsi="Calibri" w:cs="Calibri"/>
        </w:rPr>
        <w:t xml:space="preserve">when required to </w:t>
      </w:r>
      <w:r w:rsidR="00E61B49">
        <w:rPr>
          <w:rFonts w:ascii="Calibri" w:eastAsia="Times New Roman" w:hAnsi="Calibri" w:cs="Calibri"/>
        </w:rPr>
        <w:t xml:space="preserve">do so by law; </w:t>
      </w:r>
      <w:r w:rsidR="003D3A11">
        <w:rPr>
          <w:rFonts w:ascii="Calibri" w:eastAsia="Times New Roman" w:hAnsi="Calibri" w:cs="Calibri"/>
        </w:rPr>
        <w:t>to respond to a court and a</w:t>
      </w:r>
      <w:r w:rsidR="003D3A11" w:rsidRPr="005310FC">
        <w:rPr>
          <w:rFonts w:ascii="Calibri" w:eastAsia="Times New Roman" w:hAnsi="Calibri" w:cs="Calibri"/>
        </w:rPr>
        <w:t>dministrative subpoena</w:t>
      </w:r>
      <w:r w:rsidR="003D3A11">
        <w:rPr>
          <w:rFonts w:ascii="Calibri" w:eastAsia="Times New Roman" w:hAnsi="Calibri" w:cs="Calibri"/>
        </w:rPr>
        <w:t xml:space="preserve">, warrants and orders; </w:t>
      </w:r>
      <w:r w:rsidR="003D3A11" w:rsidRPr="005310FC">
        <w:rPr>
          <w:rFonts w:ascii="Calibri" w:eastAsia="Times New Roman" w:hAnsi="Calibri" w:cs="Calibri"/>
        </w:rPr>
        <w:t xml:space="preserve">or </w:t>
      </w:r>
      <w:r w:rsidR="009A3316" w:rsidRPr="009A3316">
        <w:rPr>
          <w:rFonts w:ascii="Calibri" w:eastAsia="Times New Roman" w:hAnsi="Calibri" w:cs="Calibri"/>
        </w:rPr>
        <w:t>to prevent or lessen a serious and imminent threat to the health or safety of an individual or the public</w:t>
      </w:r>
      <w:r w:rsidR="009A3316">
        <w:rPr>
          <w:rFonts w:ascii="Calibri" w:eastAsia="Times New Roman" w:hAnsi="Calibri" w:cs="Calibri"/>
        </w:rPr>
        <w:t>.</w:t>
      </w:r>
      <w:r w:rsidR="009A3316">
        <w:rPr>
          <w:rStyle w:val="FootnoteReference"/>
          <w:rFonts w:ascii="Calibri" w:eastAsia="Times New Roman" w:hAnsi="Calibri" w:cs="Calibri"/>
        </w:rPr>
        <w:footnoteReference w:id="56"/>
      </w:r>
      <w:r w:rsidR="009A3316" w:rsidRPr="009A3316">
        <w:rPr>
          <w:rFonts w:ascii="Calibri" w:eastAsia="Times New Roman" w:hAnsi="Calibri" w:cs="Calibri"/>
        </w:rPr>
        <w:t xml:space="preserve"> </w:t>
      </w:r>
      <w:r w:rsidR="009A3316">
        <w:rPr>
          <w:rFonts w:ascii="Calibri" w:eastAsia="Times New Roman" w:hAnsi="Calibri" w:cs="Calibri"/>
        </w:rPr>
        <w:t>(</w:t>
      </w:r>
      <w:r w:rsidR="008C4C89">
        <w:rPr>
          <w:rFonts w:ascii="Calibri" w:eastAsia="Times New Roman" w:hAnsi="Calibri" w:cs="Calibri"/>
        </w:rPr>
        <w:t xml:space="preserve">See </w:t>
      </w:r>
      <w:r w:rsidR="006059DE">
        <w:rPr>
          <w:rFonts w:ascii="Calibri" w:eastAsia="Times New Roman" w:hAnsi="Calibri" w:cs="Calibri"/>
        </w:rPr>
        <w:t xml:space="preserve">the full </w:t>
      </w:r>
      <w:r w:rsidRPr="006C0A33">
        <w:rPr>
          <w:rFonts w:ascii="Calibri" w:eastAsia="Times New Roman" w:hAnsi="Calibri" w:cs="Calibri"/>
        </w:rPr>
        <w:t xml:space="preserve">text of the </w:t>
      </w:r>
      <w:r w:rsidR="006059DE">
        <w:rPr>
          <w:rFonts w:ascii="Calibri" w:eastAsia="Times New Roman" w:hAnsi="Calibri" w:cs="Calibri"/>
        </w:rPr>
        <w:t xml:space="preserve">law enforcement </w:t>
      </w:r>
      <w:r w:rsidR="003C7D34">
        <w:rPr>
          <w:rFonts w:ascii="Calibri" w:eastAsia="Times New Roman" w:hAnsi="Calibri" w:cs="Calibri"/>
        </w:rPr>
        <w:t>disclosure</w:t>
      </w:r>
      <w:r w:rsidR="00A27579">
        <w:rPr>
          <w:rFonts w:ascii="Calibri" w:eastAsia="Times New Roman" w:hAnsi="Calibri" w:cs="Calibri"/>
        </w:rPr>
        <w:t xml:space="preserve"> </w:t>
      </w:r>
      <w:r w:rsidRPr="006C0A33">
        <w:rPr>
          <w:rFonts w:ascii="Calibri" w:eastAsia="Times New Roman" w:hAnsi="Calibri" w:cs="Calibri"/>
        </w:rPr>
        <w:t>to ensure that conditions and requirements for disclosure are met.</w:t>
      </w:r>
      <w:r w:rsidR="00CD67A9">
        <w:rPr>
          <w:rStyle w:val="FootnoteReference"/>
          <w:rFonts w:ascii="Calibri" w:eastAsia="Times New Roman" w:hAnsi="Calibri" w:cs="Calibri"/>
        </w:rPr>
        <w:footnoteReference w:id="57"/>
      </w:r>
      <w:r w:rsidR="00D2319B">
        <w:rPr>
          <w:rFonts w:ascii="Calibri" w:eastAsia="Times New Roman" w:hAnsi="Calibri" w:cs="Calibri"/>
        </w:rPr>
        <w:t>)</w:t>
      </w:r>
      <w:r w:rsidRPr="006C0A33">
        <w:rPr>
          <w:rFonts w:ascii="Calibri" w:eastAsia="Times New Roman" w:hAnsi="Calibri" w:cs="Calibri"/>
        </w:rPr>
        <w:t xml:space="preserve"> Except when required by law, disclosures to law enforcement are subject to a minimum necessary determination by the covered entity.</w:t>
      </w:r>
      <w:r w:rsidR="007D6F37">
        <w:rPr>
          <w:rStyle w:val="FootnoteReference"/>
          <w:rFonts w:ascii="Calibri" w:eastAsia="Times New Roman" w:hAnsi="Calibri" w:cs="Calibri"/>
        </w:rPr>
        <w:footnoteReference w:id="58"/>
      </w:r>
      <w:r w:rsidR="007D6F37">
        <w:rPr>
          <w:rFonts w:ascii="Calibri" w:eastAsia="Times New Roman" w:hAnsi="Calibri" w:cs="Calibri"/>
          <w:bdr w:val="none" w:sz="0" w:space="0" w:color="auto" w:frame="1"/>
          <w:vertAlign w:val="superscript"/>
        </w:rPr>
        <w:t xml:space="preserve"> </w:t>
      </w:r>
      <w:r w:rsidRPr="006C0A33">
        <w:rPr>
          <w:rFonts w:ascii="Calibri" w:eastAsia="Times New Roman" w:hAnsi="Calibri" w:cs="Calibri"/>
        </w:rPr>
        <w:t>When reasonable to do so, the covered entity may rely upon the representations of the law enforcement official as to what information is the minimum necessary for their lawful purpose.</w:t>
      </w:r>
      <w:r w:rsidR="007D6F37">
        <w:rPr>
          <w:rStyle w:val="FootnoteReference"/>
          <w:rFonts w:ascii="Calibri" w:eastAsia="Times New Roman" w:hAnsi="Calibri" w:cs="Calibri"/>
        </w:rPr>
        <w:footnoteReference w:id="59"/>
      </w:r>
      <w:r w:rsidR="007D6F37">
        <w:rPr>
          <w:rFonts w:ascii="Calibri" w:eastAsia="Times New Roman" w:hAnsi="Calibri" w:cs="Calibri"/>
          <w:bdr w:val="none" w:sz="0" w:space="0" w:color="auto" w:frame="1"/>
        </w:rPr>
        <w:t xml:space="preserve"> </w:t>
      </w:r>
      <w:r w:rsidRPr="006C0A33">
        <w:rPr>
          <w:rFonts w:ascii="Calibri" w:eastAsia="Times New Roman" w:hAnsi="Calibri" w:cs="Calibri"/>
        </w:rPr>
        <w:t>If the law enforcement official making the request for information is not known to the covered entity, then the covered entity must verify the identity and authority of such person prior to disclosing the information.</w:t>
      </w:r>
      <w:r w:rsidR="007D6F37">
        <w:rPr>
          <w:rStyle w:val="FootnoteReference"/>
          <w:rFonts w:ascii="Calibri" w:eastAsia="Times New Roman" w:hAnsi="Calibri" w:cs="Calibri"/>
        </w:rPr>
        <w:footnoteReference w:id="60"/>
      </w:r>
    </w:p>
    <w:p w14:paraId="53CB048E" w14:textId="77777777" w:rsidR="005310FC" w:rsidRPr="005310FC" w:rsidRDefault="005310FC" w:rsidP="00764111">
      <w:pPr>
        <w:spacing w:line="360" w:lineRule="auto"/>
        <w:rPr>
          <w:rFonts w:ascii="Calibri" w:eastAsia="Times New Roman" w:hAnsi="Calibri" w:cs="Calibri"/>
          <w:b/>
          <w:bCs/>
          <w:szCs w:val="20"/>
        </w:rPr>
      </w:pPr>
    </w:p>
    <w:p w14:paraId="6B3F39DB" w14:textId="1AFB18AB" w:rsidR="007D6F37" w:rsidRPr="00A32470" w:rsidRDefault="006C2493" w:rsidP="007D6F37">
      <w:pPr>
        <w:spacing w:line="360" w:lineRule="auto"/>
        <w:rPr>
          <w:rFonts w:ascii="Calibri" w:eastAsia="Times New Roman" w:hAnsi="Calibri" w:cs="Calibri"/>
          <w:b/>
          <w:bCs/>
          <w:sz w:val="24"/>
          <w:szCs w:val="24"/>
        </w:rPr>
      </w:pPr>
      <w:r w:rsidRPr="00A32470">
        <w:rPr>
          <w:rFonts w:ascii="Calibri" w:eastAsia="Times New Roman" w:hAnsi="Calibri" w:cs="Calibri"/>
          <w:b/>
          <w:bCs/>
          <w:sz w:val="24"/>
          <w:szCs w:val="24"/>
        </w:rPr>
        <w:t>V. State Statutes and Public Health Information Sharing with Law Enforcement</w:t>
      </w:r>
    </w:p>
    <w:p w14:paraId="6A59232F" w14:textId="1CDF2399" w:rsidR="00513601" w:rsidRDefault="006C2493" w:rsidP="00513601">
      <w:pPr>
        <w:spacing w:line="360" w:lineRule="auto"/>
        <w:rPr>
          <w:rFonts w:ascii="Calibri" w:eastAsia="Times New Roman" w:hAnsi="Calibri" w:cs="Calibri"/>
          <w:b/>
          <w:bCs/>
        </w:rPr>
      </w:pPr>
      <w:r w:rsidRPr="006C2493">
        <w:rPr>
          <w:rFonts w:ascii="Calibri" w:eastAsia="Times New Roman" w:hAnsi="Calibri" w:cs="Calibri"/>
        </w:rPr>
        <w:t>Generally, state law establishes the authority for reporting, collecting, using, and disclosing information for emergency preparedness and response. Before sharing information, state law must be reviewed with regard to each type of information that is proposed to be shared. In addition to</w:t>
      </w:r>
      <w:r w:rsidR="00FF52C5">
        <w:rPr>
          <w:rFonts w:ascii="Calibri" w:eastAsia="Times New Roman" w:hAnsi="Calibri" w:cs="Calibri"/>
        </w:rPr>
        <w:t>–</w:t>
      </w:r>
      <w:r w:rsidRPr="006C2493">
        <w:rPr>
          <w:rFonts w:ascii="Calibri" w:eastAsia="Times New Roman" w:hAnsi="Calibri" w:cs="Calibri"/>
        </w:rPr>
        <w:t>or in lieu of</w:t>
      </w:r>
      <w:r w:rsidR="00FF52C5">
        <w:rPr>
          <w:rFonts w:ascii="Calibri" w:eastAsia="Times New Roman" w:hAnsi="Calibri" w:cs="Calibri"/>
        </w:rPr>
        <w:t>–</w:t>
      </w:r>
      <w:r w:rsidRPr="006C2493">
        <w:rPr>
          <w:rFonts w:ascii="Calibri" w:eastAsia="Times New Roman" w:hAnsi="Calibri" w:cs="Calibri"/>
        </w:rPr>
        <w:t>laws specific to certain types of data, laws that cover public health powers and responsibilities, health information, and privacy might also apply or provide context for data-specific laws.</w:t>
      </w:r>
    </w:p>
    <w:p w14:paraId="539ED473" w14:textId="77777777" w:rsidR="00513601" w:rsidRDefault="00513601" w:rsidP="00513601">
      <w:pPr>
        <w:spacing w:line="360" w:lineRule="auto"/>
        <w:rPr>
          <w:rFonts w:ascii="Calibri" w:eastAsia="Times New Roman" w:hAnsi="Calibri" w:cs="Calibri"/>
          <w:b/>
          <w:bCs/>
        </w:rPr>
      </w:pPr>
    </w:p>
    <w:p w14:paraId="49F39894" w14:textId="78DD2BA1" w:rsidR="005554A4" w:rsidRDefault="006C2493" w:rsidP="005554A4">
      <w:pPr>
        <w:spacing w:line="360" w:lineRule="auto"/>
        <w:rPr>
          <w:rFonts w:ascii="Calibri" w:eastAsia="Times New Roman" w:hAnsi="Calibri" w:cs="Calibri"/>
          <w:b/>
          <w:bCs/>
        </w:rPr>
      </w:pPr>
      <w:r w:rsidRPr="006C2493">
        <w:rPr>
          <w:rFonts w:ascii="Calibri" w:eastAsia="Times New Roman" w:hAnsi="Calibri" w:cs="Calibri"/>
        </w:rPr>
        <w:t>Exercising the state's police power to protect the public's health during emergencies</w:t>
      </w:r>
      <w:r w:rsidR="000B1CA1">
        <w:rPr>
          <w:rFonts w:ascii="Calibri" w:eastAsia="Times New Roman" w:hAnsi="Calibri" w:cs="Calibri"/>
        </w:rPr>
        <w:t>–</w:t>
      </w:r>
      <w:r w:rsidRPr="006C2493">
        <w:rPr>
          <w:rFonts w:ascii="Calibri" w:eastAsia="Times New Roman" w:hAnsi="Calibri" w:cs="Calibri"/>
        </w:rPr>
        <w:t>as well as from more routine threats</w:t>
      </w:r>
      <w:r w:rsidR="000B1CA1">
        <w:rPr>
          <w:rFonts w:ascii="Calibri" w:eastAsia="Times New Roman" w:hAnsi="Calibri" w:cs="Calibri"/>
        </w:rPr>
        <w:t>–</w:t>
      </w:r>
      <w:r w:rsidRPr="006C2493">
        <w:rPr>
          <w:rFonts w:ascii="Calibri" w:eastAsia="Times New Roman" w:hAnsi="Calibri" w:cs="Calibri"/>
        </w:rPr>
        <w:t xml:space="preserve">requires balancing the common good with safeguarding individual liberty </w:t>
      </w:r>
      <w:r w:rsidRPr="006C2493">
        <w:rPr>
          <w:rFonts w:ascii="Calibri" w:eastAsia="Times New Roman" w:hAnsi="Calibri" w:cs="Calibri"/>
        </w:rPr>
        <w:lastRenderedPageBreak/>
        <w:t>interests, including autonomy and expectations of privacy.</w:t>
      </w:r>
      <w:r w:rsidR="00513601">
        <w:rPr>
          <w:rStyle w:val="FootnoteReference"/>
          <w:rFonts w:ascii="Calibri" w:eastAsia="Times New Roman" w:hAnsi="Calibri" w:cs="Calibri"/>
        </w:rPr>
        <w:footnoteReference w:id="61"/>
      </w:r>
      <w:r w:rsidR="00513601">
        <w:rPr>
          <w:rFonts w:ascii="Calibri" w:eastAsia="Times New Roman" w:hAnsi="Calibri" w:cs="Calibri"/>
          <w:bdr w:val="none" w:sz="0" w:space="0" w:color="auto" w:frame="1"/>
        </w:rPr>
        <w:t xml:space="preserve"> </w:t>
      </w:r>
      <w:r w:rsidRPr="006C2493">
        <w:rPr>
          <w:rFonts w:ascii="Calibri" w:eastAsia="Times New Roman" w:hAnsi="Calibri" w:cs="Calibri"/>
        </w:rPr>
        <w:t>State laws enacted to protect the public's health, safety, and welfare vary in their balance of individual privacy and the common good. States should assess their laws to determine whether public health agencies are able to share necessary information with law enforcement, the prerequisites and limits for such sharing, alternatives for communicating information when necessary to protect the public's health and consent is not an option, and the need for legislative revisions to address gaps.</w:t>
      </w:r>
    </w:p>
    <w:p w14:paraId="7B3C39A3" w14:textId="77777777" w:rsidR="005554A4" w:rsidRDefault="005554A4" w:rsidP="005554A4">
      <w:pPr>
        <w:spacing w:line="360" w:lineRule="auto"/>
        <w:rPr>
          <w:rFonts w:ascii="Calibri" w:eastAsia="Times New Roman" w:hAnsi="Calibri" w:cs="Calibri"/>
          <w:b/>
          <w:bCs/>
        </w:rPr>
      </w:pPr>
    </w:p>
    <w:p w14:paraId="4FA4A2D4" w14:textId="0036149D" w:rsidR="006C2493" w:rsidRPr="005554A4" w:rsidRDefault="006C2493" w:rsidP="005554A4">
      <w:pPr>
        <w:spacing w:line="360" w:lineRule="auto"/>
        <w:rPr>
          <w:rFonts w:ascii="Calibri" w:eastAsia="Times New Roman" w:hAnsi="Calibri" w:cs="Calibri"/>
          <w:b/>
          <w:bCs/>
        </w:rPr>
      </w:pPr>
      <w:r w:rsidRPr="006C2493">
        <w:rPr>
          <w:rFonts w:ascii="Calibri" w:eastAsia="Times New Roman" w:hAnsi="Calibri" w:cs="Calibri"/>
        </w:rPr>
        <w:t xml:space="preserve">Legal process might be an option to compel information sharing, such as court orders, search warrants, grand jury subpoenas, and FBI administrative orders under the Patriot Act. In the event of a declared disaster or emergency, a state's emergency management act might allow the governor to suspend state laws or issue executive directives to enable information sharing with law enforcement as necessary for emergency response. There may be rare but compelling circumstances where disclosure may be necessary, even though state law provides no applicable exception to privacy protections. A health official facing a decision about revealing confidential information to protect a third party or the general community should consult with his or her attorney to identify relevant legal responsibilities and evaluate competing </w:t>
      </w:r>
      <w:r w:rsidR="000E6478">
        <w:rPr>
          <w:rFonts w:ascii="Calibri" w:eastAsia="Times New Roman" w:hAnsi="Calibri" w:cs="Calibri"/>
        </w:rPr>
        <w:t>ethical</w:t>
      </w:r>
      <w:r w:rsidRPr="006C2493">
        <w:rPr>
          <w:rFonts w:ascii="Calibri" w:eastAsia="Times New Roman" w:hAnsi="Calibri" w:cs="Calibri"/>
        </w:rPr>
        <w:t xml:space="preserve"> claims. The health official should review restrictive language with counsel to determine permissible interpretations and avoid results that might prevent public health from carrying out responsibilities to protect the public. The situation and bases for action should be documented in case subsequent events lead to second guessing.</w:t>
      </w:r>
    </w:p>
    <w:p w14:paraId="3CDB873D" w14:textId="77777777" w:rsidR="00470544" w:rsidRDefault="00470544" w:rsidP="00764111">
      <w:pPr>
        <w:spacing w:line="360" w:lineRule="auto"/>
        <w:rPr>
          <w:rFonts w:ascii="Calibri" w:eastAsia="Times New Roman" w:hAnsi="Calibri" w:cs="Calibri"/>
          <w:b/>
          <w:bCs/>
        </w:rPr>
      </w:pPr>
    </w:p>
    <w:p w14:paraId="15082595" w14:textId="1FABE15B" w:rsidR="00470544" w:rsidRPr="000E52B0" w:rsidRDefault="006C2493" w:rsidP="00470544">
      <w:pPr>
        <w:spacing w:line="360" w:lineRule="auto"/>
        <w:rPr>
          <w:rFonts w:ascii="Calibri" w:eastAsia="Times New Roman" w:hAnsi="Calibri" w:cs="Calibri"/>
          <w:b/>
          <w:bCs/>
          <w:sz w:val="24"/>
          <w:szCs w:val="24"/>
        </w:rPr>
      </w:pPr>
      <w:r w:rsidRPr="000E52B0">
        <w:rPr>
          <w:rFonts w:ascii="Calibri" w:eastAsia="Times New Roman" w:hAnsi="Calibri" w:cs="Calibri"/>
          <w:b/>
          <w:bCs/>
          <w:sz w:val="24"/>
          <w:szCs w:val="24"/>
        </w:rPr>
        <w:t>Conclusion</w:t>
      </w:r>
    </w:p>
    <w:p w14:paraId="0C145B9C" w14:textId="77777777" w:rsidR="00C6337C" w:rsidRDefault="006C2493" w:rsidP="00C6337C">
      <w:pPr>
        <w:spacing w:line="360" w:lineRule="auto"/>
        <w:rPr>
          <w:rFonts w:ascii="Calibri" w:eastAsia="Times New Roman" w:hAnsi="Calibri" w:cs="Calibri"/>
          <w:b/>
          <w:bCs/>
        </w:rPr>
      </w:pPr>
      <w:r w:rsidRPr="006C2493">
        <w:rPr>
          <w:rFonts w:ascii="Calibri" w:eastAsia="Times New Roman" w:hAnsi="Calibri" w:cs="Calibri"/>
        </w:rPr>
        <w:t>Partnerships between law enforcement and public health agencies are important to emergency preparedness and effective response, whether the emergency is caused by natural, accidental, or intentional means. Information sharing may be necessary for public health agencies and law enforcement to both collaborate and carry out their respective functions during a public health emergency. Public health agencies should review legal authorities that apply to sharing information with law enforcement both when a disaster has been and has not been declared. As a result, barriers to sharing needed information will be more apparent and solutions can be identified.</w:t>
      </w:r>
    </w:p>
    <w:p w14:paraId="3B6CCDAD" w14:textId="77777777" w:rsidR="00C6337C" w:rsidRDefault="00C6337C" w:rsidP="00C6337C">
      <w:pPr>
        <w:spacing w:line="360" w:lineRule="auto"/>
        <w:rPr>
          <w:rFonts w:ascii="Calibri" w:eastAsia="Times New Roman" w:hAnsi="Calibri" w:cs="Calibri"/>
          <w:b/>
          <w:bCs/>
        </w:rPr>
      </w:pPr>
    </w:p>
    <w:p w14:paraId="42088780" w14:textId="040B2A92" w:rsidR="006C2493" w:rsidRPr="00C6337C" w:rsidRDefault="006C2493" w:rsidP="00C6337C">
      <w:pPr>
        <w:spacing w:line="360" w:lineRule="auto"/>
        <w:rPr>
          <w:rFonts w:ascii="Calibri" w:eastAsia="Times New Roman" w:hAnsi="Calibri" w:cs="Calibri"/>
          <w:b/>
          <w:bCs/>
        </w:rPr>
      </w:pPr>
      <w:r w:rsidRPr="006C2493">
        <w:rPr>
          <w:rFonts w:ascii="Calibri" w:eastAsia="Times New Roman" w:hAnsi="Calibri" w:cs="Calibri"/>
        </w:rPr>
        <w:lastRenderedPageBreak/>
        <w:t>Public health emergencies may involve criminal activities, resulting in joint or parallel public health and criminal investigations. Public health officials and law enforcement officers need to understand their respective roles and the different legal standards that govern their investigations and collection of information and evidence. Joint investigative training may be valuable, promoting effective response to protect the public health and ensure successful prosecution of perpetrators of bioterrorism and other crimes.</w:t>
      </w:r>
    </w:p>
    <w:p w14:paraId="4624AB6A" w14:textId="77777777" w:rsidR="00B75B7F" w:rsidRPr="005310FC" w:rsidRDefault="00B75B7F" w:rsidP="00764111">
      <w:pPr>
        <w:spacing w:line="360" w:lineRule="auto"/>
        <w:rPr>
          <w:rFonts w:ascii="Calibri" w:hAnsi="Calibri" w:cs="Calibri"/>
        </w:rPr>
      </w:pPr>
    </w:p>
    <w:sectPr w:rsidR="00B75B7F" w:rsidRPr="005310F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27377" w14:textId="77777777" w:rsidR="00A10DF2" w:rsidRDefault="00A10DF2" w:rsidP="00EB2B1B">
      <w:r>
        <w:separator/>
      </w:r>
    </w:p>
  </w:endnote>
  <w:endnote w:type="continuationSeparator" w:id="0">
    <w:p w14:paraId="73B6F788" w14:textId="77777777" w:rsidR="00A10DF2" w:rsidRDefault="00A10DF2" w:rsidP="00EB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813993"/>
      <w:docPartObj>
        <w:docPartGallery w:val="Page Numbers (Bottom of Page)"/>
        <w:docPartUnique/>
      </w:docPartObj>
    </w:sdtPr>
    <w:sdtEndPr>
      <w:rPr>
        <w:noProof/>
      </w:rPr>
    </w:sdtEndPr>
    <w:sdtContent>
      <w:p w14:paraId="49E410BA" w14:textId="19A01B95" w:rsidR="00EB2B1B" w:rsidRDefault="00EB2B1B" w:rsidP="00EB2B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76207" w14:textId="77777777" w:rsidR="00A10DF2" w:rsidRDefault="00A10DF2" w:rsidP="00EB2B1B">
      <w:r>
        <w:separator/>
      </w:r>
    </w:p>
  </w:footnote>
  <w:footnote w:type="continuationSeparator" w:id="0">
    <w:p w14:paraId="47D2A4E9" w14:textId="77777777" w:rsidR="00A10DF2" w:rsidRDefault="00A10DF2" w:rsidP="00EB2B1B">
      <w:r>
        <w:continuationSeparator/>
      </w:r>
    </w:p>
  </w:footnote>
  <w:footnote w:id="1">
    <w:p w14:paraId="0CC4E6ED" w14:textId="525CCF36" w:rsidR="00162CC1" w:rsidRPr="00162CC1" w:rsidRDefault="00162CC1" w:rsidP="00162CC1">
      <w:pPr>
        <w:pStyle w:val="FootnoteText"/>
        <w:tabs>
          <w:tab w:val="left" w:pos="686"/>
        </w:tabs>
        <w:rPr>
          <w:b/>
          <w:bCs/>
        </w:rPr>
      </w:pPr>
      <w:r>
        <w:rPr>
          <w:b/>
          <w:bCs/>
          <w:highlight w:val="yellow"/>
        </w:rPr>
        <w:t>Footnotes will be streamlined and edited to style guide once text is finalized</w:t>
      </w:r>
    </w:p>
    <w:p w14:paraId="78A8A81B" w14:textId="0FCC2217" w:rsidR="00162CC1" w:rsidRDefault="00162CC1">
      <w:pPr>
        <w:pStyle w:val="FootnoteText"/>
      </w:pPr>
      <w:r>
        <w:rPr>
          <w:rStyle w:val="FootnoteReference"/>
        </w:rPr>
        <w:footnoteRef/>
      </w:r>
      <w:r>
        <w:t xml:space="preserve"> </w:t>
      </w:r>
      <w:r w:rsidR="00386735">
        <w:t>CDC.</w:t>
      </w:r>
      <w:r w:rsidR="00E04406" w:rsidRPr="00E04406">
        <w:t xml:space="preserve"> </w:t>
      </w:r>
      <w:r w:rsidR="00386735" w:rsidRPr="00386735">
        <w:t>Public Health Emergency Preparedness and Response Capabilities: National Standards for State, Local, Tribal, and Territorial Public Health</w:t>
      </w:r>
      <w:r w:rsidR="00386735">
        <w:t>. October 2018</w:t>
      </w:r>
      <w:r w:rsidR="005E1D02">
        <w:t xml:space="preserve"> (Updated 2019)</w:t>
      </w:r>
      <w:r w:rsidR="00386735">
        <w:t xml:space="preserve">. Retrieved from </w:t>
      </w:r>
      <w:hyperlink r:id="rId1" w:history="1">
        <w:r w:rsidR="00A615D7" w:rsidRPr="009E6404">
          <w:rPr>
            <w:rStyle w:val="Hyperlink"/>
          </w:rPr>
          <w:t>https://www.cdc.gov/cpr/readiness/00_docs/CDC_PreparednesResponseCapabilities_October2018_Final_508.pdf</w:t>
        </w:r>
      </w:hyperlink>
      <w:r w:rsidR="00A615D7">
        <w:t xml:space="preserve">. </w:t>
      </w:r>
    </w:p>
  </w:footnote>
  <w:footnote w:id="2">
    <w:p w14:paraId="6BFC081D" w14:textId="562CB7BA" w:rsidR="002F6949" w:rsidRDefault="002F6949">
      <w:pPr>
        <w:pStyle w:val="FootnoteText"/>
      </w:pPr>
      <w:r>
        <w:rPr>
          <w:rStyle w:val="FootnoteReference"/>
        </w:rPr>
        <w:footnoteRef/>
      </w:r>
      <w:r>
        <w:t xml:space="preserve"> </w:t>
      </w:r>
      <w:r w:rsidRPr="002F6949">
        <w:t xml:space="preserve">CDC and Bureau of Justice Assistance. A Framework for Improving Cross-Sector Coordination for Emergency Preparedness and Response, Action Steps for Public Health, Law Enforcement, the Judiciary, and Corrections. July 2008. </w:t>
      </w:r>
      <w:r w:rsidR="0008499D">
        <w:t xml:space="preserve">Retrieved from </w:t>
      </w:r>
      <w:hyperlink r:id="rId2" w:history="1">
        <w:r w:rsidR="005E1D02" w:rsidRPr="009E6404">
          <w:rPr>
            <w:rStyle w:val="Hyperlink"/>
          </w:rPr>
          <w:t>http://cdc.gov/phlp/docs/CDC_BJA_Framework.pdf</w:t>
        </w:r>
      </w:hyperlink>
      <w:r w:rsidRPr="002F6949">
        <w:t>.</w:t>
      </w:r>
    </w:p>
  </w:footnote>
  <w:footnote w:id="3">
    <w:p w14:paraId="6D761805" w14:textId="1D802EBB" w:rsidR="002F6949" w:rsidRDefault="002F6949">
      <w:pPr>
        <w:pStyle w:val="FootnoteText"/>
      </w:pPr>
      <w:r>
        <w:rPr>
          <w:rStyle w:val="FootnoteReference"/>
        </w:rPr>
        <w:footnoteRef/>
      </w:r>
      <w:r>
        <w:t xml:space="preserve"> </w:t>
      </w:r>
      <w:r w:rsidR="007301F4">
        <w:t xml:space="preserve">CDC Public Health Law Program. Model Memorandum of Understanding. Retrieved from </w:t>
      </w:r>
      <w:hyperlink w:history="1">
        <w:r w:rsidR="007301F4" w:rsidRPr="004E09DA">
          <w:rPr>
            <w:rStyle w:val="Hyperlink"/>
          </w:rPr>
          <w:t>https://w ww.cdc.gov/phlp/publications/topic/mmou.html</w:t>
        </w:r>
      </w:hyperlink>
      <w:r w:rsidR="007301F4">
        <w:t>.</w:t>
      </w:r>
    </w:p>
  </w:footnote>
  <w:footnote w:id="4">
    <w:p w14:paraId="2888EF75" w14:textId="7B2289D9" w:rsidR="00D96E95" w:rsidRDefault="00D96E95">
      <w:pPr>
        <w:pStyle w:val="FootnoteText"/>
      </w:pPr>
      <w:r>
        <w:rPr>
          <w:rStyle w:val="FootnoteReference"/>
        </w:rPr>
        <w:footnoteRef/>
      </w:r>
      <w:r>
        <w:t xml:space="preserve"> </w:t>
      </w:r>
      <w:r w:rsidR="007301F4" w:rsidRPr="002F6949">
        <w:t xml:space="preserve">CDC and Bureau of Justice Assistance. A Framework for Improving Cross-Sector Coordination for Emergency Preparedness and Response, Action Steps for Public Health, Law Enforcement, the Judiciary, and Corrections. July 2008. </w:t>
      </w:r>
      <w:r w:rsidR="007301F4">
        <w:t xml:space="preserve">Retrieved from </w:t>
      </w:r>
      <w:hyperlink r:id="rId3" w:history="1">
        <w:r w:rsidR="007301F4" w:rsidRPr="009E6404">
          <w:rPr>
            <w:rStyle w:val="Hyperlink"/>
          </w:rPr>
          <w:t>http://cdc.gov/phlp/docs/CDC_BJA_Framework.pdf</w:t>
        </w:r>
      </w:hyperlink>
      <w:r w:rsidR="007301F4" w:rsidRPr="002F6949">
        <w:t>.</w:t>
      </w:r>
    </w:p>
  </w:footnote>
  <w:footnote w:id="5">
    <w:p w14:paraId="19261064" w14:textId="4E8E2BD1" w:rsidR="00D96E95" w:rsidRDefault="00D96E95">
      <w:pPr>
        <w:pStyle w:val="FootnoteText"/>
      </w:pPr>
      <w:r>
        <w:rPr>
          <w:rStyle w:val="FootnoteReference"/>
        </w:rPr>
        <w:footnoteRef/>
      </w:r>
      <w:r>
        <w:t xml:space="preserve"> </w:t>
      </w:r>
      <w:r w:rsidRPr="00D96E95">
        <w:t xml:space="preserve">U.S. Department of Justice and Bureau of Justice Assistance. "The Role of Law Enforcement in Public Health Emergencies: Special Considerations for an All-Hazards Approach." September 2006. </w:t>
      </w:r>
      <w:r w:rsidR="005F317E">
        <w:t xml:space="preserve">Retrieved from </w:t>
      </w:r>
      <w:hyperlink r:id="rId4" w:history="1">
        <w:r w:rsidR="007301F4" w:rsidRPr="009E6404">
          <w:rPr>
            <w:rStyle w:val="Hyperlink"/>
          </w:rPr>
          <w:t>https://www.ncjrs.gov/pdffiles1/bja/214333.pdf</w:t>
        </w:r>
      </w:hyperlink>
      <w:r w:rsidR="005F317E">
        <w:t>.</w:t>
      </w:r>
    </w:p>
  </w:footnote>
  <w:footnote w:id="6">
    <w:p w14:paraId="5FCC7B75" w14:textId="5B37BE10" w:rsidR="00CB3649" w:rsidRDefault="00CB3649">
      <w:pPr>
        <w:pStyle w:val="FootnoteText"/>
      </w:pPr>
      <w:r>
        <w:rPr>
          <w:rStyle w:val="FootnoteReference"/>
        </w:rPr>
        <w:footnoteRef/>
      </w:r>
      <w:r>
        <w:t xml:space="preserve"> </w:t>
      </w:r>
      <w:r w:rsidRPr="00CB3649">
        <w:t>Goodman RA, Munson JW, Dammer K, Lazzarini Z, Barkely JP. "Forensic Epidemiology: Law at the Intersection of Public Health and Criminal Investigations." Journal of the American Society of Law, Medicine &amp; Ethics. 2003. 31(4):684-700.</w:t>
      </w:r>
    </w:p>
  </w:footnote>
  <w:footnote w:id="7">
    <w:p w14:paraId="6653209C" w14:textId="11931A98" w:rsidR="00CB3649" w:rsidRDefault="00CB3649">
      <w:pPr>
        <w:pStyle w:val="FootnoteText"/>
      </w:pPr>
      <w:r>
        <w:rPr>
          <w:rStyle w:val="FootnoteReference"/>
        </w:rPr>
        <w:footnoteRef/>
      </w:r>
      <w:r>
        <w:t xml:space="preserve"> </w:t>
      </w:r>
      <w:r w:rsidRPr="00CB3649">
        <w:t>Dembek ZF, Kortepeter MG, Pavlin JA. "Discernment between deliberate and natural infectious disease outbreaks." Epidemiology and Infection. 2007. 135(3):353-371.</w:t>
      </w:r>
    </w:p>
  </w:footnote>
  <w:footnote w:id="8">
    <w:p w14:paraId="62C7A3C7" w14:textId="6E4D1146" w:rsidR="00CB3649" w:rsidRDefault="00CB3649">
      <w:pPr>
        <w:pStyle w:val="FootnoteText"/>
      </w:pPr>
      <w:r>
        <w:rPr>
          <w:rStyle w:val="FootnoteReference"/>
        </w:rPr>
        <w:footnoteRef/>
      </w:r>
      <w:r>
        <w:t xml:space="preserve"> </w:t>
      </w:r>
      <w:r w:rsidRPr="00CB3649">
        <w:t>Goodman RA, Munson JW, Dammer K, Lazzarini Z, Barkely JP. "Forensic Epidemiology: Law at the Intersection of Public Health and Criminal Investigations." Journal of the American Society of Law, Medicine &amp; Ethics. 2003. 31(4):684-700.</w:t>
      </w:r>
      <w:r w:rsidR="00D601BE">
        <w:t xml:space="preserve"> </w:t>
      </w:r>
    </w:p>
  </w:footnote>
  <w:footnote w:id="9">
    <w:p w14:paraId="0B94D947" w14:textId="3E97F53C" w:rsidR="00D601BE" w:rsidRDefault="00D601BE">
      <w:pPr>
        <w:pStyle w:val="FootnoteText"/>
      </w:pPr>
      <w:r>
        <w:rPr>
          <w:rStyle w:val="FootnoteReference"/>
        </w:rPr>
        <w:footnoteRef/>
      </w:r>
      <w:r>
        <w:t xml:space="preserve"> </w:t>
      </w:r>
      <w:r w:rsidR="001844D9" w:rsidRPr="002F6949">
        <w:t xml:space="preserve">CDC and Bureau of Justice Assistance. A Framework for Improving Cross-Sector Coordination for Emergency Preparedness and Response, Action Steps for Public Health, Law Enforcement, the Judiciary, and Corrections. July 2008. </w:t>
      </w:r>
      <w:r w:rsidR="001844D9">
        <w:t xml:space="preserve">Retrieved from </w:t>
      </w:r>
      <w:hyperlink r:id="rId5" w:history="1">
        <w:r w:rsidR="001844D9" w:rsidRPr="009E6404">
          <w:rPr>
            <w:rStyle w:val="Hyperlink"/>
          </w:rPr>
          <w:t>http://cdc.gov/phlp/docs/CDC_BJA_Framework.pdf</w:t>
        </w:r>
      </w:hyperlink>
      <w:r w:rsidR="001844D9" w:rsidRPr="002F6949">
        <w:t>.</w:t>
      </w:r>
      <w:r w:rsidR="000B36AA">
        <w:t xml:space="preserve"> </w:t>
      </w:r>
      <w:r w:rsidRPr="000B36AA">
        <w:rPr>
          <w:i/>
          <w:iCs/>
        </w:rPr>
        <w:t>See also</w:t>
      </w:r>
      <w:r w:rsidRPr="00D601BE">
        <w:t xml:space="preserve"> Goodman RA, Munson JW, Dammer K, Lazzarini Z, Barkely JP. "Forensic Epidemiology: Law at the Intersection of Public Health and Criminal Investigations." Journal of the American Society of Law, Medicine &amp; Ethics. 2003. 31(4):684-700.</w:t>
      </w:r>
    </w:p>
  </w:footnote>
  <w:footnote w:id="10">
    <w:p w14:paraId="3B9146DE" w14:textId="4BA78D9E" w:rsidR="00D601BE" w:rsidRDefault="00D601BE">
      <w:pPr>
        <w:pStyle w:val="FootnoteText"/>
      </w:pPr>
      <w:r>
        <w:rPr>
          <w:rStyle w:val="FootnoteReference"/>
        </w:rPr>
        <w:footnoteRef/>
      </w:r>
      <w:r>
        <w:t xml:space="preserve"> </w:t>
      </w:r>
      <w:r w:rsidR="00AB0C4C" w:rsidRPr="00AB0C4C">
        <w:t>Miller, Robert. Problems in Healthcare Law, 9th Revised Edition. Burlington, MA: Jones and Bartlett Publishers, 2005, p. 420.</w:t>
      </w:r>
    </w:p>
  </w:footnote>
  <w:footnote w:id="11">
    <w:p w14:paraId="3E10F2CD" w14:textId="4227C9F5" w:rsidR="00AA7182" w:rsidRDefault="00AA7182">
      <w:pPr>
        <w:pStyle w:val="FootnoteText"/>
      </w:pPr>
      <w:r>
        <w:rPr>
          <w:rStyle w:val="FootnoteReference"/>
        </w:rPr>
        <w:footnoteRef/>
      </w:r>
      <w:r>
        <w:t xml:space="preserve"> </w:t>
      </w:r>
      <w:r w:rsidRPr="00AA7182">
        <w:t xml:space="preserve">Sutton V. "Dual Purpose Bioterrorism Investigations in Law Enforcement and Public Health Protection: How to Make Them Work Consistent with the Rule of Law." Houston Journal of Health Law &amp; Policy. 2006. 6:151-170. </w:t>
      </w:r>
      <w:r w:rsidR="00A235AA">
        <w:t xml:space="preserve">Retrieved from </w:t>
      </w:r>
      <w:hyperlink r:id="rId6" w:history="1">
        <w:r w:rsidR="00A235AA">
          <w:rPr>
            <w:rStyle w:val="Hyperlink"/>
          </w:rPr>
          <w:t>https://www.law.uh.edu/hjhlp/volumes/Vol_6_1/Sutton.pdf</w:t>
        </w:r>
      </w:hyperlink>
      <w:r w:rsidR="00A235AA">
        <w:t>.</w:t>
      </w:r>
    </w:p>
  </w:footnote>
  <w:footnote w:id="12">
    <w:p w14:paraId="12B95B71" w14:textId="087D6F3A" w:rsidR="00540AF8" w:rsidRDefault="00540AF8">
      <w:pPr>
        <w:pStyle w:val="FootnoteText"/>
      </w:pPr>
      <w:r>
        <w:rPr>
          <w:rStyle w:val="FootnoteReference"/>
        </w:rPr>
        <w:footnoteRef/>
      </w:r>
      <w:r>
        <w:t xml:space="preserve"> </w:t>
      </w:r>
      <w:r w:rsidRPr="00540AF8">
        <w:t xml:space="preserve">Richards, EP. "Collaboration Between Public Health and Law Enforcement: The Constitutional Challenge. Emerging Infectious Diseases. 2002. 8(10):1157-1159. </w:t>
      </w:r>
      <w:r w:rsidR="00B073C8">
        <w:t>Retrieved from</w:t>
      </w:r>
      <w:r w:rsidRPr="00540AF8">
        <w:t xml:space="preserve"> </w:t>
      </w:r>
      <w:hyperlink r:id="rId7" w:history="1">
        <w:r w:rsidRPr="00CA61B1">
          <w:rPr>
            <w:rStyle w:val="Hyperlink"/>
          </w:rPr>
          <w:t>http://wwwnc.cdc.gov/eid/article/8/10/02-0465_article.htm</w:t>
        </w:r>
      </w:hyperlink>
      <w:r w:rsidRPr="00540AF8">
        <w:t>.</w:t>
      </w:r>
    </w:p>
  </w:footnote>
  <w:footnote w:id="13">
    <w:p w14:paraId="2E8C3E55" w14:textId="731F4BA4" w:rsidR="00FC1DB1" w:rsidRDefault="00FC1DB1">
      <w:pPr>
        <w:pStyle w:val="FootnoteText"/>
      </w:pPr>
      <w:r>
        <w:rPr>
          <w:rStyle w:val="FootnoteReference"/>
        </w:rPr>
        <w:footnoteRef/>
      </w:r>
      <w:r>
        <w:t xml:space="preserve"> </w:t>
      </w:r>
      <w:r w:rsidR="0015209A">
        <w:t>T</w:t>
      </w:r>
      <w:r w:rsidR="0015209A" w:rsidRPr="00FC1DB1">
        <w:t>he</w:t>
      </w:r>
      <w:r w:rsidRPr="00FC1DB1">
        <w:t xml:space="preserve"> </w:t>
      </w:r>
      <w:r w:rsidR="0015209A">
        <w:t>f</w:t>
      </w:r>
      <w:r w:rsidRPr="00FC1DB1">
        <w:t>ederal interagency partners</w:t>
      </w:r>
      <w:r w:rsidR="0015209A">
        <w:t xml:space="preserve"> include the </w:t>
      </w:r>
      <w:r w:rsidRPr="00FC1DB1">
        <w:t>Department of Homeland Security, Department of Justice, Federal Bureau of Investigation, Office of the Director of National Intelligence, Program Manager for the ISE, Office of National Drug Control Policy, and Department of Defense</w:t>
      </w:r>
      <w:r w:rsidR="001A4B40">
        <w:t xml:space="preserve">. DHS. Fusion Centers. Retrieved from </w:t>
      </w:r>
      <w:hyperlink r:id="rId8" w:history="1">
        <w:r w:rsidR="001A4B40">
          <w:rPr>
            <w:rStyle w:val="Hyperlink"/>
          </w:rPr>
          <w:t>https://www.dhs.gov/fusion-centers</w:t>
        </w:r>
      </w:hyperlink>
      <w:r w:rsidR="001A4B40">
        <w:t xml:space="preserve">. </w:t>
      </w:r>
    </w:p>
  </w:footnote>
  <w:footnote w:id="14">
    <w:p w14:paraId="6E37DC3C" w14:textId="15D0E971" w:rsidR="00FC1DB1" w:rsidRDefault="00FC1DB1">
      <w:pPr>
        <w:pStyle w:val="FootnoteText"/>
      </w:pPr>
      <w:r>
        <w:rPr>
          <w:rStyle w:val="FootnoteReference"/>
        </w:rPr>
        <w:footnoteRef/>
      </w:r>
      <w:r>
        <w:t xml:space="preserve"> </w:t>
      </w:r>
      <w:r w:rsidR="00B758CA">
        <w:t xml:space="preserve">DHS. Fusion Centers. Retrieved from </w:t>
      </w:r>
      <w:hyperlink r:id="rId9" w:history="1">
        <w:r w:rsidR="00B758CA">
          <w:rPr>
            <w:rStyle w:val="Hyperlink"/>
          </w:rPr>
          <w:t>https://www.dhs.gov/fusion-centers</w:t>
        </w:r>
      </w:hyperlink>
      <w:r w:rsidR="00B758CA">
        <w:t xml:space="preserve">. </w:t>
      </w:r>
    </w:p>
  </w:footnote>
  <w:footnote w:id="15">
    <w:p w14:paraId="229171A1" w14:textId="735C3A7C" w:rsidR="00462944" w:rsidRDefault="00462944">
      <w:pPr>
        <w:pStyle w:val="FootnoteText"/>
      </w:pPr>
      <w:r>
        <w:rPr>
          <w:rStyle w:val="FootnoteReference"/>
        </w:rPr>
        <w:footnoteRef/>
      </w:r>
      <w:r>
        <w:t xml:space="preserve"> DHS. Fusion Centers. Retrieved from </w:t>
      </w:r>
      <w:hyperlink r:id="rId10" w:history="1">
        <w:r>
          <w:rPr>
            <w:rStyle w:val="Hyperlink"/>
          </w:rPr>
          <w:t>https://www.dhs.gov/fusion-centers</w:t>
        </w:r>
      </w:hyperlink>
      <w:r>
        <w:t>.</w:t>
      </w:r>
    </w:p>
  </w:footnote>
  <w:footnote w:id="16">
    <w:p w14:paraId="08B74D2C" w14:textId="28260992" w:rsidR="006F6739" w:rsidRDefault="006F6739" w:rsidP="006F6739">
      <w:pPr>
        <w:pStyle w:val="FootnoteText"/>
      </w:pPr>
      <w:r>
        <w:rPr>
          <w:rStyle w:val="FootnoteReference"/>
        </w:rPr>
        <w:footnoteRef/>
      </w:r>
      <w:r>
        <w:t xml:space="preserve"> </w:t>
      </w:r>
      <w:r w:rsidR="00D82C51" w:rsidRPr="00D82C51">
        <w:t>National Strategy for the National Network of Fusion Centers</w:t>
      </w:r>
      <w:r w:rsidR="00195A25">
        <w:t xml:space="preserve"> 2014-2017. </w:t>
      </w:r>
      <w:r w:rsidR="006133F5">
        <w:t>July 2014.</w:t>
      </w:r>
      <w:r w:rsidR="00D463C4">
        <w:t xml:space="preserve"> Retrieved from </w:t>
      </w:r>
      <w:r w:rsidR="00410522">
        <w:t xml:space="preserve"> </w:t>
      </w:r>
      <w:hyperlink r:id="rId11" w:history="1">
        <w:r w:rsidR="00EA71EA" w:rsidRPr="009E6404">
          <w:rPr>
            <w:rStyle w:val="Hyperlink"/>
          </w:rPr>
          <w:t>https://nfcausa.org/html/National%20Strategy%20for%20the%20National%20Network%20of%20Fusion%20Centers.pdf</w:t>
        </w:r>
      </w:hyperlink>
      <w:r w:rsidR="00EA71EA">
        <w:t xml:space="preserve">. </w:t>
      </w:r>
      <w:r w:rsidR="00410522" w:rsidRPr="00410522">
        <w:rPr>
          <w:i/>
          <w:iCs/>
        </w:rPr>
        <w:t>See also</w:t>
      </w:r>
      <w:r w:rsidR="00410522">
        <w:t xml:space="preserve"> </w:t>
      </w:r>
      <w:r w:rsidRPr="002D6C0A">
        <w:t xml:space="preserve">U.S. Department of Justice and U.S. Department of Homeland Security. Fusion Center Guidelines: Developing and Sharing Information and Intelligence in a New Era. August 2006. </w:t>
      </w:r>
      <w:r w:rsidR="00410522">
        <w:t xml:space="preserve">Retrieved from </w:t>
      </w:r>
      <w:hyperlink r:id="rId12" w:history="1">
        <w:r w:rsidRPr="00CA61B1">
          <w:rPr>
            <w:rStyle w:val="Hyperlink"/>
          </w:rPr>
          <w:t>http://www.it.ojp.gov/documents/fusion_center_guidelines_law_enforcement.pdf</w:t>
        </w:r>
      </w:hyperlink>
      <w:r w:rsidRPr="002D6C0A">
        <w:t>.</w:t>
      </w:r>
    </w:p>
  </w:footnote>
  <w:footnote w:id="17">
    <w:p w14:paraId="44DFB62F" w14:textId="1483BD97" w:rsidR="000431A5" w:rsidRDefault="000431A5">
      <w:pPr>
        <w:pStyle w:val="FootnoteText"/>
      </w:pPr>
      <w:r>
        <w:rPr>
          <w:rStyle w:val="FootnoteReference"/>
        </w:rPr>
        <w:footnoteRef/>
      </w:r>
      <w:r>
        <w:t xml:space="preserve"> </w:t>
      </w:r>
      <w:r w:rsidRPr="00B40CC1">
        <w:rPr>
          <w:i/>
          <w:iCs/>
        </w:rPr>
        <w:t>See</w:t>
      </w:r>
      <w:r>
        <w:t xml:space="preserve"> National Fusion Center Association. </w:t>
      </w:r>
      <w:r w:rsidR="00410522">
        <w:t xml:space="preserve">Retrieved from </w:t>
      </w:r>
      <w:hyperlink r:id="rId13" w:history="1">
        <w:r w:rsidR="00410522">
          <w:rPr>
            <w:rStyle w:val="Hyperlink"/>
          </w:rPr>
          <w:t>https://nfcausa.org/</w:t>
        </w:r>
      </w:hyperlink>
      <w:r w:rsidR="00410522">
        <w:t>.</w:t>
      </w:r>
    </w:p>
  </w:footnote>
  <w:footnote w:id="18">
    <w:p w14:paraId="3DC6A4B0" w14:textId="4D94BA1B" w:rsidR="003D6EF6" w:rsidRDefault="003D6EF6" w:rsidP="003D6EF6">
      <w:pPr>
        <w:pStyle w:val="FootnoteText"/>
      </w:pPr>
      <w:r>
        <w:rPr>
          <w:rStyle w:val="FootnoteReference"/>
        </w:rPr>
        <w:footnoteRef/>
      </w:r>
      <w:r>
        <w:t xml:space="preserve"> </w:t>
      </w:r>
      <w:r w:rsidRPr="004F30F9">
        <w:t xml:space="preserve">U.S. Department of Homeland Security and U.S. Department of Justice. "Health Security: Public Health and Medical Integration for Fusion Centers." July 2011. </w:t>
      </w:r>
      <w:r w:rsidR="00B62D7C">
        <w:t xml:space="preserve">Retrieved from </w:t>
      </w:r>
      <w:hyperlink r:id="rId14" w:history="1">
        <w:r w:rsidRPr="00CA61B1">
          <w:rPr>
            <w:rStyle w:val="Hyperlink"/>
          </w:rPr>
          <w:t>https://it.ojp.gov/gist/159/Health-Security--Public-Health-and-Medical-Integration-for-Fusion-Centers</w:t>
        </w:r>
      </w:hyperlink>
      <w:r>
        <w:t>.</w:t>
      </w:r>
    </w:p>
  </w:footnote>
  <w:footnote w:id="19">
    <w:p w14:paraId="08A8C863" w14:textId="34D097ED" w:rsidR="003D6EF6" w:rsidRDefault="003D6EF6" w:rsidP="003D6EF6">
      <w:pPr>
        <w:pStyle w:val="FootnoteText"/>
      </w:pPr>
      <w:r>
        <w:rPr>
          <w:rStyle w:val="FootnoteReference"/>
        </w:rPr>
        <w:footnoteRef/>
      </w:r>
      <w:r>
        <w:t xml:space="preserve"> </w:t>
      </w:r>
      <w:r w:rsidRPr="00A62797">
        <w:t xml:space="preserve">Hodge J, Fuse Brown E, O'Connell J. "The HIPAA Privacy Rule and Bioterrorism Planning, Prevention, and Response." Biosecurity and Bioterrorism: Biodefense Strategy, Practice, and </w:t>
      </w:r>
      <w:r w:rsidR="00EB5314">
        <w:t>S</w:t>
      </w:r>
      <w:r w:rsidRPr="00A62797">
        <w:t xml:space="preserve">cience. 2004. 2(2):73-80. </w:t>
      </w:r>
    </w:p>
  </w:footnote>
  <w:footnote w:id="20">
    <w:p w14:paraId="1EC89709" w14:textId="49988115" w:rsidR="002A7010" w:rsidRDefault="002A7010">
      <w:pPr>
        <w:pStyle w:val="FootnoteText"/>
      </w:pPr>
      <w:r>
        <w:rPr>
          <w:rStyle w:val="FootnoteReference"/>
        </w:rPr>
        <w:footnoteRef/>
      </w:r>
      <w:r>
        <w:t xml:space="preserve"> </w:t>
      </w:r>
      <w:r w:rsidR="003901F2" w:rsidRPr="003901F2">
        <w:t>National Association of County and City Health Officials (NACCHO)</w:t>
      </w:r>
      <w:r w:rsidR="003901F2">
        <w:t xml:space="preserve">. </w:t>
      </w:r>
      <w:r w:rsidR="000C161D" w:rsidRPr="000C161D">
        <w:t>Improving Critical Collaboration Between Public Health Officials and Law Enforcement</w:t>
      </w:r>
      <w:r w:rsidR="008107E0">
        <w:t xml:space="preserve">. </w:t>
      </w:r>
      <w:r w:rsidR="004A1A81">
        <w:t>June 14, 2019.</w:t>
      </w:r>
      <w:r w:rsidR="003901F2">
        <w:t xml:space="preserve"> </w:t>
      </w:r>
      <w:r w:rsidR="00065761">
        <w:t>Homeland Security Today.US.</w:t>
      </w:r>
      <w:r w:rsidR="004A1A81">
        <w:t xml:space="preserve"> Retrieved from </w:t>
      </w:r>
      <w:hyperlink r:id="rId15" w:history="1">
        <w:r w:rsidR="003901F2" w:rsidRPr="00002ED3">
          <w:rPr>
            <w:rStyle w:val="Hyperlink"/>
          </w:rPr>
          <w:t>https://www.hstoday.us/subject-matter-areas/emergency-preparedness/improving-critical-collaboration-between-public-health-officials-and-law-enforcement/</w:t>
        </w:r>
      </w:hyperlink>
      <w:r w:rsidR="00E341E4">
        <w:t>.</w:t>
      </w:r>
    </w:p>
  </w:footnote>
  <w:footnote w:id="21">
    <w:p w14:paraId="3238FC8C" w14:textId="49F4943B" w:rsidR="0041582A" w:rsidRDefault="0041582A">
      <w:pPr>
        <w:pStyle w:val="FootnoteText"/>
      </w:pPr>
      <w:r>
        <w:rPr>
          <w:rStyle w:val="FootnoteReference"/>
        </w:rPr>
        <w:footnoteRef/>
      </w:r>
      <w:r>
        <w:t xml:space="preserve"> </w:t>
      </w:r>
      <w:r w:rsidRPr="0041582A">
        <w:t xml:space="preserve">Butler JC, Cohen ML, Friedman CR, Scripp RM, Watz CG. Collaboration </w:t>
      </w:r>
      <w:r w:rsidR="00795793" w:rsidRPr="0041582A">
        <w:t xml:space="preserve">Between Public Health </w:t>
      </w:r>
      <w:r w:rsidR="00795793">
        <w:t>a</w:t>
      </w:r>
      <w:r w:rsidR="00795793" w:rsidRPr="0041582A">
        <w:t xml:space="preserve">nd Law Enforcement: New Paradigms </w:t>
      </w:r>
      <w:r w:rsidR="00795793">
        <w:t>a</w:t>
      </w:r>
      <w:r w:rsidR="00795793" w:rsidRPr="0041582A">
        <w:t xml:space="preserve">nd Partnerships </w:t>
      </w:r>
      <w:r w:rsidR="00601E53">
        <w:t>f</w:t>
      </w:r>
      <w:r w:rsidR="00795793" w:rsidRPr="0041582A">
        <w:t xml:space="preserve">or Bioterrorism Planning </w:t>
      </w:r>
      <w:r w:rsidR="00795793">
        <w:t>a</w:t>
      </w:r>
      <w:r w:rsidR="00795793" w:rsidRPr="0041582A">
        <w:t>nd Response</w:t>
      </w:r>
      <w:r w:rsidR="00795793">
        <w:t>.</w:t>
      </w:r>
      <w:r w:rsidRPr="0041582A">
        <w:t xml:space="preserve"> Emerging Infectious Disease. 2002. 8(10):1152-1156. Retrieved from </w:t>
      </w:r>
      <w:hyperlink r:id="rId16" w:history="1">
        <w:r w:rsidRPr="00CA61B1">
          <w:rPr>
            <w:rStyle w:val="Hyperlink"/>
          </w:rPr>
          <w:t>http://wwwnc.cdc.gov/eid/article/8/10/02-0400.htm</w:t>
        </w:r>
      </w:hyperlink>
      <w:r w:rsidRPr="0041582A">
        <w:t>.</w:t>
      </w:r>
    </w:p>
  </w:footnote>
  <w:footnote w:id="22">
    <w:p w14:paraId="6DA0B2E5" w14:textId="444A3EC3" w:rsidR="0041582A" w:rsidRDefault="0041582A">
      <w:pPr>
        <w:pStyle w:val="FootnoteText"/>
      </w:pPr>
      <w:r>
        <w:rPr>
          <w:rStyle w:val="FootnoteReference"/>
        </w:rPr>
        <w:footnoteRef/>
      </w:r>
      <w:r>
        <w:t xml:space="preserve"> </w:t>
      </w:r>
      <w:r w:rsidR="00E01246" w:rsidRPr="0041582A">
        <w:t xml:space="preserve">Butler JC, Cohen ML, Friedman CR, Scripp RM, Watz CG. Collaboration Between Public Health </w:t>
      </w:r>
      <w:r w:rsidR="00E01246">
        <w:t>a</w:t>
      </w:r>
      <w:r w:rsidR="00E01246" w:rsidRPr="0041582A">
        <w:t xml:space="preserve">nd Law Enforcement: New Paradigms </w:t>
      </w:r>
      <w:r w:rsidR="00E01246">
        <w:t>a</w:t>
      </w:r>
      <w:r w:rsidR="00E01246" w:rsidRPr="0041582A">
        <w:t xml:space="preserve">nd Partnerships </w:t>
      </w:r>
      <w:r w:rsidR="00265FD6">
        <w:t>f</w:t>
      </w:r>
      <w:r w:rsidR="00E01246" w:rsidRPr="0041582A">
        <w:t xml:space="preserve">or Bioterrorism Planning </w:t>
      </w:r>
      <w:r w:rsidR="00E01246">
        <w:t>a</w:t>
      </w:r>
      <w:r w:rsidR="00E01246" w:rsidRPr="0041582A">
        <w:t>nd Response</w:t>
      </w:r>
      <w:r w:rsidR="00E01246">
        <w:t>.</w:t>
      </w:r>
      <w:r w:rsidR="00E01246" w:rsidRPr="0041582A">
        <w:t xml:space="preserve"> Emerging Infectious Disease. 2002. 8(10):1152-1156. Retrieved from </w:t>
      </w:r>
      <w:hyperlink r:id="rId17" w:history="1">
        <w:r w:rsidR="00E01246" w:rsidRPr="00CA61B1">
          <w:rPr>
            <w:rStyle w:val="Hyperlink"/>
          </w:rPr>
          <w:t>http://wwwnc.cdc.gov/eid/article/8/10/02-0400.htm</w:t>
        </w:r>
      </w:hyperlink>
      <w:r w:rsidR="00E01246" w:rsidRPr="0041582A">
        <w:t>.</w:t>
      </w:r>
    </w:p>
  </w:footnote>
  <w:footnote w:id="23">
    <w:p w14:paraId="552AA6B9" w14:textId="506AA40B" w:rsidR="0041582A" w:rsidRDefault="0041582A">
      <w:pPr>
        <w:pStyle w:val="FootnoteText"/>
      </w:pPr>
      <w:r>
        <w:rPr>
          <w:rStyle w:val="FootnoteReference"/>
        </w:rPr>
        <w:footnoteRef/>
      </w:r>
      <w:r>
        <w:t xml:space="preserve"> </w:t>
      </w:r>
      <w:r w:rsidR="0000196A" w:rsidRPr="003B0132">
        <w:rPr>
          <w:i/>
          <w:iCs/>
        </w:rPr>
        <w:t>See</w:t>
      </w:r>
      <w:r w:rsidR="0000196A">
        <w:t xml:space="preserve"> CDC Public Health Law Program. Model Memorandum of Understanding. Retrieved from </w:t>
      </w:r>
      <w:hyperlink w:history="1">
        <w:r w:rsidR="0000196A" w:rsidRPr="004E09DA">
          <w:rPr>
            <w:rStyle w:val="Hyperlink"/>
          </w:rPr>
          <w:t>https://w ww.cdc.gov/phlp/publications/topic/mmou.html</w:t>
        </w:r>
      </w:hyperlink>
      <w:r w:rsidR="0000196A">
        <w:t>.</w:t>
      </w:r>
    </w:p>
  </w:footnote>
  <w:footnote w:id="24">
    <w:p w14:paraId="2CF53B15" w14:textId="308D045C" w:rsidR="00672D06" w:rsidRDefault="00672D06">
      <w:pPr>
        <w:pStyle w:val="FootnoteText"/>
      </w:pPr>
      <w:r>
        <w:rPr>
          <w:rStyle w:val="FootnoteReference"/>
        </w:rPr>
        <w:footnoteRef/>
      </w:r>
      <w:r>
        <w:t xml:space="preserve"> </w:t>
      </w:r>
      <w:bookmarkStart w:id="0" w:name="_Hlk34936263"/>
      <w:r w:rsidRPr="00672D06">
        <w:t xml:space="preserve">Richards, EP. Collaboration Between Public Health and Law Enforcement: The Constitutional Challenge. Emerging Infectious Diseases. 2002. 8(10):1157-1159. </w:t>
      </w:r>
      <w:r w:rsidR="00E303A2">
        <w:t xml:space="preserve">Retrieved from </w:t>
      </w:r>
      <w:hyperlink r:id="rId18" w:history="1">
        <w:r w:rsidRPr="00CA61B1">
          <w:rPr>
            <w:rStyle w:val="Hyperlink"/>
          </w:rPr>
          <w:t>http://wwwnc.cdc.gov/eid/article/8/10/02-0465_article.htm</w:t>
        </w:r>
      </w:hyperlink>
      <w:r w:rsidRPr="00672D06">
        <w:t>.</w:t>
      </w:r>
      <w:bookmarkEnd w:id="0"/>
    </w:p>
  </w:footnote>
  <w:footnote w:id="25">
    <w:p w14:paraId="304A2BB1" w14:textId="3C7F70B4" w:rsidR="007D28A5" w:rsidRDefault="007D28A5" w:rsidP="007D28A5">
      <w:pPr>
        <w:pStyle w:val="FootnoteText"/>
      </w:pPr>
      <w:r>
        <w:rPr>
          <w:rStyle w:val="FootnoteReference"/>
        </w:rPr>
        <w:footnoteRef/>
      </w:r>
      <w:r>
        <w:t xml:space="preserve"> </w:t>
      </w:r>
      <w:r w:rsidRPr="00EB2760">
        <w:t>German M., Stanley J. American Civil Liberties Union: Fusion Center Update.</w:t>
      </w:r>
      <w:r w:rsidR="00B70B10">
        <w:t xml:space="preserve"> </w:t>
      </w:r>
      <w:r w:rsidRPr="00EB2760">
        <w:t xml:space="preserve">July 2008. </w:t>
      </w:r>
      <w:r w:rsidR="00B70B10">
        <w:t xml:space="preserve">Retrieved from </w:t>
      </w:r>
      <w:hyperlink r:id="rId19" w:history="1">
        <w:r w:rsidRPr="00CA61B1">
          <w:rPr>
            <w:rStyle w:val="Hyperlink"/>
          </w:rPr>
          <w:t>http://www.aclu.org/files/pdfs/privacy/fusion_update_20080729.pdf</w:t>
        </w:r>
      </w:hyperlink>
      <w:r w:rsidRPr="00EB2760">
        <w:t>.</w:t>
      </w:r>
    </w:p>
  </w:footnote>
  <w:footnote w:id="26">
    <w:p w14:paraId="0C21C4A7" w14:textId="31ADC4D2" w:rsidR="002B2F4F" w:rsidRDefault="002B2F4F">
      <w:pPr>
        <w:pStyle w:val="FootnoteText"/>
      </w:pPr>
      <w:r>
        <w:rPr>
          <w:rStyle w:val="FootnoteReference"/>
        </w:rPr>
        <w:footnoteRef/>
      </w:r>
      <w:r>
        <w:t xml:space="preserve"> </w:t>
      </w:r>
      <w:r w:rsidRPr="002B2F4F">
        <w:t xml:space="preserve">U.S. Department of Justice and Bureau of Justice Assistance. "The Role of Law Enforcement in Public Health Emergencies: Special Considerations for an All-Hazards Approach." September 2006. Available at </w:t>
      </w:r>
      <w:hyperlink r:id="rId20" w:history="1">
        <w:r w:rsidRPr="00CA61B1">
          <w:rPr>
            <w:rStyle w:val="Hyperlink"/>
          </w:rPr>
          <w:t>https://www.ncjrs.gov/pdffiles1/bja/214333.pdf</w:t>
        </w:r>
      </w:hyperlink>
      <w:r w:rsidRPr="002B2F4F">
        <w:t>.</w:t>
      </w:r>
      <w:r>
        <w:t xml:space="preserve"> </w:t>
      </w:r>
      <w:r w:rsidRPr="002B2F4F">
        <w:t xml:space="preserve"> Accessed June 29, 2012; Jacobson v. Massachusetts, 197 U.S. 11 (1905).</w:t>
      </w:r>
    </w:p>
  </w:footnote>
  <w:footnote w:id="27">
    <w:p w14:paraId="090DD588" w14:textId="4386EEF3" w:rsidR="002B2F4F" w:rsidRDefault="002B2F4F">
      <w:pPr>
        <w:pStyle w:val="FootnoteText"/>
      </w:pPr>
      <w:r>
        <w:rPr>
          <w:rStyle w:val="FootnoteReference"/>
        </w:rPr>
        <w:footnoteRef/>
      </w:r>
      <w:r>
        <w:t xml:space="preserve"> </w:t>
      </w:r>
      <w:r w:rsidR="000F1762" w:rsidRPr="00540AF8">
        <w:t xml:space="preserve">Richards, EP. "Collaboration Between Public Health and Law Enforcement: The Constitutional Challenge. Emerging Infectious Diseases. 2002. 8(10):1157-1159. </w:t>
      </w:r>
      <w:r w:rsidR="000F1762">
        <w:t>Retrieved from</w:t>
      </w:r>
      <w:r w:rsidR="000F1762" w:rsidRPr="00540AF8">
        <w:t xml:space="preserve"> </w:t>
      </w:r>
      <w:hyperlink r:id="rId21" w:history="1">
        <w:r w:rsidR="000F1762" w:rsidRPr="00CA61B1">
          <w:rPr>
            <w:rStyle w:val="Hyperlink"/>
          </w:rPr>
          <w:t>http://wwwnc.cdc.gov/eid/article/8/10/02-0465_article.htm</w:t>
        </w:r>
      </w:hyperlink>
      <w:r w:rsidR="000F1762" w:rsidRPr="00540AF8">
        <w:t>.</w:t>
      </w:r>
    </w:p>
  </w:footnote>
  <w:footnote w:id="28">
    <w:p w14:paraId="523AA1E1" w14:textId="0000CAB9" w:rsidR="002B2F4F" w:rsidRDefault="002B2F4F">
      <w:pPr>
        <w:pStyle w:val="FootnoteText"/>
      </w:pPr>
      <w:r>
        <w:rPr>
          <w:rStyle w:val="FootnoteReference"/>
        </w:rPr>
        <w:footnoteRef/>
      </w:r>
      <w:r>
        <w:t xml:space="preserve"> </w:t>
      </w:r>
      <w:r w:rsidR="000F1762" w:rsidRPr="00540AF8">
        <w:t xml:space="preserve">Richards, EP. "Collaboration Between Public Health and Law Enforcement: The Constitutional Challenge. Emerging Infectious Diseases. 2002. 8(10):1157-1159. </w:t>
      </w:r>
      <w:r w:rsidR="000F1762">
        <w:t>Retrieved from</w:t>
      </w:r>
      <w:r w:rsidR="000F1762" w:rsidRPr="00540AF8">
        <w:t xml:space="preserve"> </w:t>
      </w:r>
      <w:hyperlink r:id="rId22" w:history="1">
        <w:r w:rsidR="000F1762" w:rsidRPr="00CA61B1">
          <w:rPr>
            <w:rStyle w:val="Hyperlink"/>
          </w:rPr>
          <w:t>http://wwwnc.cdc.gov/eid/article/8/10/02-0465_article.htm</w:t>
        </w:r>
      </w:hyperlink>
      <w:r w:rsidR="000F1762" w:rsidRPr="00540AF8">
        <w:t>.</w:t>
      </w:r>
    </w:p>
  </w:footnote>
  <w:footnote w:id="29">
    <w:p w14:paraId="262F2EDD" w14:textId="157180F7" w:rsidR="003E27FB" w:rsidRDefault="003E27FB">
      <w:pPr>
        <w:pStyle w:val="FootnoteText"/>
      </w:pPr>
      <w:r>
        <w:rPr>
          <w:rStyle w:val="FootnoteReference"/>
        </w:rPr>
        <w:footnoteRef/>
      </w:r>
      <w:r>
        <w:t xml:space="preserve"> </w:t>
      </w:r>
      <w:r w:rsidRPr="003E27FB">
        <w:t>Jernigan JA, Stephens DS, Ashford DA, et al., and members of the Anthrax Bioterrorism Investigation Team. Bioterrorism-Related Inhalational Anthrax: The First 10 Cases Reported in the United States. Emerging and Infectious Disease. 2001. 7(6):933-944.</w:t>
      </w:r>
    </w:p>
  </w:footnote>
  <w:footnote w:id="30">
    <w:p w14:paraId="6A20C881" w14:textId="4571936B" w:rsidR="00815EE9" w:rsidRDefault="00815EE9">
      <w:pPr>
        <w:pStyle w:val="FootnoteText"/>
      </w:pPr>
      <w:r>
        <w:rPr>
          <w:rStyle w:val="FootnoteReference"/>
        </w:rPr>
        <w:footnoteRef/>
      </w:r>
      <w:r>
        <w:t xml:space="preserve"> </w:t>
      </w:r>
      <w:r w:rsidRPr="00815EE9">
        <w:t xml:space="preserve">CDC and Bureau of Justice Assistance. A Framework for Improving Cross-Sector Coordination for Emergency Preparedness and Response, Action Steps for Public Health, Law Enforcement, the Judiciary, and Corrections. July 2008. </w:t>
      </w:r>
      <w:r w:rsidR="008364FE">
        <w:t>Retrieved from</w:t>
      </w:r>
      <w:r w:rsidRPr="00815EE9">
        <w:t xml:space="preserve"> </w:t>
      </w:r>
      <w:hyperlink r:id="rId23" w:history="1">
        <w:r w:rsidRPr="00CA61B1">
          <w:rPr>
            <w:rStyle w:val="Hyperlink"/>
          </w:rPr>
          <w:t>http://cdc.gov/phlp/docs/CDC_BJA_Framework.pdf</w:t>
        </w:r>
      </w:hyperlink>
      <w:r w:rsidRPr="00815EE9">
        <w:t>.</w:t>
      </w:r>
      <w:r>
        <w:t xml:space="preserve"> </w:t>
      </w:r>
    </w:p>
  </w:footnote>
  <w:footnote w:id="31">
    <w:p w14:paraId="7ACF3887" w14:textId="18DA5909" w:rsidR="00815EE9" w:rsidRDefault="00815EE9">
      <w:pPr>
        <w:pStyle w:val="FootnoteText"/>
      </w:pPr>
      <w:r>
        <w:rPr>
          <w:rStyle w:val="FootnoteReference"/>
        </w:rPr>
        <w:footnoteRef/>
      </w:r>
      <w:r>
        <w:t xml:space="preserve"> </w:t>
      </w:r>
      <w:r w:rsidR="00823E44" w:rsidRPr="00815EE9">
        <w:t xml:space="preserve">CDC and Bureau of Justice Assistance. A Framework for Improving Cross-Sector Coordination for Emergency Preparedness and Response, Action Steps for Public Health, Law Enforcement, the Judiciary, and Corrections. July 2008. </w:t>
      </w:r>
      <w:r w:rsidR="00823E44">
        <w:t>Retrieved from</w:t>
      </w:r>
      <w:r w:rsidR="00823E44" w:rsidRPr="00815EE9">
        <w:t xml:space="preserve"> </w:t>
      </w:r>
      <w:hyperlink r:id="rId24" w:history="1">
        <w:r w:rsidR="00823E44" w:rsidRPr="00CA61B1">
          <w:rPr>
            <w:rStyle w:val="Hyperlink"/>
          </w:rPr>
          <w:t>http://cdc.gov/phlp/docs/CDC_BJA_Framework.pdf</w:t>
        </w:r>
      </w:hyperlink>
      <w:r w:rsidR="00823E44" w:rsidRPr="00815EE9">
        <w:t>.</w:t>
      </w:r>
    </w:p>
  </w:footnote>
  <w:footnote w:id="32">
    <w:p w14:paraId="35DDF29F" w14:textId="2665B30F" w:rsidR="00815EE9" w:rsidRDefault="00815EE9">
      <w:pPr>
        <w:pStyle w:val="FootnoteText"/>
      </w:pPr>
      <w:r>
        <w:rPr>
          <w:rStyle w:val="FootnoteReference"/>
        </w:rPr>
        <w:footnoteRef/>
      </w:r>
      <w:r>
        <w:t xml:space="preserve"> </w:t>
      </w:r>
      <w:r w:rsidR="00823E44" w:rsidRPr="00815EE9">
        <w:t xml:space="preserve">CDC and Bureau of Justice Assistance. </w:t>
      </w:r>
      <w:r w:rsidR="001E29B1" w:rsidRPr="006C2493">
        <w:rPr>
          <w:rFonts w:ascii="Calibri" w:eastAsia="Times New Roman" w:hAnsi="Calibri" w:cs="Calibri"/>
        </w:rPr>
        <w:t>Coordinated Implementation of Community Response Measures (Including Social Distancing) to Control the Spread of Pandemic Respiratory Disease: A Guide for Developing a Memorandum of Understanding for Public Health, Law Enforcement, Corrections, and the Judiciary</w:t>
      </w:r>
      <w:r w:rsidR="00C523DA">
        <w:rPr>
          <w:rFonts w:ascii="Calibri" w:eastAsia="Times New Roman" w:hAnsi="Calibri" w:cs="Calibri"/>
        </w:rPr>
        <w:t xml:space="preserve">. </w:t>
      </w:r>
      <w:r w:rsidR="00823E44" w:rsidRPr="00815EE9">
        <w:t xml:space="preserve">July 2008. </w:t>
      </w:r>
      <w:r w:rsidR="00823E44">
        <w:t>Retrieved from</w:t>
      </w:r>
      <w:r w:rsidR="00823E44" w:rsidRPr="00815EE9">
        <w:t xml:space="preserve"> </w:t>
      </w:r>
      <w:hyperlink r:id="rId25" w:history="1">
        <w:r w:rsidR="00F27A5F">
          <w:rPr>
            <w:rStyle w:val="Hyperlink"/>
          </w:rPr>
          <w:t>https://bja.ojp.gov/sites/g/files/xyckuh186/files/Publications/CRM_MOU.pdf</w:t>
        </w:r>
      </w:hyperlink>
      <w:r w:rsidR="00F27A5F">
        <w:t>.</w:t>
      </w:r>
    </w:p>
  </w:footnote>
  <w:footnote w:id="33">
    <w:p w14:paraId="608E610C" w14:textId="7CC68D2D" w:rsidR="00815EE9" w:rsidRDefault="00815EE9">
      <w:pPr>
        <w:pStyle w:val="FootnoteText"/>
      </w:pPr>
      <w:r>
        <w:rPr>
          <w:rStyle w:val="FootnoteReference"/>
        </w:rPr>
        <w:footnoteRef/>
      </w:r>
      <w:r w:rsidRPr="003B0132">
        <w:rPr>
          <w:i/>
          <w:iCs/>
        </w:rPr>
        <w:t xml:space="preserve"> </w:t>
      </w:r>
      <w:r w:rsidR="00C041F8" w:rsidRPr="003B0132">
        <w:rPr>
          <w:i/>
          <w:iCs/>
        </w:rPr>
        <w:t>See</w:t>
      </w:r>
      <w:r w:rsidR="00C041F8">
        <w:t xml:space="preserve"> CDC Public Health Law Program.</w:t>
      </w:r>
      <w:r w:rsidR="0031183F">
        <w:t xml:space="preserve"> Model Memorandum of </w:t>
      </w:r>
      <w:r w:rsidR="00760662">
        <w:t>Understanding</w:t>
      </w:r>
      <w:r w:rsidR="0031183F">
        <w:t>.</w:t>
      </w:r>
      <w:r w:rsidR="00760662">
        <w:t xml:space="preserve"> Retrieved from </w:t>
      </w:r>
      <w:hyperlink w:history="1">
        <w:r w:rsidR="00E04B12" w:rsidRPr="004E09DA">
          <w:rPr>
            <w:rStyle w:val="Hyperlink"/>
          </w:rPr>
          <w:t>https://w ww.cdc.gov/phlp/publications/topic/mmou.html</w:t>
        </w:r>
      </w:hyperlink>
      <w:r w:rsidR="00C041F8">
        <w:t>.</w:t>
      </w:r>
    </w:p>
  </w:footnote>
  <w:footnote w:id="34">
    <w:p w14:paraId="69814B80" w14:textId="21B04DCA" w:rsidR="00815EE9" w:rsidRDefault="00815EE9">
      <w:pPr>
        <w:pStyle w:val="FootnoteText"/>
      </w:pPr>
      <w:r>
        <w:rPr>
          <w:rStyle w:val="FootnoteReference"/>
        </w:rPr>
        <w:footnoteRef/>
      </w:r>
      <w:r>
        <w:t xml:space="preserve"> </w:t>
      </w:r>
      <w:r w:rsidRPr="00815EE9">
        <w:t>CDC</w:t>
      </w:r>
      <w:r w:rsidR="00CD1293">
        <w:t xml:space="preserve"> Public Health Law Program</w:t>
      </w:r>
      <w:r w:rsidRPr="00815EE9">
        <w:t>.</w:t>
      </w:r>
      <w:r w:rsidR="00CD1293">
        <w:t xml:space="preserve"> </w:t>
      </w:r>
      <w:r w:rsidRPr="00815EE9">
        <w:t>Forensic Epidemiology</w:t>
      </w:r>
      <w:r w:rsidR="00CD1293">
        <w:t xml:space="preserve"> 3.0</w:t>
      </w:r>
      <w:r w:rsidRPr="00815EE9">
        <w:t>.</w:t>
      </w:r>
      <w:r w:rsidR="00CD1293">
        <w:t xml:space="preserve"> </w:t>
      </w:r>
      <w:r w:rsidR="009F2EB7">
        <w:t xml:space="preserve">Retrieved from </w:t>
      </w:r>
      <w:hyperlink r:id="rId26" w:history="1">
        <w:r w:rsidR="009F2EB7">
          <w:rPr>
            <w:rStyle w:val="Hyperlink"/>
          </w:rPr>
          <w:t>https://www.cdc.gov/phlp/publications/forensicepidemiology/index.html</w:t>
        </w:r>
      </w:hyperlink>
      <w:r w:rsidR="009F2EB7">
        <w:t>.</w:t>
      </w:r>
    </w:p>
  </w:footnote>
  <w:footnote w:id="35">
    <w:p w14:paraId="2447BAD6" w14:textId="6D4400B5" w:rsidR="00815EE9" w:rsidRDefault="00815EE9">
      <w:pPr>
        <w:pStyle w:val="FootnoteText"/>
      </w:pPr>
      <w:r>
        <w:rPr>
          <w:rStyle w:val="FootnoteReference"/>
        </w:rPr>
        <w:footnoteRef/>
      </w:r>
      <w:r>
        <w:t xml:space="preserve"> </w:t>
      </w:r>
      <w:r w:rsidR="00CC4FEB" w:rsidRPr="00815EE9">
        <w:t>CDC and U.S. Department of Justice, Bureau of Justice Assistance. Joint Public Health-Law Enforcement Investigation</w:t>
      </w:r>
      <w:r w:rsidR="00CC4FEB">
        <w:t xml:space="preserve">. 2018 Domestic Edition. Retrieved from </w:t>
      </w:r>
      <w:hyperlink r:id="rId27" w:history="1">
        <w:r w:rsidR="00CC4FEB">
          <w:rPr>
            <w:rStyle w:val="Hyperlink"/>
          </w:rPr>
          <w:t>https://www.fbi.gov/file-repository/criminal-and-epidemiological-investigation-handbook.pdf/view</w:t>
        </w:r>
      </w:hyperlink>
      <w:r w:rsidR="00CC4FEB">
        <w:t xml:space="preserve">. 2016 International Edition. Retrieved from </w:t>
      </w:r>
      <w:hyperlink r:id="rId28" w:history="1">
        <w:r w:rsidR="00CC4FEB" w:rsidRPr="004E09DA">
          <w:rPr>
            <w:rStyle w:val="Hyperlink"/>
          </w:rPr>
          <w:t>https://www.cdc.gov/phlp/docs/crimepihandbook2016.pdf</w:t>
        </w:r>
      </w:hyperlink>
      <w:r w:rsidR="00CC4FEB">
        <w:t>.</w:t>
      </w:r>
    </w:p>
  </w:footnote>
  <w:footnote w:id="36">
    <w:p w14:paraId="75CAA1C4" w14:textId="1D060A4D" w:rsidR="003E4441" w:rsidRDefault="003E4441">
      <w:pPr>
        <w:pStyle w:val="FootnoteText"/>
      </w:pPr>
      <w:r>
        <w:rPr>
          <w:rStyle w:val="FootnoteReference"/>
        </w:rPr>
        <w:footnoteRef/>
      </w:r>
      <w:r>
        <w:t xml:space="preserve"> </w:t>
      </w:r>
      <w:r w:rsidRPr="003E4441">
        <w:t>Schmerber v. California, 384 U.S. 757 (1966).</w:t>
      </w:r>
    </w:p>
  </w:footnote>
  <w:footnote w:id="37">
    <w:p w14:paraId="34B5A588" w14:textId="391ADFE8" w:rsidR="005D3307" w:rsidRDefault="005D3307">
      <w:pPr>
        <w:pStyle w:val="FootnoteText"/>
      </w:pPr>
      <w:r>
        <w:rPr>
          <w:rStyle w:val="FootnoteReference"/>
        </w:rPr>
        <w:footnoteRef/>
      </w:r>
      <w:r>
        <w:t xml:space="preserve"> </w:t>
      </w:r>
      <w:r w:rsidRPr="005D3307">
        <w:t>Camara v. Municipal Court, 387 U.S. 523 (1967) (search of residences); See v. City of Seattle, 387 US 541 (1967) (search of commercial property).</w:t>
      </w:r>
    </w:p>
  </w:footnote>
  <w:footnote w:id="38">
    <w:p w14:paraId="77C0A21D" w14:textId="4F7AF19A" w:rsidR="00EF1E3D" w:rsidRDefault="00EF1E3D">
      <w:pPr>
        <w:pStyle w:val="FootnoteText"/>
      </w:pPr>
      <w:r>
        <w:rPr>
          <w:rStyle w:val="FootnoteReference"/>
        </w:rPr>
        <w:footnoteRef/>
      </w:r>
      <w:r>
        <w:t xml:space="preserve"> </w:t>
      </w:r>
      <w:r w:rsidRPr="00EF1E3D">
        <w:t>Goodman R, Hoffman R, Lopez W, et al (eds). Law in Public Health Practice, 2d Ed. New York: Oxford University Press, 2006,</w:t>
      </w:r>
      <w:r w:rsidR="00713DD5">
        <w:t xml:space="preserve"> </w:t>
      </w:r>
      <w:r w:rsidRPr="00EF1E3D">
        <w:t xml:space="preserve">p 154. </w:t>
      </w:r>
      <w:r w:rsidRPr="00713DD5">
        <w:rPr>
          <w:i/>
          <w:iCs/>
        </w:rPr>
        <w:t>See also</w:t>
      </w:r>
      <w:r w:rsidRPr="00EF1E3D">
        <w:t xml:space="preserve"> Camara v. Municipal Court, 387 US 523 (1967) (search of residences) </w:t>
      </w:r>
      <w:r w:rsidRPr="00713DD5">
        <w:rPr>
          <w:i/>
          <w:iCs/>
        </w:rPr>
        <w:t>and</w:t>
      </w:r>
      <w:r w:rsidRPr="00EF1E3D">
        <w:t xml:space="preserve"> See v. City of Seattle, 387 US 541 (1967) (search of commercial property).</w:t>
      </w:r>
    </w:p>
  </w:footnote>
  <w:footnote w:id="39">
    <w:p w14:paraId="63B3C82C" w14:textId="009D8035" w:rsidR="00EF1E3D" w:rsidRDefault="00EF1E3D">
      <w:pPr>
        <w:pStyle w:val="FootnoteText"/>
      </w:pPr>
      <w:r>
        <w:rPr>
          <w:rStyle w:val="FootnoteReference"/>
        </w:rPr>
        <w:footnoteRef/>
      </w:r>
      <w:r>
        <w:t xml:space="preserve"> </w:t>
      </w:r>
      <w:r w:rsidR="00713DD5" w:rsidRPr="00672D06">
        <w:t xml:space="preserve">Richards, EP. Collaboration Between Public Health and Law Enforcement: The Constitutional Challenge. Emerging Infectious Diseases. 2002. 8(10):1157-1159. </w:t>
      </w:r>
      <w:r w:rsidR="00713DD5">
        <w:t xml:space="preserve">Retrieved from </w:t>
      </w:r>
      <w:hyperlink r:id="rId29" w:history="1">
        <w:r w:rsidR="00713DD5" w:rsidRPr="00CA61B1">
          <w:rPr>
            <w:rStyle w:val="Hyperlink"/>
          </w:rPr>
          <w:t>http://wwwnc.cdc.gov/eid/article/8/10/02-0465_article.htm</w:t>
        </w:r>
      </w:hyperlink>
      <w:r w:rsidR="00713DD5" w:rsidRPr="00672D06">
        <w:t>.</w:t>
      </w:r>
    </w:p>
  </w:footnote>
  <w:footnote w:id="40">
    <w:p w14:paraId="2E04EB54" w14:textId="1CE61388" w:rsidR="009E2AAB" w:rsidRDefault="009E2AAB">
      <w:pPr>
        <w:pStyle w:val="FootnoteText"/>
      </w:pPr>
      <w:r>
        <w:rPr>
          <w:rStyle w:val="FootnoteReference"/>
        </w:rPr>
        <w:footnoteRef/>
      </w:r>
      <w:r>
        <w:t xml:space="preserve"> </w:t>
      </w:r>
      <w:r w:rsidRPr="009E2AAB">
        <w:t>Florida v. Jimeno, 500 U.S. 248 (1991).</w:t>
      </w:r>
    </w:p>
  </w:footnote>
  <w:footnote w:id="41">
    <w:p w14:paraId="4E673A80" w14:textId="41C0B740" w:rsidR="00E4145E" w:rsidRDefault="00E4145E">
      <w:pPr>
        <w:pStyle w:val="FootnoteText"/>
      </w:pPr>
      <w:r>
        <w:rPr>
          <w:rStyle w:val="FootnoteReference"/>
        </w:rPr>
        <w:footnoteRef/>
      </w:r>
      <w:r>
        <w:t xml:space="preserve"> </w:t>
      </w:r>
      <w:r w:rsidRPr="00E4145E">
        <w:t xml:space="preserve">New York v. Burger, 482 U.S. 691 (1987) (expectation of privacy in commercial property). </w:t>
      </w:r>
      <w:r w:rsidRPr="00713DD5">
        <w:rPr>
          <w:i/>
          <w:iCs/>
        </w:rPr>
        <w:t>See also</w:t>
      </w:r>
      <w:r w:rsidRPr="00E4145E">
        <w:t xml:space="preserve"> City of Indianapolis, et al., v. Edmond, 531 U.S. 32 (2000). </w:t>
      </w:r>
    </w:p>
  </w:footnote>
  <w:footnote w:id="42">
    <w:p w14:paraId="5579F98E" w14:textId="7BBB9518" w:rsidR="00E4145E" w:rsidRDefault="00E4145E">
      <w:pPr>
        <w:pStyle w:val="FootnoteText"/>
      </w:pPr>
      <w:r>
        <w:rPr>
          <w:rStyle w:val="FootnoteReference"/>
        </w:rPr>
        <w:footnoteRef/>
      </w:r>
      <w:r>
        <w:t xml:space="preserve"> </w:t>
      </w:r>
      <w:r w:rsidRPr="00E4145E">
        <w:t>City of Indianapolis, et al., v. Edmond, 531 U.S. 32 (2000).</w:t>
      </w:r>
    </w:p>
  </w:footnote>
  <w:footnote w:id="43">
    <w:p w14:paraId="4BED80D7" w14:textId="0143A420" w:rsidR="00E4145E" w:rsidRDefault="00E4145E">
      <w:pPr>
        <w:pStyle w:val="FootnoteText"/>
      </w:pPr>
      <w:r>
        <w:rPr>
          <w:rStyle w:val="FootnoteReference"/>
        </w:rPr>
        <w:footnoteRef/>
      </w:r>
      <w:r>
        <w:t xml:space="preserve"> </w:t>
      </w:r>
      <w:r w:rsidRPr="00E4145E">
        <w:t>Michigan v. Tyler, 436 U.S. 499 (1978).</w:t>
      </w:r>
    </w:p>
  </w:footnote>
  <w:footnote w:id="44">
    <w:p w14:paraId="0FABA9AB" w14:textId="0B7A0687" w:rsidR="00E4145E" w:rsidRDefault="00E4145E">
      <w:pPr>
        <w:pStyle w:val="FootnoteText"/>
      </w:pPr>
      <w:r>
        <w:rPr>
          <w:rStyle w:val="FootnoteReference"/>
        </w:rPr>
        <w:footnoteRef/>
      </w:r>
      <w:r>
        <w:t xml:space="preserve"> </w:t>
      </w:r>
      <w:r w:rsidRPr="00E4145E">
        <w:t>Gostin LO. Public Health Law: Power, Duty, Restraint. Berkeley, CA: University of California Press, 2008, p. 468, 699-700. See endnotes 57-58.</w:t>
      </w:r>
    </w:p>
  </w:footnote>
  <w:footnote w:id="45">
    <w:p w14:paraId="300A13E6" w14:textId="3D05E116" w:rsidR="00AB6AFA" w:rsidRDefault="00AB6AFA">
      <w:pPr>
        <w:pStyle w:val="FootnoteText"/>
      </w:pPr>
      <w:r>
        <w:rPr>
          <w:rStyle w:val="FootnoteReference"/>
        </w:rPr>
        <w:footnoteRef/>
      </w:r>
      <w:r>
        <w:t xml:space="preserve"> </w:t>
      </w:r>
      <w:r w:rsidRPr="00AB6AFA">
        <w:t>Goodman RA, Munson JW, Dammer K, Lazzarini Z, Barkely JP. "Forensic Epidemiology: Law at the Intersection of Public Health and Criminal Investigations." Journal of the American Society of Law, Medicine &amp; Ethics. 2003. 31(4):684-700.</w:t>
      </w:r>
    </w:p>
  </w:footnote>
  <w:footnote w:id="46">
    <w:p w14:paraId="492E895F" w14:textId="2839EB10" w:rsidR="00C641CE" w:rsidRDefault="00C641CE">
      <w:pPr>
        <w:pStyle w:val="FootnoteText"/>
      </w:pPr>
      <w:r>
        <w:rPr>
          <w:rStyle w:val="FootnoteReference"/>
        </w:rPr>
        <w:footnoteRef/>
      </w:r>
      <w:r>
        <w:t xml:space="preserve"> </w:t>
      </w:r>
      <w:r w:rsidRPr="00C641CE">
        <w:t>Oregon v. Elstad, 470 U.S. 298, 309 (1985).</w:t>
      </w:r>
    </w:p>
  </w:footnote>
  <w:footnote w:id="47">
    <w:p w14:paraId="62C08935" w14:textId="2F707501" w:rsidR="00C641CE" w:rsidRDefault="00C641CE">
      <w:pPr>
        <w:pStyle w:val="FootnoteText"/>
      </w:pPr>
      <w:r>
        <w:rPr>
          <w:rStyle w:val="FootnoteReference"/>
        </w:rPr>
        <w:footnoteRef/>
      </w:r>
      <w:r>
        <w:t xml:space="preserve"> </w:t>
      </w:r>
      <w:r w:rsidRPr="00C641CE">
        <w:t>New York v. Quarles, 467 U.S. 649, 104 S. Ct. 2626, 81 L. Ed. 2d 550 (1984).</w:t>
      </w:r>
    </w:p>
  </w:footnote>
  <w:footnote w:id="48">
    <w:p w14:paraId="321C5F60" w14:textId="1B113A26" w:rsidR="00C641CE" w:rsidRDefault="00C641CE">
      <w:pPr>
        <w:pStyle w:val="FootnoteText"/>
      </w:pPr>
      <w:r>
        <w:rPr>
          <w:rStyle w:val="FootnoteReference"/>
        </w:rPr>
        <w:footnoteRef/>
      </w:r>
      <w:r>
        <w:t xml:space="preserve"> </w:t>
      </w:r>
      <w:r w:rsidRPr="00C641CE">
        <w:t>USA Patriot Act (P.L. 107-56).</w:t>
      </w:r>
    </w:p>
  </w:footnote>
  <w:footnote w:id="49">
    <w:p w14:paraId="1897229E" w14:textId="3CDD454F" w:rsidR="0018578C" w:rsidRDefault="0018578C">
      <w:pPr>
        <w:pStyle w:val="FootnoteText"/>
      </w:pPr>
      <w:r>
        <w:rPr>
          <w:rStyle w:val="FootnoteReference"/>
        </w:rPr>
        <w:footnoteRef/>
      </w:r>
      <w:r>
        <w:t xml:space="preserve"> </w:t>
      </w:r>
      <w:r w:rsidRPr="0018578C">
        <w:t>The National Security Act of 1947, as amended; The Intelligence Reform and Terrorism Prevention Act of 2004 (IRTPA), as amended; Presidential Memorandum dated April 10, 2007 (Assignment of Functions Relating to the Information Sharing Environment); Presidential Memorandum dated December 16, 2005 (Guidelines and Requirements in Support of the Information Sharing Environment); DNI memorandum dated May 2, 2007 (Program Manager's Responsibilities); Executive Order 13388; and other applicable provisions of law.</w:t>
      </w:r>
    </w:p>
  </w:footnote>
  <w:footnote w:id="50">
    <w:p w14:paraId="2380BA6A" w14:textId="2B1DF1E2" w:rsidR="00FE342F" w:rsidRDefault="00FE342F" w:rsidP="00FE342F">
      <w:pPr>
        <w:pStyle w:val="FootnoteText"/>
      </w:pPr>
      <w:r>
        <w:rPr>
          <w:rStyle w:val="FootnoteReference"/>
        </w:rPr>
        <w:footnoteRef/>
      </w:r>
      <w:r>
        <w:t xml:space="preserve"> </w:t>
      </w:r>
      <w:r w:rsidRPr="00452B39">
        <w:t>42 U.S.C. § 300gg et seq.</w:t>
      </w:r>
    </w:p>
  </w:footnote>
  <w:footnote w:id="51">
    <w:p w14:paraId="7F91188F" w14:textId="002B2904" w:rsidR="00452B39" w:rsidRDefault="00452B39">
      <w:pPr>
        <w:pStyle w:val="FootnoteText"/>
      </w:pPr>
      <w:r>
        <w:rPr>
          <w:rStyle w:val="FootnoteReference"/>
        </w:rPr>
        <w:footnoteRef/>
      </w:r>
      <w:r>
        <w:t xml:space="preserve"> </w:t>
      </w:r>
      <w:r w:rsidRPr="00452B39">
        <w:t xml:space="preserve">45 C.F.R. § 160.103, definition of protected health information; U.S. Department of Health and Human Services. "Summary of the HIPAA Privacy Rule." May 2003. </w:t>
      </w:r>
      <w:r w:rsidR="00C862F6">
        <w:t xml:space="preserve">Retrieved from </w:t>
      </w:r>
      <w:hyperlink r:id="rId30" w:history="1">
        <w:r w:rsidR="00C862F6">
          <w:rPr>
            <w:rStyle w:val="Hyperlink"/>
          </w:rPr>
          <w:t>https://www.hhs.gov/hipaa/for-professionals/privacy/laws-regulations/index.html</w:t>
        </w:r>
      </w:hyperlink>
      <w:r w:rsidR="00C862F6">
        <w:t>.</w:t>
      </w:r>
    </w:p>
  </w:footnote>
  <w:footnote w:id="52">
    <w:p w14:paraId="5FBB8636" w14:textId="6BC647F5" w:rsidR="00C060E6" w:rsidRDefault="00C060E6" w:rsidP="00C060E6">
      <w:pPr>
        <w:pStyle w:val="FootnoteText"/>
      </w:pPr>
      <w:r>
        <w:rPr>
          <w:rStyle w:val="FootnoteReference"/>
        </w:rPr>
        <w:footnoteRef/>
      </w:r>
      <w:r>
        <w:t xml:space="preserve"> </w:t>
      </w:r>
      <w:r w:rsidRPr="00602951">
        <w:t>45 C.F.R. § 164.514(a).</w:t>
      </w:r>
    </w:p>
  </w:footnote>
  <w:footnote w:id="53">
    <w:p w14:paraId="3818B08A" w14:textId="7E213DAF" w:rsidR="00C060E6" w:rsidRDefault="00C060E6" w:rsidP="00C060E6">
      <w:pPr>
        <w:pStyle w:val="FootnoteText"/>
      </w:pPr>
      <w:r>
        <w:rPr>
          <w:rStyle w:val="FootnoteReference"/>
        </w:rPr>
        <w:footnoteRef/>
      </w:r>
      <w:r>
        <w:t xml:space="preserve"> </w:t>
      </w:r>
      <w:r w:rsidRPr="00EC3C99">
        <w:t>45 C.F.R. § 164.514(b)(1).</w:t>
      </w:r>
    </w:p>
  </w:footnote>
  <w:footnote w:id="54">
    <w:p w14:paraId="28EDBEBF" w14:textId="664E595B" w:rsidR="002063C5" w:rsidRDefault="002063C5" w:rsidP="002063C5">
      <w:pPr>
        <w:pStyle w:val="FootnoteText"/>
      </w:pPr>
      <w:r>
        <w:rPr>
          <w:rStyle w:val="FootnoteReference"/>
        </w:rPr>
        <w:footnoteRef/>
      </w:r>
      <w:r>
        <w:t xml:space="preserve"> </w:t>
      </w:r>
      <w:r w:rsidRPr="0086512A">
        <w:t>45 C.F.R. Parts 160, 164.</w:t>
      </w:r>
    </w:p>
  </w:footnote>
  <w:footnote w:id="55">
    <w:p w14:paraId="7E057F25" w14:textId="544990E0" w:rsidR="001E0FCC" w:rsidRDefault="001E0FCC">
      <w:pPr>
        <w:pStyle w:val="FootnoteText"/>
      </w:pPr>
      <w:r>
        <w:rPr>
          <w:rStyle w:val="FootnoteReference"/>
        </w:rPr>
        <w:footnoteRef/>
      </w:r>
      <w:r>
        <w:t xml:space="preserve"> </w:t>
      </w:r>
      <w:r w:rsidRPr="001E0FCC">
        <w:t>U.S. Department of Health and Human Services. HHS FAQs: When does the Privacy Rule allow covered entities to disclose protected health information to law enforcement officials?</w:t>
      </w:r>
      <w:r w:rsidR="00985104">
        <w:t xml:space="preserve"> Retrieved from </w:t>
      </w:r>
      <w:hyperlink r:id="rId31" w:history="1">
        <w:r w:rsidRPr="00CA61B1">
          <w:rPr>
            <w:rStyle w:val="Hyperlink"/>
          </w:rPr>
          <w:t>http://www.hhs.gov/ocr/privacy/hipaa/faq/disclosures_for_law_enforcement_purposes/505.html</w:t>
        </w:r>
      </w:hyperlink>
      <w:r w:rsidR="00E5285A">
        <w:t>.</w:t>
      </w:r>
    </w:p>
  </w:footnote>
  <w:footnote w:id="56">
    <w:p w14:paraId="20C4DC5D" w14:textId="12F825B0" w:rsidR="009A3316" w:rsidRDefault="009A3316">
      <w:pPr>
        <w:pStyle w:val="FootnoteText"/>
      </w:pPr>
      <w:r>
        <w:rPr>
          <w:rStyle w:val="FootnoteReference"/>
        </w:rPr>
        <w:footnoteRef/>
      </w:r>
      <w:r>
        <w:t xml:space="preserve"> </w:t>
      </w:r>
      <w:r w:rsidR="006A14B6" w:rsidRPr="001E0FCC">
        <w:t>U.S. Department of Health and Human Services. HHS FAQs: When does the Privacy Rule allow covered entities to disclose protected health information to law enforcement officials?</w:t>
      </w:r>
      <w:r w:rsidR="006A14B6">
        <w:t xml:space="preserve"> Retrieved from </w:t>
      </w:r>
      <w:hyperlink r:id="rId32" w:history="1">
        <w:r w:rsidR="006A14B6" w:rsidRPr="00CA61B1">
          <w:rPr>
            <w:rStyle w:val="Hyperlink"/>
          </w:rPr>
          <w:t>http://www.hhs.gov/ocr/privacy/hipaa/faq/disclosures_for_law_enforcement_purposes/505.html</w:t>
        </w:r>
      </w:hyperlink>
      <w:r w:rsidR="006A14B6">
        <w:t>.</w:t>
      </w:r>
    </w:p>
  </w:footnote>
  <w:footnote w:id="57">
    <w:p w14:paraId="7E13FAD6" w14:textId="54CA9F76" w:rsidR="00CD67A9" w:rsidRDefault="00CD67A9">
      <w:pPr>
        <w:pStyle w:val="FootnoteText"/>
      </w:pPr>
      <w:r>
        <w:rPr>
          <w:rStyle w:val="FootnoteReference"/>
        </w:rPr>
        <w:footnoteRef/>
      </w:r>
      <w:r>
        <w:t xml:space="preserve"> </w:t>
      </w:r>
      <w:r w:rsidR="006A14B6" w:rsidRPr="001E0FCC">
        <w:t>U.S. Department of Health and Human Services. HHS FAQs: When does the Privacy Rule allow covered entities to disclose protected health information to law enforcement officials?</w:t>
      </w:r>
      <w:r w:rsidR="006A14B6">
        <w:t xml:space="preserve"> Retrieved from </w:t>
      </w:r>
      <w:hyperlink r:id="rId33" w:history="1">
        <w:r w:rsidR="006A14B6" w:rsidRPr="00CA61B1">
          <w:rPr>
            <w:rStyle w:val="Hyperlink"/>
          </w:rPr>
          <w:t>http://www.hhs.gov/ocr/privacy/hipaa/faq/disclosures_for_law_enforcement_purposes/505.html</w:t>
        </w:r>
      </w:hyperlink>
      <w:r w:rsidR="006A14B6">
        <w:t>.</w:t>
      </w:r>
    </w:p>
  </w:footnote>
  <w:footnote w:id="58">
    <w:p w14:paraId="1B626C41" w14:textId="6006832F" w:rsidR="007D6F37" w:rsidRDefault="007D6F37">
      <w:pPr>
        <w:pStyle w:val="FootnoteText"/>
      </w:pPr>
      <w:r>
        <w:rPr>
          <w:rStyle w:val="FootnoteReference"/>
        </w:rPr>
        <w:footnoteRef/>
      </w:r>
      <w:r>
        <w:t xml:space="preserve"> </w:t>
      </w:r>
      <w:r w:rsidRPr="007D6F37">
        <w:t>45 C.F.R. § 164.502(b), 164.514(d).</w:t>
      </w:r>
    </w:p>
  </w:footnote>
  <w:footnote w:id="59">
    <w:p w14:paraId="481A205A" w14:textId="72666E10" w:rsidR="007D6F37" w:rsidRDefault="007D6F37">
      <w:pPr>
        <w:pStyle w:val="FootnoteText"/>
      </w:pPr>
      <w:r>
        <w:rPr>
          <w:rStyle w:val="FootnoteReference"/>
        </w:rPr>
        <w:footnoteRef/>
      </w:r>
      <w:r>
        <w:t xml:space="preserve"> </w:t>
      </w:r>
      <w:r w:rsidRPr="007D6F37">
        <w:t>45 C.F.R. § 164.514(d)(3)(iii)(A).</w:t>
      </w:r>
    </w:p>
  </w:footnote>
  <w:footnote w:id="60">
    <w:p w14:paraId="55DF2A16" w14:textId="52913863" w:rsidR="007D6F37" w:rsidRDefault="007D6F37">
      <w:pPr>
        <w:pStyle w:val="FootnoteText"/>
      </w:pPr>
      <w:r>
        <w:rPr>
          <w:rStyle w:val="FootnoteReference"/>
        </w:rPr>
        <w:footnoteRef/>
      </w:r>
      <w:r>
        <w:t xml:space="preserve"> </w:t>
      </w:r>
      <w:r w:rsidRPr="007D6F37">
        <w:t>45 C.F.R. § 164.514(h).</w:t>
      </w:r>
    </w:p>
  </w:footnote>
  <w:footnote w:id="61">
    <w:p w14:paraId="53B84612" w14:textId="2807265D" w:rsidR="00513601" w:rsidRDefault="00513601">
      <w:pPr>
        <w:pStyle w:val="FootnoteText"/>
      </w:pPr>
      <w:r>
        <w:rPr>
          <w:rStyle w:val="FootnoteReference"/>
        </w:rPr>
        <w:footnoteRef/>
      </w:r>
      <w:r>
        <w:t xml:space="preserve"> </w:t>
      </w:r>
      <w:r w:rsidR="0000165A" w:rsidRPr="002F6949">
        <w:t xml:space="preserve">CDC and Bureau of Justice Assistance. A Framework for Improving Cross-Sector Coordination for Emergency Preparedness and Response, Action Steps for Public Health, Law Enforcement, the Judiciary, and Corrections. July 2008. </w:t>
      </w:r>
      <w:r w:rsidR="0000165A">
        <w:t xml:space="preserve">Retrieved from </w:t>
      </w:r>
      <w:hyperlink r:id="rId34" w:history="1">
        <w:r w:rsidR="0000165A" w:rsidRPr="009E6404">
          <w:rPr>
            <w:rStyle w:val="Hyperlink"/>
          </w:rPr>
          <w:t>http://cdc.gov/phlp/docs/CDC_BJA_Framework.pdf</w:t>
        </w:r>
      </w:hyperlink>
      <w:r w:rsidR="0000165A" w:rsidRPr="002F69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B2D00" w14:textId="05D9CFCE" w:rsidR="00502950" w:rsidRPr="00502950" w:rsidRDefault="00502950" w:rsidP="00502950">
    <w:pPr>
      <w:pStyle w:val="Header"/>
      <w:jc w:val="center"/>
      <w:rPr>
        <w:b/>
        <w:bCs/>
      </w:rPr>
    </w:pPr>
    <w:r w:rsidRPr="00502950">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22197"/>
    <w:multiLevelType w:val="multilevel"/>
    <w:tmpl w:val="C3E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64C5A"/>
    <w:multiLevelType w:val="multilevel"/>
    <w:tmpl w:val="B91C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795839"/>
    <w:multiLevelType w:val="hybridMultilevel"/>
    <w:tmpl w:val="8EF6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41606"/>
    <w:multiLevelType w:val="hybridMultilevel"/>
    <w:tmpl w:val="15CA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47FD5"/>
    <w:multiLevelType w:val="hybridMultilevel"/>
    <w:tmpl w:val="A3D2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A046AE"/>
    <w:multiLevelType w:val="multilevel"/>
    <w:tmpl w:val="992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04F7C"/>
    <w:multiLevelType w:val="multilevel"/>
    <w:tmpl w:val="FE24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895E34"/>
    <w:multiLevelType w:val="multilevel"/>
    <w:tmpl w:val="9A30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52340"/>
    <w:multiLevelType w:val="hybridMultilevel"/>
    <w:tmpl w:val="15EC5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F509BC"/>
    <w:multiLevelType w:val="hybridMultilevel"/>
    <w:tmpl w:val="4D28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1309B"/>
    <w:multiLevelType w:val="multilevel"/>
    <w:tmpl w:val="EC70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F01D4"/>
    <w:multiLevelType w:val="multilevel"/>
    <w:tmpl w:val="808E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20EE7"/>
    <w:multiLevelType w:val="hybridMultilevel"/>
    <w:tmpl w:val="C974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11"/>
  </w:num>
  <w:num w:numId="6">
    <w:abstractNumId w:val="10"/>
  </w:num>
  <w:num w:numId="7">
    <w:abstractNumId w:val="6"/>
  </w:num>
  <w:num w:numId="8">
    <w:abstractNumId w:val="3"/>
  </w:num>
  <w:num w:numId="9">
    <w:abstractNumId w:val="9"/>
  </w:num>
  <w:num w:numId="10">
    <w:abstractNumId w:val="8"/>
  </w:num>
  <w:num w:numId="11">
    <w:abstractNumId w:val="4"/>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493"/>
    <w:rsid w:val="0000165A"/>
    <w:rsid w:val="0000196A"/>
    <w:rsid w:val="0001274C"/>
    <w:rsid w:val="00020728"/>
    <w:rsid w:val="000310FE"/>
    <w:rsid w:val="000431A5"/>
    <w:rsid w:val="00065761"/>
    <w:rsid w:val="00074148"/>
    <w:rsid w:val="00075209"/>
    <w:rsid w:val="0008499D"/>
    <w:rsid w:val="00093DA9"/>
    <w:rsid w:val="00096CF3"/>
    <w:rsid w:val="000A662C"/>
    <w:rsid w:val="000B1CA1"/>
    <w:rsid w:val="000B36AA"/>
    <w:rsid w:val="000C161D"/>
    <w:rsid w:val="000D3808"/>
    <w:rsid w:val="000E52B0"/>
    <w:rsid w:val="000E57A0"/>
    <w:rsid w:val="000E6478"/>
    <w:rsid w:val="000F0F7B"/>
    <w:rsid w:val="000F15B3"/>
    <w:rsid w:val="000F1762"/>
    <w:rsid w:val="000F2353"/>
    <w:rsid w:val="000F2369"/>
    <w:rsid w:val="001174F7"/>
    <w:rsid w:val="00144410"/>
    <w:rsid w:val="00145F05"/>
    <w:rsid w:val="00151278"/>
    <w:rsid w:val="00151CC3"/>
    <w:rsid w:val="0015209A"/>
    <w:rsid w:val="001547D9"/>
    <w:rsid w:val="0015489E"/>
    <w:rsid w:val="00162CC1"/>
    <w:rsid w:val="001844D9"/>
    <w:rsid w:val="0018578C"/>
    <w:rsid w:val="00195A25"/>
    <w:rsid w:val="001A4B40"/>
    <w:rsid w:val="001D5DB8"/>
    <w:rsid w:val="001E0FCC"/>
    <w:rsid w:val="001E29B1"/>
    <w:rsid w:val="002063C5"/>
    <w:rsid w:val="0022077A"/>
    <w:rsid w:val="00222BEA"/>
    <w:rsid w:val="002367CF"/>
    <w:rsid w:val="00261D34"/>
    <w:rsid w:val="00265FD6"/>
    <w:rsid w:val="00276048"/>
    <w:rsid w:val="002848E4"/>
    <w:rsid w:val="002860A8"/>
    <w:rsid w:val="00291F26"/>
    <w:rsid w:val="002952B7"/>
    <w:rsid w:val="002A2B1E"/>
    <w:rsid w:val="002A7010"/>
    <w:rsid w:val="002B0327"/>
    <w:rsid w:val="002B0A02"/>
    <w:rsid w:val="002B1404"/>
    <w:rsid w:val="002B2F4F"/>
    <w:rsid w:val="002C7C3C"/>
    <w:rsid w:val="002D6C0A"/>
    <w:rsid w:val="002E0A1D"/>
    <w:rsid w:val="002E2CFF"/>
    <w:rsid w:val="002F3F23"/>
    <w:rsid w:val="002F6949"/>
    <w:rsid w:val="0030609E"/>
    <w:rsid w:val="0031183F"/>
    <w:rsid w:val="00360591"/>
    <w:rsid w:val="003724DE"/>
    <w:rsid w:val="003735F8"/>
    <w:rsid w:val="00386735"/>
    <w:rsid w:val="003901F2"/>
    <w:rsid w:val="00397C48"/>
    <w:rsid w:val="003B0132"/>
    <w:rsid w:val="003C086C"/>
    <w:rsid w:val="003C4EC2"/>
    <w:rsid w:val="003C7D34"/>
    <w:rsid w:val="003D09FC"/>
    <w:rsid w:val="003D3A11"/>
    <w:rsid w:val="003D4E98"/>
    <w:rsid w:val="003D6EF6"/>
    <w:rsid w:val="003E0138"/>
    <w:rsid w:val="003E27FB"/>
    <w:rsid w:val="003E2D4A"/>
    <w:rsid w:val="003E4441"/>
    <w:rsid w:val="003E6DF6"/>
    <w:rsid w:val="003E7BAF"/>
    <w:rsid w:val="00410522"/>
    <w:rsid w:val="00413EE5"/>
    <w:rsid w:val="0041582A"/>
    <w:rsid w:val="004207E3"/>
    <w:rsid w:val="0045005C"/>
    <w:rsid w:val="004512EA"/>
    <w:rsid w:val="00452B39"/>
    <w:rsid w:val="00454DE4"/>
    <w:rsid w:val="00462944"/>
    <w:rsid w:val="00470544"/>
    <w:rsid w:val="004710D8"/>
    <w:rsid w:val="00472F50"/>
    <w:rsid w:val="00476446"/>
    <w:rsid w:val="00477339"/>
    <w:rsid w:val="00484F92"/>
    <w:rsid w:val="004A1A81"/>
    <w:rsid w:val="004C430A"/>
    <w:rsid w:val="004C55D7"/>
    <w:rsid w:val="004D1BFC"/>
    <w:rsid w:val="004F30F9"/>
    <w:rsid w:val="004F40C9"/>
    <w:rsid w:val="005015BF"/>
    <w:rsid w:val="00502950"/>
    <w:rsid w:val="005109AC"/>
    <w:rsid w:val="00513601"/>
    <w:rsid w:val="00523585"/>
    <w:rsid w:val="005241C0"/>
    <w:rsid w:val="005310FC"/>
    <w:rsid w:val="00533FB8"/>
    <w:rsid w:val="005373F5"/>
    <w:rsid w:val="00540AF8"/>
    <w:rsid w:val="005554A4"/>
    <w:rsid w:val="00572FBE"/>
    <w:rsid w:val="005835E4"/>
    <w:rsid w:val="005D2A20"/>
    <w:rsid w:val="005D3307"/>
    <w:rsid w:val="005E1D02"/>
    <w:rsid w:val="005F1499"/>
    <w:rsid w:val="005F16B1"/>
    <w:rsid w:val="005F317E"/>
    <w:rsid w:val="005F566F"/>
    <w:rsid w:val="00601E53"/>
    <w:rsid w:val="00602951"/>
    <w:rsid w:val="00602A29"/>
    <w:rsid w:val="006059DE"/>
    <w:rsid w:val="006133F5"/>
    <w:rsid w:val="00613DCF"/>
    <w:rsid w:val="00633987"/>
    <w:rsid w:val="00644AF1"/>
    <w:rsid w:val="00664E42"/>
    <w:rsid w:val="00672D06"/>
    <w:rsid w:val="00680CD0"/>
    <w:rsid w:val="00692E0D"/>
    <w:rsid w:val="006A14B6"/>
    <w:rsid w:val="006A4C39"/>
    <w:rsid w:val="006B0957"/>
    <w:rsid w:val="006C0A33"/>
    <w:rsid w:val="006C2493"/>
    <w:rsid w:val="006D0E0B"/>
    <w:rsid w:val="006F6739"/>
    <w:rsid w:val="0070229D"/>
    <w:rsid w:val="00713DD5"/>
    <w:rsid w:val="00716224"/>
    <w:rsid w:val="0072155B"/>
    <w:rsid w:val="007239CD"/>
    <w:rsid w:val="007301F4"/>
    <w:rsid w:val="00760662"/>
    <w:rsid w:val="00764111"/>
    <w:rsid w:val="00770A1B"/>
    <w:rsid w:val="00772045"/>
    <w:rsid w:val="00780AEF"/>
    <w:rsid w:val="00781C4E"/>
    <w:rsid w:val="00795793"/>
    <w:rsid w:val="007B1976"/>
    <w:rsid w:val="007C0718"/>
    <w:rsid w:val="007D28A5"/>
    <w:rsid w:val="007D6F37"/>
    <w:rsid w:val="007E4952"/>
    <w:rsid w:val="008107E0"/>
    <w:rsid w:val="00812856"/>
    <w:rsid w:val="00815EE9"/>
    <w:rsid w:val="00823E44"/>
    <w:rsid w:val="00824B6C"/>
    <w:rsid w:val="00825213"/>
    <w:rsid w:val="008352DA"/>
    <w:rsid w:val="008364FE"/>
    <w:rsid w:val="008468C9"/>
    <w:rsid w:val="00846F72"/>
    <w:rsid w:val="00851D16"/>
    <w:rsid w:val="0086512A"/>
    <w:rsid w:val="00866DCD"/>
    <w:rsid w:val="00876427"/>
    <w:rsid w:val="00887D12"/>
    <w:rsid w:val="00892ABC"/>
    <w:rsid w:val="008C4C89"/>
    <w:rsid w:val="008D5906"/>
    <w:rsid w:val="008F01E8"/>
    <w:rsid w:val="00904052"/>
    <w:rsid w:val="00907F44"/>
    <w:rsid w:val="00913D92"/>
    <w:rsid w:val="00944C36"/>
    <w:rsid w:val="0095769F"/>
    <w:rsid w:val="009616FA"/>
    <w:rsid w:val="00966F3A"/>
    <w:rsid w:val="00973139"/>
    <w:rsid w:val="00973A7B"/>
    <w:rsid w:val="0097785C"/>
    <w:rsid w:val="00980EE9"/>
    <w:rsid w:val="00985104"/>
    <w:rsid w:val="009931D7"/>
    <w:rsid w:val="009A2BE6"/>
    <w:rsid w:val="009A3316"/>
    <w:rsid w:val="009B3763"/>
    <w:rsid w:val="009C1EA0"/>
    <w:rsid w:val="009C69C4"/>
    <w:rsid w:val="009E2AAB"/>
    <w:rsid w:val="009E59D1"/>
    <w:rsid w:val="009F2EB7"/>
    <w:rsid w:val="00A06BC8"/>
    <w:rsid w:val="00A10DF2"/>
    <w:rsid w:val="00A235AA"/>
    <w:rsid w:val="00A27579"/>
    <w:rsid w:val="00A2794E"/>
    <w:rsid w:val="00A32470"/>
    <w:rsid w:val="00A400C5"/>
    <w:rsid w:val="00A45A7F"/>
    <w:rsid w:val="00A50EB0"/>
    <w:rsid w:val="00A562A2"/>
    <w:rsid w:val="00A615D7"/>
    <w:rsid w:val="00A62797"/>
    <w:rsid w:val="00A91D75"/>
    <w:rsid w:val="00AA7182"/>
    <w:rsid w:val="00AB0C4C"/>
    <w:rsid w:val="00AB6AFA"/>
    <w:rsid w:val="00AD54D1"/>
    <w:rsid w:val="00AD5B44"/>
    <w:rsid w:val="00AE4BCF"/>
    <w:rsid w:val="00AE5499"/>
    <w:rsid w:val="00AE794F"/>
    <w:rsid w:val="00B073C8"/>
    <w:rsid w:val="00B25618"/>
    <w:rsid w:val="00B32D19"/>
    <w:rsid w:val="00B40CC1"/>
    <w:rsid w:val="00B4125D"/>
    <w:rsid w:val="00B45875"/>
    <w:rsid w:val="00B574FE"/>
    <w:rsid w:val="00B60F4E"/>
    <w:rsid w:val="00B6177C"/>
    <w:rsid w:val="00B62D7C"/>
    <w:rsid w:val="00B635B0"/>
    <w:rsid w:val="00B70B10"/>
    <w:rsid w:val="00B758CA"/>
    <w:rsid w:val="00B75B7F"/>
    <w:rsid w:val="00B9094D"/>
    <w:rsid w:val="00B95B4C"/>
    <w:rsid w:val="00BA63AF"/>
    <w:rsid w:val="00BF650B"/>
    <w:rsid w:val="00C041F8"/>
    <w:rsid w:val="00C046DB"/>
    <w:rsid w:val="00C04C3E"/>
    <w:rsid w:val="00C060E6"/>
    <w:rsid w:val="00C20BF8"/>
    <w:rsid w:val="00C41F8D"/>
    <w:rsid w:val="00C43736"/>
    <w:rsid w:val="00C523DA"/>
    <w:rsid w:val="00C54FD1"/>
    <w:rsid w:val="00C57A4A"/>
    <w:rsid w:val="00C6337C"/>
    <w:rsid w:val="00C641CE"/>
    <w:rsid w:val="00C84DDE"/>
    <w:rsid w:val="00C85435"/>
    <w:rsid w:val="00C862F6"/>
    <w:rsid w:val="00CA688B"/>
    <w:rsid w:val="00CB3649"/>
    <w:rsid w:val="00CB4FCC"/>
    <w:rsid w:val="00CC4FEB"/>
    <w:rsid w:val="00CD1293"/>
    <w:rsid w:val="00CD67A9"/>
    <w:rsid w:val="00CF6181"/>
    <w:rsid w:val="00CF7ECE"/>
    <w:rsid w:val="00D06A10"/>
    <w:rsid w:val="00D10874"/>
    <w:rsid w:val="00D2319B"/>
    <w:rsid w:val="00D41F1C"/>
    <w:rsid w:val="00D43FAF"/>
    <w:rsid w:val="00D463C4"/>
    <w:rsid w:val="00D601BE"/>
    <w:rsid w:val="00D605E7"/>
    <w:rsid w:val="00D70EDC"/>
    <w:rsid w:val="00D82C51"/>
    <w:rsid w:val="00D95A45"/>
    <w:rsid w:val="00D96E95"/>
    <w:rsid w:val="00DA6A2D"/>
    <w:rsid w:val="00DA7CAC"/>
    <w:rsid w:val="00DC72D5"/>
    <w:rsid w:val="00E01246"/>
    <w:rsid w:val="00E04406"/>
    <w:rsid w:val="00E04B12"/>
    <w:rsid w:val="00E127AF"/>
    <w:rsid w:val="00E13D87"/>
    <w:rsid w:val="00E14045"/>
    <w:rsid w:val="00E303A2"/>
    <w:rsid w:val="00E341E4"/>
    <w:rsid w:val="00E4145E"/>
    <w:rsid w:val="00E46621"/>
    <w:rsid w:val="00E508D3"/>
    <w:rsid w:val="00E51732"/>
    <w:rsid w:val="00E5285A"/>
    <w:rsid w:val="00E61B49"/>
    <w:rsid w:val="00E713C5"/>
    <w:rsid w:val="00E713E2"/>
    <w:rsid w:val="00E83CC7"/>
    <w:rsid w:val="00E90FB2"/>
    <w:rsid w:val="00EA71EA"/>
    <w:rsid w:val="00EB129E"/>
    <w:rsid w:val="00EB2760"/>
    <w:rsid w:val="00EB2B1B"/>
    <w:rsid w:val="00EB5314"/>
    <w:rsid w:val="00EC1A6F"/>
    <w:rsid w:val="00EC3C99"/>
    <w:rsid w:val="00EE1AE9"/>
    <w:rsid w:val="00EF1E3D"/>
    <w:rsid w:val="00F27A5F"/>
    <w:rsid w:val="00F32BBA"/>
    <w:rsid w:val="00F40861"/>
    <w:rsid w:val="00F500F6"/>
    <w:rsid w:val="00F7242E"/>
    <w:rsid w:val="00F729D8"/>
    <w:rsid w:val="00F72CDF"/>
    <w:rsid w:val="00F772BD"/>
    <w:rsid w:val="00F84714"/>
    <w:rsid w:val="00FA7B90"/>
    <w:rsid w:val="00FB7079"/>
    <w:rsid w:val="00FC0701"/>
    <w:rsid w:val="00FC1DB1"/>
    <w:rsid w:val="00FE342F"/>
    <w:rsid w:val="00FE6B05"/>
    <w:rsid w:val="00FE778F"/>
    <w:rsid w:val="00FF1FF1"/>
    <w:rsid w:val="00FF52C5"/>
    <w:rsid w:val="00FF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5594"/>
  <w15:chartTrackingRefBased/>
  <w15:docId w15:val="{9920353F-B003-4EFB-9A2A-F543E2E5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249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249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C249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4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24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C249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C249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6C2493"/>
    <w:rPr>
      <w:i/>
      <w:iCs/>
    </w:rPr>
  </w:style>
  <w:style w:type="character" w:styleId="Hyperlink">
    <w:name w:val="Hyperlink"/>
    <w:basedOn w:val="DefaultParagraphFont"/>
    <w:uiPriority w:val="99"/>
    <w:unhideWhenUsed/>
    <w:rsid w:val="006C2493"/>
    <w:rPr>
      <w:color w:val="0000FF"/>
      <w:u w:val="single"/>
    </w:rPr>
  </w:style>
  <w:style w:type="character" w:styleId="Strong">
    <w:name w:val="Strong"/>
    <w:basedOn w:val="DefaultParagraphFont"/>
    <w:uiPriority w:val="22"/>
    <w:qFormat/>
    <w:rsid w:val="006C2493"/>
    <w:rPr>
      <w:b/>
      <w:bCs/>
    </w:rPr>
  </w:style>
  <w:style w:type="paragraph" w:styleId="Header">
    <w:name w:val="header"/>
    <w:basedOn w:val="Normal"/>
    <w:link w:val="HeaderChar"/>
    <w:uiPriority w:val="99"/>
    <w:unhideWhenUsed/>
    <w:rsid w:val="00EB2B1B"/>
    <w:pPr>
      <w:tabs>
        <w:tab w:val="center" w:pos="4680"/>
        <w:tab w:val="right" w:pos="9360"/>
      </w:tabs>
    </w:pPr>
  </w:style>
  <w:style w:type="character" w:customStyle="1" w:styleId="HeaderChar">
    <w:name w:val="Header Char"/>
    <w:basedOn w:val="DefaultParagraphFont"/>
    <w:link w:val="Header"/>
    <w:uiPriority w:val="99"/>
    <w:rsid w:val="00EB2B1B"/>
  </w:style>
  <w:style w:type="paragraph" w:styleId="Footer">
    <w:name w:val="footer"/>
    <w:basedOn w:val="Normal"/>
    <w:link w:val="FooterChar"/>
    <w:uiPriority w:val="99"/>
    <w:unhideWhenUsed/>
    <w:rsid w:val="00EB2B1B"/>
    <w:pPr>
      <w:tabs>
        <w:tab w:val="center" w:pos="4680"/>
        <w:tab w:val="right" w:pos="9360"/>
      </w:tabs>
    </w:pPr>
  </w:style>
  <w:style w:type="character" w:customStyle="1" w:styleId="FooterChar">
    <w:name w:val="Footer Char"/>
    <w:basedOn w:val="DefaultParagraphFont"/>
    <w:link w:val="Footer"/>
    <w:uiPriority w:val="99"/>
    <w:rsid w:val="00EB2B1B"/>
  </w:style>
  <w:style w:type="paragraph" w:styleId="ListParagraph">
    <w:name w:val="List Paragraph"/>
    <w:basedOn w:val="Normal"/>
    <w:uiPriority w:val="34"/>
    <w:qFormat/>
    <w:rsid w:val="002952B7"/>
    <w:pPr>
      <w:ind w:left="720"/>
      <w:contextualSpacing/>
    </w:pPr>
  </w:style>
  <w:style w:type="paragraph" w:styleId="FootnoteText">
    <w:name w:val="footnote text"/>
    <w:basedOn w:val="Normal"/>
    <w:link w:val="FootnoteTextChar"/>
    <w:uiPriority w:val="99"/>
    <w:semiHidden/>
    <w:unhideWhenUsed/>
    <w:rsid w:val="00162CC1"/>
    <w:rPr>
      <w:sz w:val="20"/>
      <w:szCs w:val="20"/>
    </w:rPr>
  </w:style>
  <w:style w:type="character" w:customStyle="1" w:styleId="FootnoteTextChar">
    <w:name w:val="Footnote Text Char"/>
    <w:basedOn w:val="DefaultParagraphFont"/>
    <w:link w:val="FootnoteText"/>
    <w:uiPriority w:val="99"/>
    <w:semiHidden/>
    <w:rsid w:val="00162CC1"/>
    <w:rPr>
      <w:sz w:val="20"/>
      <w:szCs w:val="20"/>
    </w:rPr>
  </w:style>
  <w:style w:type="character" w:styleId="FootnoteReference">
    <w:name w:val="footnote reference"/>
    <w:basedOn w:val="DefaultParagraphFont"/>
    <w:uiPriority w:val="99"/>
    <w:semiHidden/>
    <w:unhideWhenUsed/>
    <w:rsid w:val="00162CC1"/>
    <w:rPr>
      <w:vertAlign w:val="superscript"/>
    </w:rPr>
  </w:style>
  <w:style w:type="character" w:styleId="UnresolvedMention">
    <w:name w:val="Unresolved Mention"/>
    <w:basedOn w:val="DefaultParagraphFont"/>
    <w:uiPriority w:val="99"/>
    <w:semiHidden/>
    <w:unhideWhenUsed/>
    <w:rsid w:val="00E04406"/>
    <w:rPr>
      <w:color w:val="605E5C"/>
      <w:shd w:val="clear" w:color="auto" w:fill="E1DFDD"/>
    </w:rPr>
  </w:style>
  <w:style w:type="character" w:styleId="FollowedHyperlink">
    <w:name w:val="FollowedHyperlink"/>
    <w:basedOn w:val="DefaultParagraphFont"/>
    <w:uiPriority w:val="99"/>
    <w:semiHidden/>
    <w:unhideWhenUsed/>
    <w:rsid w:val="009A2B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5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hs.gov/fusion-centers" TargetMode="External"/><Relationship Id="rId13" Type="http://schemas.openxmlformats.org/officeDocument/2006/relationships/hyperlink" Target="https://nfcausa.org/" TargetMode="External"/><Relationship Id="rId18" Type="http://schemas.openxmlformats.org/officeDocument/2006/relationships/hyperlink" Target="http://wwwnc.cdc.gov/eid/article/8/10/02-0465_article.htm" TargetMode="External"/><Relationship Id="rId26" Type="http://schemas.openxmlformats.org/officeDocument/2006/relationships/hyperlink" Target="https://www.cdc.gov/phlp/publications/forensicepidemiology/index.html" TargetMode="External"/><Relationship Id="rId3" Type="http://schemas.openxmlformats.org/officeDocument/2006/relationships/hyperlink" Target="http://cdc.gov/phlp/docs/CDC_BJA_Framework.pdf" TargetMode="External"/><Relationship Id="rId21" Type="http://schemas.openxmlformats.org/officeDocument/2006/relationships/hyperlink" Target="http://wwwnc.cdc.gov/eid/article/8/10/02-0465_article.htm" TargetMode="External"/><Relationship Id="rId34" Type="http://schemas.openxmlformats.org/officeDocument/2006/relationships/hyperlink" Target="http://cdc.gov/phlp/docs/CDC_BJA_Framework.pdf" TargetMode="External"/><Relationship Id="rId7" Type="http://schemas.openxmlformats.org/officeDocument/2006/relationships/hyperlink" Target="http://wwwnc.cdc.gov/eid/article/8/10/02-0465_article.htm" TargetMode="External"/><Relationship Id="rId12" Type="http://schemas.openxmlformats.org/officeDocument/2006/relationships/hyperlink" Target="http://www.it.ojp.gov/documents/fusion_center_guidelines_law_enforcement.pdf" TargetMode="External"/><Relationship Id="rId17" Type="http://schemas.openxmlformats.org/officeDocument/2006/relationships/hyperlink" Target="http://wwwnc.cdc.gov/eid/article/8/10/02-0400.htm" TargetMode="External"/><Relationship Id="rId25" Type="http://schemas.openxmlformats.org/officeDocument/2006/relationships/hyperlink" Target="https://bja.ojp.gov/sites/g/files/xyckuh186/files/Publications/CRM_MOU.pdf" TargetMode="External"/><Relationship Id="rId33" Type="http://schemas.openxmlformats.org/officeDocument/2006/relationships/hyperlink" Target="http://www.hhs.gov/ocr/privacy/hipaa/faq/disclosures_for_law_enforcement_purposes/505.html" TargetMode="External"/><Relationship Id="rId2" Type="http://schemas.openxmlformats.org/officeDocument/2006/relationships/hyperlink" Target="http://cdc.gov/phlp/docs/CDC_BJA_Framework.pdf" TargetMode="External"/><Relationship Id="rId16" Type="http://schemas.openxmlformats.org/officeDocument/2006/relationships/hyperlink" Target="http://wwwnc.cdc.gov/eid/article/8/10/02-0400.htm" TargetMode="External"/><Relationship Id="rId20" Type="http://schemas.openxmlformats.org/officeDocument/2006/relationships/hyperlink" Target="https://www.ncjrs.gov/pdffiles1/bja/214333.pdf" TargetMode="External"/><Relationship Id="rId29" Type="http://schemas.openxmlformats.org/officeDocument/2006/relationships/hyperlink" Target="http://wwwnc.cdc.gov/eid/article/8/10/02-0465_article.htm" TargetMode="External"/><Relationship Id="rId1" Type="http://schemas.openxmlformats.org/officeDocument/2006/relationships/hyperlink" Target="https://www.cdc.gov/cpr/readiness/00_docs/CDC_PreparednesResponseCapabilities_October2018_Final_508.pdf" TargetMode="External"/><Relationship Id="rId6" Type="http://schemas.openxmlformats.org/officeDocument/2006/relationships/hyperlink" Target="https://www.law.uh.edu/hjhlp/volumes/Vol_6_1/Sutton.pdf" TargetMode="External"/><Relationship Id="rId11" Type="http://schemas.openxmlformats.org/officeDocument/2006/relationships/hyperlink" Target="https://nfcausa.org/html/National%20Strategy%20for%20the%20National%20Network%20of%20Fusion%20Centers.pdf" TargetMode="External"/><Relationship Id="rId24" Type="http://schemas.openxmlformats.org/officeDocument/2006/relationships/hyperlink" Target="http://cdc.gov/phlp/docs/CDC_BJA_Framework.pdf" TargetMode="External"/><Relationship Id="rId32" Type="http://schemas.openxmlformats.org/officeDocument/2006/relationships/hyperlink" Target="http://www.hhs.gov/ocr/privacy/hipaa/faq/disclosures_for_law_enforcement_purposes/505.html" TargetMode="External"/><Relationship Id="rId5" Type="http://schemas.openxmlformats.org/officeDocument/2006/relationships/hyperlink" Target="http://cdc.gov/phlp/docs/CDC_BJA_Framework.pdf" TargetMode="External"/><Relationship Id="rId15" Type="http://schemas.openxmlformats.org/officeDocument/2006/relationships/hyperlink" Target="https://www.hstoday.us/subject-matter-areas/emergency-preparedness/improving-critical-collaboration-between-public-health-officials-and-law-enforcement/" TargetMode="External"/><Relationship Id="rId23" Type="http://schemas.openxmlformats.org/officeDocument/2006/relationships/hyperlink" Target="http://cdc.gov/phlp/docs/CDC_BJA_Framework.pdf" TargetMode="External"/><Relationship Id="rId28" Type="http://schemas.openxmlformats.org/officeDocument/2006/relationships/hyperlink" Target="https://www.cdc.gov/phlp/docs/crimepihandbook2016.pdf" TargetMode="External"/><Relationship Id="rId10" Type="http://schemas.openxmlformats.org/officeDocument/2006/relationships/hyperlink" Target="https://www.dhs.gov/fusion-centers" TargetMode="External"/><Relationship Id="rId19" Type="http://schemas.openxmlformats.org/officeDocument/2006/relationships/hyperlink" Target="http://www.aclu.org/files/pdfs/privacy/fusion_update_20080729.pdf" TargetMode="External"/><Relationship Id="rId31" Type="http://schemas.openxmlformats.org/officeDocument/2006/relationships/hyperlink" Target="http://www.hhs.gov/ocr/privacy/hipaa/faq/disclosures_for_law_enforcement_purposes/505.html" TargetMode="External"/><Relationship Id="rId4" Type="http://schemas.openxmlformats.org/officeDocument/2006/relationships/hyperlink" Target="https://www.ncjrs.gov/pdffiles1/bja/214333.pdf" TargetMode="External"/><Relationship Id="rId9" Type="http://schemas.openxmlformats.org/officeDocument/2006/relationships/hyperlink" Target="https://www.dhs.gov/fusion-centers" TargetMode="External"/><Relationship Id="rId14" Type="http://schemas.openxmlformats.org/officeDocument/2006/relationships/hyperlink" Target="https://it.ojp.gov/gist/159/Health-Security--Public-Health-and-Medical-Integration-for-Fusion-Centers" TargetMode="External"/><Relationship Id="rId22" Type="http://schemas.openxmlformats.org/officeDocument/2006/relationships/hyperlink" Target="http://wwwnc.cdc.gov/eid/article/8/10/02-0465_article.htm" TargetMode="External"/><Relationship Id="rId27" Type="http://schemas.openxmlformats.org/officeDocument/2006/relationships/hyperlink" Target="https://www.fbi.gov/file-repository/criminal-and-epidemiological-investigation-handbook.pdf/view" TargetMode="External"/><Relationship Id="rId30" Type="http://schemas.openxmlformats.org/officeDocument/2006/relationships/hyperlink" Target="https://www.hhs.gov/hipaa/for-professionals/privacy/laws-regulation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17</Pages>
  <Words>4674</Words>
  <Characters>26648</Characters>
  <Application>Microsoft Office Word</Application>
  <DocSecurity>0</DocSecurity>
  <Lines>222</Lines>
  <Paragraphs>62</Paragraphs>
  <ScaleCrop>false</ScaleCrop>
  <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313</cp:revision>
  <dcterms:created xsi:type="dcterms:W3CDTF">2020-03-08T01:59:00Z</dcterms:created>
  <dcterms:modified xsi:type="dcterms:W3CDTF">2020-03-13T20:30:00Z</dcterms:modified>
</cp:coreProperties>
</file>