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50463" w14:textId="548A9C79" w:rsidR="00395BA9" w:rsidRDefault="00395BA9" w:rsidP="00395BA9">
      <w:pPr>
        <w:spacing w:line="360" w:lineRule="auto"/>
        <w:jc w:val="center"/>
        <w:rPr>
          <w:rFonts w:eastAsia="Times New Roman" w:cstheme="minorHAnsi"/>
          <w:b/>
          <w:bCs/>
          <w:color w:val="333333"/>
          <w:spacing w:val="15"/>
          <w:kern w:val="36"/>
          <w:sz w:val="24"/>
          <w:szCs w:val="24"/>
        </w:rPr>
      </w:pPr>
      <w:r>
        <w:rPr>
          <w:rFonts w:eastAsia="Times New Roman" w:cstheme="minorHAnsi"/>
          <w:b/>
          <w:bCs/>
          <w:color w:val="333333"/>
          <w:spacing w:val="15"/>
          <w:kern w:val="36"/>
          <w:sz w:val="24"/>
          <w:szCs w:val="24"/>
        </w:rPr>
        <w:t xml:space="preserve">PUBLIC HEALTH &amp; </w:t>
      </w:r>
      <w:r>
        <w:rPr>
          <w:rFonts w:eastAsia="Times New Roman" w:cstheme="minorHAnsi"/>
          <w:b/>
          <w:bCs/>
          <w:color w:val="333333"/>
          <w:spacing w:val="15"/>
          <w:kern w:val="36"/>
          <w:sz w:val="24"/>
          <w:szCs w:val="24"/>
        </w:rPr>
        <w:t>SCHOOLS</w:t>
      </w:r>
      <w:r w:rsidRPr="00FB2B3B">
        <w:rPr>
          <w:rFonts w:eastAsia="Times New Roman" w:cstheme="minorHAnsi"/>
          <w:b/>
          <w:bCs/>
          <w:color w:val="333333"/>
          <w:spacing w:val="15"/>
          <w:kern w:val="36"/>
          <w:sz w:val="24"/>
          <w:szCs w:val="24"/>
        </w:rPr>
        <w:t xml:space="preserve"> </w:t>
      </w:r>
      <w:r>
        <w:rPr>
          <w:rFonts w:eastAsia="Times New Roman" w:cstheme="minorHAnsi"/>
          <w:b/>
          <w:bCs/>
          <w:color w:val="333333"/>
          <w:spacing w:val="15"/>
          <w:kern w:val="36"/>
          <w:sz w:val="24"/>
          <w:szCs w:val="24"/>
        </w:rPr>
        <w:t>TOOLKIT</w:t>
      </w:r>
    </w:p>
    <w:p w14:paraId="01161E30" w14:textId="77777777" w:rsidR="00395BA9" w:rsidRPr="00FB2B3B" w:rsidRDefault="00395BA9" w:rsidP="00395BA9">
      <w:pPr>
        <w:spacing w:line="360" w:lineRule="auto"/>
        <w:jc w:val="center"/>
        <w:rPr>
          <w:rFonts w:eastAsia="Times New Roman" w:cstheme="minorHAnsi"/>
          <w:b/>
          <w:bCs/>
          <w:color w:val="3C3030"/>
          <w:sz w:val="24"/>
          <w:szCs w:val="24"/>
        </w:rPr>
      </w:pPr>
      <w:r w:rsidRPr="00FB2B3B">
        <w:rPr>
          <w:rFonts w:eastAsia="Times New Roman" w:cstheme="minorHAnsi"/>
          <w:b/>
          <w:bCs/>
          <w:color w:val="3C3030"/>
          <w:sz w:val="24"/>
          <w:szCs w:val="24"/>
        </w:rPr>
        <w:t>EXECUTIVE SUMMARY</w:t>
      </w:r>
    </w:p>
    <w:p w14:paraId="4890D135" w14:textId="77777777" w:rsidR="00395BA9" w:rsidRDefault="00395BA9" w:rsidP="00395BA9">
      <w:pPr>
        <w:spacing w:line="360" w:lineRule="auto"/>
        <w:jc w:val="center"/>
        <w:rPr>
          <w:b/>
          <w:bCs/>
          <w:sz w:val="24"/>
          <w:szCs w:val="24"/>
        </w:rPr>
      </w:pPr>
    </w:p>
    <w:p w14:paraId="76B6B9D0" w14:textId="147342EA" w:rsidR="00395BA9" w:rsidRDefault="00395BA9" w:rsidP="00395BA9">
      <w:pPr>
        <w:spacing w:after="120" w:line="360" w:lineRule="auto"/>
        <w:rPr>
          <w:rFonts w:ascii="Calibri" w:eastAsia="Times New Roman" w:hAnsi="Calibri" w:cs="Calibri"/>
          <w:szCs w:val="20"/>
        </w:rPr>
      </w:pPr>
      <w:r>
        <w:rPr>
          <w:rFonts w:ascii="Calibri" w:eastAsia="Times New Roman" w:hAnsi="Calibri" w:cs="Calibri"/>
          <w:szCs w:val="20"/>
        </w:rPr>
        <w:t xml:space="preserve">This document provides an overview of important concepts and laws related to the </w:t>
      </w:r>
      <w:r>
        <w:rPr>
          <w:rFonts w:ascii="Calibri" w:eastAsia="Times New Roman" w:hAnsi="Calibri" w:cs="Calibri"/>
          <w:szCs w:val="20"/>
        </w:rPr>
        <w:t xml:space="preserve">legal authorities of </w:t>
      </w:r>
      <w:r>
        <w:rPr>
          <w:rFonts w:ascii="Calibri" w:eastAsia="Times New Roman" w:hAnsi="Calibri" w:cs="Calibri"/>
          <w:szCs w:val="20"/>
        </w:rPr>
        <w:t xml:space="preserve">state, tribal, local, and territorial (STLT) </w:t>
      </w:r>
      <w:r>
        <w:rPr>
          <w:rFonts w:ascii="Calibri" w:eastAsia="Times New Roman" w:hAnsi="Calibri" w:cs="Calibri"/>
          <w:szCs w:val="20"/>
        </w:rPr>
        <w:t xml:space="preserve">public </w:t>
      </w:r>
      <w:r>
        <w:rPr>
          <w:rFonts w:ascii="Calibri" w:eastAsia="Times New Roman" w:hAnsi="Calibri" w:cs="Calibri"/>
          <w:szCs w:val="20"/>
        </w:rPr>
        <w:t xml:space="preserve">health agencies </w:t>
      </w:r>
      <w:r w:rsidR="0012181E">
        <w:rPr>
          <w:rFonts w:ascii="Calibri" w:eastAsia="Times New Roman" w:hAnsi="Calibri" w:cs="Calibri"/>
          <w:szCs w:val="20"/>
        </w:rPr>
        <w:t xml:space="preserve">in relation to schools </w:t>
      </w:r>
      <w:r>
        <w:rPr>
          <w:rFonts w:ascii="Calibri" w:eastAsia="Times New Roman" w:hAnsi="Calibri" w:cs="Calibri"/>
          <w:szCs w:val="20"/>
        </w:rPr>
        <w:t>during emergency preparedness and response activities. It covers:</w:t>
      </w:r>
    </w:p>
    <w:p w14:paraId="2D281F91" w14:textId="4E4DC617" w:rsidR="00395BA9" w:rsidRPr="003013F5" w:rsidRDefault="00395BA9" w:rsidP="009611F6">
      <w:pPr>
        <w:pStyle w:val="ListParagraph"/>
        <w:numPr>
          <w:ilvl w:val="0"/>
          <w:numId w:val="1"/>
        </w:numPr>
        <w:spacing w:after="120" w:line="360" w:lineRule="auto"/>
        <w:rPr>
          <w:rFonts w:ascii="Calibri" w:eastAsia="Times New Roman" w:hAnsi="Calibri" w:cs="Calibri"/>
          <w:szCs w:val="20"/>
        </w:rPr>
      </w:pPr>
      <w:r w:rsidRPr="003013F5">
        <w:rPr>
          <w:rFonts w:ascii="Calibri" w:eastAsia="Times New Roman" w:hAnsi="Calibri" w:cs="Calibri"/>
          <w:szCs w:val="20"/>
        </w:rPr>
        <w:t>The collection, use, and sharing of</w:t>
      </w:r>
      <w:r w:rsidR="0003185F" w:rsidRPr="003013F5">
        <w:rPr>
          <w:rFonts w:ascii="Calibri" w:eastAsia="Times New Roman" w:hAnsi="Calibri" w:cs="Calibri"/>
          <w:szCs w:val="20"/>
        </w:rPr>
        <w:t xml:space="preserve"> student health data</w:t>
      </w:r>
      <w:r w:rsidRPr="003013F5">
        <w:rPr>
          <w:rFonts w:ascii="Calibri" w:eastAsia="Times New Roman" w:hAnsi="Calibri" w:cs="Calibri"/>
          <w:szCs w:val="20"/>
        </w:rPr>
        <w:t xml:space="preserve"> by a </w:t>
      </w:r>
      <w:r w:rsidR="0012181E" w:rsidRPr="003013F5">
        <w:rPr>
          <w:rFonts w:ascii="Calibri" w:eastAsia="Times New Roman" w:hAnsi="Calibri" w:cs="Calibri"/>
          <w:szCs w:val="20"/>
        </w:rPr>
        <w:t xml:space="preserve">public </w:t>
      </w:r>
      <w:r w:rsidRPr="003013F5">
        <w:rPr>
          <w:rFonts w:ascii="Calibri" w:eastAsia="Times New Roman" w:hAnsi="Calibri" w:cs="Calibri"/>
          <w:szCs w:val="20"/>
        </w:rPr>
        <w:t>health agency</w:t>
      </w:r>
      <w:r w:rsidR="009611F6" w:rsidRPr="003013F5">
        <w:rPr>
          <w:rFonts w:ascii="Calibri" w:eastAsia="Times New Roman" w:hAnsi="Calibri" w:cs="Calibri"/>
          <w:szCs w:val="20"/>
        </w:rPr>
        <w:t>.</w:t>
      </w:r>
      <w:r w:rsidR="00E978F1" w:rsidRPr="003013F5">
        <w:t xml:space="preserve"> </w:t>
      </w:r>
    </w:p>
    <w:p w14:paraId="506078E1" w14:textId="0BD0EF50" w:rsidR="009611F6" w:rsidRPr="003013F5" w:rsidRDefault="00FB71EC" w:rsidP="009611F6">
      <w:pPr>
        <w:pStyle w:val="ListParagraph"/>
        <w:numPr>
          <w:ilvl w:val="0"/>
          <w:numId w:val="1"/>
        </w:numPr>
        <w:spacing w:after="120" w:line="360" w:lineRule="auto"/>
        <w:rPr>
          <w:rFonts w:ascii="Calibri" w:eastAsia="Times New Roman" w:hAnsi="Calibri" w:cs="Calibri"/>
          <w:szCs w:val="20"/>
        </w:rPr>
      </w:pPr>
      <w:r w:rsidRPr="003013F5">
        <w:rPr>
          <w:rFonts w:ascii="Calibri" w:eastAsia="Times New Roman" w:hAnsi="Calibri" w:cs="Calibri"/>
          <w:szCs w:val="20"/>
        </w:rPr>
        <w:t>The legal authorities of public health officials to initiate public health measures</w:t>
      </w:r>
      <w:r w:rsidR="005E34A2" w:rsidRPr="003013F5">
        <w:rPr>
          <w:rFonts w:ascii="Calibri" w:eastAsia="Times New Roman" w:hAnsi="Calibri" w:cs="Calibri"/>
          <w:szCs w:val="20"/>
        </w:rPr>
        <w:t xml:space="preserve"> in schools during </w:t>
      </w:r>
      <w:r w:rsidR="0099608A" w:rsidRPr="003013F5">
        <w:rPr>
          <w:rFonts w:ascii="Calibri" w:eastAsia="Times New Roman" w:hAnsi="Calibri" w:cs="Calibri"/>
          <w:szCs w:val="20"/>
        </w:rPr>
        <w:t>emergencies.</w:t>
      </w:r>
      <w:r w:rsidRPr="003013F5">
        <w:rPr>
          <w:rFonts w:ascii="Calibri" w:eastAsia="Times New Roman" w:hAnsi="Calibri" w:cs="Calibri"/>
          <w:szCs w:val="20"/>
        </w:rPr>
        <w:t xml:space="preserve"> </w:t>
      </w:r>
    </w:p>
    <w:p w14:paraId="774FD1BE" w14:textId="51174946" w:rsidR="00395BA9" w:rsidRPr="003013F5" w:rsidRDefault="0099608A" w:rsidP="00395BA9">
      <w:pPr>
        <w:pStyle w:val="ListParagraph"/>
        <w:numPr>
          <w:ilvl w:val="0"/>
          <w:numId w:val="1"/>
        </w:numPr>
        <w:spacing w:after="120" w:line="360" w:lineRule="auto"/>
        <w:contextualSpacing w:val="0"/>
        <w:rPr>
          <w:rFonts w:ascii="Calibri" w:eastAsia="Times New Roman" w:hAnsi="Calibri" w:cs="Calibri"/>
          <w:szCs w:val="20"/>
        </w:rPr>
      </w:pPr>
      <w:r w:rsidRPr="003013F5">
        <w:rPr>
          <w:rFonts w:ascii="Calibri" w:eastAsia="Times New Roman" w:hAnsi="Calibri" w:cs="Calibri"/>
          <w:szCs w:val="20"/>
        </w:rPr>
        <w:t>T</w:t>
      </w:r>
      <w:r w:rsidRPr="003013F5">
        <w:rPr>
          <w:rFonts w:ascii="Calibri" w:eastAsia="Times New Roman" w:hAnsi="Calibri" w:cs="Calibri"/>
          <w:szCs w:val="20"/>
        </w:rPr>
        <w:t xml:space="preserve">he legal and policy considerations </w:t>
      </w:r>
      <w:r w:rsidRPr="003013F5">
        <w:rPr>
          <w:rFonts w:ascii="Calibri" w:eastAsia="Times New Roman" w:hAnsi="Calibri" w:cs="Calibri"/>
          <w:szCs w:val="20"/>
        </w:rPr>
        <w:t xml:space="preserve">that </w:t>
      </w:r>
      <w:r w:rsidRPr="003013F5">
        <w:rPr>
          <w:rFonts w:ascii="Calibri" w:eastAsia="Times New Roman" w:hAnsi="Calibri" w:cs="Calibri"/>
          <w:szCs w:val="20"/>
        </w:rPr>
        <w:t xml:space="preserve">arise with </w:t>
      </w:r>
      <w:r w:rsidR="003013F5" w:rsidRPr="003013F5">
        <w:rPr>
          <w:rFonts w:ascii="Calibri" w:eastAsia="Times New Roman" w:hAnsi="Calibri" w:cs="Calibri"/>
          <w:szCs w:val="20"/>
        </w:rPr>
        <w:t xml:space="preserve">the use of a school as a </w:t>
      </w:r>
      <w:r w:rsidRPr="003013F5">
        <w:rPr>
          <w:rFonts w:ascii="Calibri" w:eastAsia="Times New Roman" w:hAnsi="Calibri" w:cs="Calibri"/>
          <w:szCs w:val="20"/>
        </w:rPr>
        <w:t xml:space="preserve">point of dispensing (POD) site to administer medical countermeasures or vaccinations in an emergency. </w:t>
      </w:r>
      <w:r w:rsidR="00395BA9" w:rsidRPr="003013F5">
        <w:rPr>
          <w:rFonts w:ascii="Calibri" w:eastAsia="Times New Roman" w:hAnsi="Calibri" w:cs="Calibri"/>
          <w:szCs w:val="20"/>
        </w:rPr>
        <w:t xml:space="preserve"> </w:t>
      </w:r>
    </w:p>
    <w:p w14:paraId="3CEFC8A3" w14:textId="77777777" w:rsidR="00610671" w:rsidRDefault="00610671" w:rsidP="00395BA9">
      <w:pPr>
        <w:spacing w:line="360" w:lineRule="auto"/>
        <w:rPr>
          <w:rFonts w:eastAsia="Times New Roman" w:cstheme="minorHAnsi"/>
          <w:szCs w:val="20"/>
        </w:rPr>
      </w:pPr>
    </w:p>
    <w:p w14:paraId="4C2E5E95" w14:textId="5F9A4902" w:rsidR="00395BA9" w:rsidRDefault="00395BA9" w:rsidP="00395BA9">
      <w:pPr>
        <w:spacing w:line="360" w:lineRule="auto"/>
        <w:rPr>
          <w:rFonts w:eastAsia="Times New Roman" w:cstheme="minorHAnsi"/>
          <w:szCs w:val="20"/>
        </w:rPr>
      </w:pPr>
      <w:r w:rsidRPr="00BC079F">
        <w:rPr>
          <w:rFonts w:eastAsia="Times New Roman" w:cstheme="minorHAnsi"/>
          <w:szCs w:val="20"/>
        </w:rPr>
        <w:t xml:space="preserve">More information about these and other related concepts are contained in </w:t>
      </w:r>
      <w:r>
        <w:rPr>
          <w:rFonts w:eastAsia="Times New Roman" w:cstheme="minorHAnsi"/>
          <w:szCs w:val="20"/>
        </w:rPr>
        <w:t xml:space="preserve">the Public Health &amp; </w:t>
      </w:r>
      <w:r>
        <w:rPr>
          <w:rFonts w:eastAsia="Times New Roman" w:cstheme="minorHAnsi"/>
          <w:szCs w:val="20"/>
        </w:rPr>
        <w:t>Schools</w:t>
      </w:r>
      <w:r>
        <w:rPr>
          <w:rFonts w:eastAsia="Times New Roman" w:cstheme="minorHAnsi"/>
          <w:szCs w:val="20"/>
        </w:rPr>
        <w:t xml:space="preserve"> </w:t>
      </w:r>
      <w:r w:rsidRPr="00BC079F">
        <w:rPr>
          <w:rFonts w:eastAsia="Times New Roman" w:cstheme="minorHAnsi"/>
          <w:szCs w:val="20"/>
        </w:rPr>
        <w:t>Toolkit.</w:t>
      </w:r>
    </w:p>
    <w:p w14:paraId="29EF5E03" w14:textId="1A5DF736" w:rsidR="00395BA9" w:rsidRPr="0085578D" w:rsidRDefault="00395BA9" w:rsidP="00395BA9">
      <w:pPr>
        <w:spacing w:line="360" w:lineRule="auto"/>
        <w:rPr>
          <w:color w:val="000000" w:themeColor="text1"/>
        </w:rPr>
      </w:pPr>
    </w:p>
    <w:p w14:paraId="21E19D2C" w14:textId="30F73869" w:rsidR="00293E63" w:rsidRPr="0085578D" w:rsidRDefault="00293E63" w:rsidP="00395BA9">
      <w:pPr>
        <w:spacing w:line="360" w:lineRule="auto"/>
        <w:rPr>
          <w:color w:val="000000" w:themeColor="text1"/>
        </w:rPr>
      </w:pPr>
      <w:r w:rsidRPr="0085578D">
        <w:rPr>
          <w:rFonts w:eastAsia="Times New Roman" w:cstheme="minorHAnsi"/>
          <w:b/>
          <w:bCs/>
          <w:color w:val="000000" w:themeColor="text1"/>
          <w:spacing w:val="15"/>
          <w:kern w:val="36"/>
          <w:sz w:val="24"/>
          <w:szCs w:val="24"/>
        </w:rPr>
        <w:t>Public Health Access to Student Health Data</w:t>
      </w:r>
    </w:p>
    <w:p w14:paraId="2E514B1C" w14:textId="4ABB6F6D" w:rsidR="00327C16" w:rsidRDefault="00C8271D" w:rsidP="00395BA9">
      <w:pPr>
        <w:spacing w:line="360" w:lineRule="auto"/>
      </w:pPr>
      <w:r w:rsidRPr="00F23BDC">
        <w:t>The ability of public health officials to access health and other relevant data from schools and education agencies has been an ongoing challenge. In daily public health responsibilities, as well as in emergencies, federal education privacy requirements have limited or blocked public health agencies’ access to data in areas such as immunization, mental health, injury, and absentee records. Public health officials must understand their legal authorities and limitations in acquiring and using data from education entities.</w:t>
      </w:r>
    </w:p>
    <w:p w14:paraId="13AE8630" w14:textId="6E76EDFC" w:rsidR="00207254" w:rsidRDefault="00207254" w:rsidP="00395BA9">
      <w:pPr>
        <w:spacing w:line="360" w:lineRule="auto"/>
      </w:pPr>
    </w:p>
    <w:p w14:paraId="6394CC90" w14:textId="16C81D9C" w:rsidR="00B87673" w:rsidRPr="00B87673" w:rsidRDefault="00B87673" w:rsidP="00395BA9">
      <w:pPr>
        <w:spacing w:line="360" w:lineRule="auto"/>
        <w:rPr>
          <w:b/>
          <w:bCs/>
        </w:rPr>
      </w:pPr>
      <w:r w:rsidRPr="00B87673">
        <w:rPr>
          <w:b/>
          <w:bCs/>
        </w:rPr>
        <w:t>Accessing S</w:t>
      </w:r>
      <w:r w:rsidR="00D36242">
        <w:rPr>
          <w:b/>
          <w:bCs/>
        </w:rPr>
        <w:t xml:space="preserve">tudent </w:t>
      </w:r>
      <w:r w:rsidRPr="00B87673">
        <w:rPr>
          <w:b/>
          <w:bCs/>
        </w:rPr>
        <w:t>Data</w:t>
      </w:r>
    </w:p>
    <w:p w14:paraId="2B765559" w14:textId="5C5C89DB" w:rsidR="00207254" w:rsidRDefault="00207254" w:rsidP="00395BA9">
      <w:pPr>
        <w:spacing w:line="360" w:lineRule="auto"/>
      </w:pPr>
      <w:r w:rsidRPr="00F23BDC">
        <w:t>Data from schools can help public health agencies conduct surveillance, intervention, and prevention activities.</w:t>
      </w:r>
      <w:r w:rsidR="001810D7">
        <w:t xml:space="preserve"> </w:t>
      </w:r>
      <w:r w:rsidR="001810D7" w:rsidRPr="00F23BDC">
        <w:t>Public health agencies view schools and education agencies as important partners in protecting children and adolescents from health threats. Sharing data between schools and public health agencies may, in some instances, be the only realistic and reliable method for getting the information necessary to conduct public health activities, such as tracking immunization rates.</w:t>
      </w:r>
      <w:r w:rsidR="001810D7">
        <w:rPr>
          <w:rStyle w:val="FootnoteReference"/>
        </w:rPr>
        <w:footnoteReference w:id="1"/>
      </w:r>
      <w:r w:rsidR="00111E47">
        <w:t xml:space="preserve"> </w:t>
      </w:r>
    </w:p>
    <w:p w14:paraId="6521756A" w14:textId="77777777" w:rsidR="00B87673" w:rsidRDefault="00B87673" w:rsidP="00395BA9">
      <w:pPr>
        <w:spacing w:line="360" w:lineRule="auto"/>
      </w:pPr>
    </w:p>
    <w:p w14:paraId="78EE8517" w14:textId="6C760FAF" w:rsidR="00111E47" w:rsidRPr="00EE7C5D" w:rsidRDefault="00111E47" w:rsidP="006607CE">
      <w:pPr>
        <w:spacing w:after="120" w:line="360" w:lineRule="auto"/>
        <w:rPr>
          <w:rFonts w:eastAsia="Times New Roman" w:cstheme="minorHAnsi"/>
          <w:color w:val="000000" w:themeColor="text1"/>
          <w:szCs w:val="20"/>
        </w:rPr>
      </w:pPr>
      <w:r w:rsidRPr="00F23BDC">
        <w:rPr>
          <w:rFonts w:eastAsia="Times New Roman" w:cstheme="minorHAnsi"/>
          <w:color w:val="000000" w:themeColor="text1"/>
          <w:szCs w:val="20"/>
        </w:rPr>
        <w:t>Two federal laws figure prominently in the discussion of public health access to school data—the Family Educational Rights and Privacy Act (FERPA)</w:t>
      </w:r>
      <w:r>
        <w:rPr>
          <w:rStyle w:val="FootnoteReference"/>
          <w:rFonts w:eastAsia="Times New Roman" w:cstheme="minorHAnsi"/>
          <w:color w:val="000000" w:themeColor="text1"/>
          <w:szCs w:val="20"/>
        </w:rPr>
        <w:footnoteReference w:id="2"/>
      </w:r>
      <w:r w:rsidRPr="00F23BDC">
        <w:rPr>
          <w:rFonts w:eastAsia="Times New Roman" w:cstheme="minorHAnsi"/>
          <w:color w:val="000000" w:themeColor="text1"/>
          <w:szCs w:val="20"/>
        </w:rPr>
        <w:t xml:space="preserve"> and the Health Insurance Portability and Accountability Act (HIPAA)</w:t>
      </w:r>
      <w:r>
        <w:rPr>
          <w:rStyle w:val="FootnoteReference"/>
          <w:rFonts w:eastAsia="Times New Roman" w:cstheme="minorHAnsi"/>
          <w:color w:val="000000" w:themeColor="text1"/>
          <w:szCs w:val="20"/>
        </w:rPr>
        <w:footnoteReference w:id="3"/>
      </w:r>
      <w:r w:rsidRPr="00F23BDC">
        <w:rPr>
          <w:rFonts w:eastAsia="Times New Roman" w:cstheme="minorHAnsi"/>
          <w:color w:val="000000" w:themeColor="text1"/>
          <w:szCs w:val="20"/>
        </w:rPr>
        <w:t>. HIPAA’s Privacy Rule</w:t>
      </w:r>
      <w:r>
        <w:rPr>
          <w:rStyle w:val="FootnoteReference"/>
          <w:rFonts w:eastAsia="Times New Roman" w:cstheme="minorHAnsi"/>
          <w:color w:val="000000" w:themeColor="text1"/>
          <w:szCs w:val="20"/>
        </w:rPr>
        <w:footnoteReference w:id="4"/>
      </w:r>
      <w:r w:rsidRPr="00F23BDC">
        <w:rPr>
          <w:rFonts w:eastAsia="Times New Roman" w:cstheme="minorHAnsi"/>
          <w:color w:val="000000" w:themeColor="text1"/>
          <w:szCs w:val="20"/>
        </w:rPr>
        <w:t xml:space="preserve"> specifically excludes student education records covered under FERPA from coverage under the Privacy Rule. Thus, FERPA governs student health information that falls within the purview of that act; other health-related records outside of FERPA are governed by HIPAA and any applicable state laws.</w:t>
      </w:r>
    </w:p>
    <w:p w14:paraId="00BBCBEF" w14:textId="77777777" w:rsidR="00F11412" w:rsidRPr="00F11412" w:rsidRDefault="000A783C" w:rsidP="00F11412">
      <w:pPr>
        <w:pStyle w:val="ListParagraph"/>
        <w:numPr>
          <w:ilvl w:val="0"/>
          <w:numId w:val="2"/>
        </w:numPr>
        <w:spacing w:line="360" w:lineRule="auto"/>
        <w:rPr>
          <w:rFonts w:eastAsia="Times New Roman" w:cstheme="minorHAnsi"/>
          <w:color w:val="000000" w:themeColor="text1"/>
          <w:szCs w:val="20"/>
        </w:rPr>
      </w:pPr>
      <w:r w:rsidRPr="00F11412">
        <w:rPr>
          <w:rFonts w:eastAsia="Times New Roman" w:cstheme="minorHAnsi"/>
          <w:color w:val="000000" w:themeColor="text1"/>
          <w:szCs w:val="20"/>
        </w:rPr>
        <w:t xml:space="preserve">The </w:t>
      </w:r>
      <w:r w:rsidRPr="00F11412">
        <w:rPr>
          <w:rFonts w:eastAsia="Times New Roman" w:cstheme="minorHAnsi"/>
          <w:b/>
          <w:bCs/>
          <w:color w:val="000000" w:themeColor="text1"/>
          <w:szCs w:val="20"/>
        </w:rPr>
        <w:t xml:space="preserve">Family Educational Rights and Privacy Act (FERPA) </w:t>
      </w:r>
      <w:r w:rsidRPr="00F11412">
        <w:rPr>
          <w:rFonts w:eastAsia="Times New Roman" w:cstheme="minorHAnsi"/>
          <w:color w:val="000000" w:themeColor="text1"/>
          <w:szCs w:val="20"/>
        </w:rPr>
        <w:t>is a federal law intended to protect the privacy of student education records while allowing students and parents greater access to the records.</w:t>
      </w:r>
      <w:r>
        <w:rPr>
          <w:rStyle w:val="FootnoteReference"/>
          <w:rFonts w:eastAsia="Times New Roman" w:cstheme="minorHAnsi"/>
          <w:color w:val="000000" w:themeColor="text1"/>
          <w:szCs w:val="20"/>
        </w:rPr>
        <w:footnoteReference w:id="5"/>
      </w:r>
      <w:r w:rsidRPr="00F11412">
        <w:rPr>
          <w:rFonts w:eastAsia="Times New Roman" w:cstheme="minorHAnsi"/>
          <w:color w:val="000000" w:themeColor="text1"/>
          <w:szCs w:val="20"/>
        </w:rPr>
        <w:t xml:space="preserve"> FERPA, among other things, prevents the disclosure of a student’s education record without the consent of a parent or eligible student unless an exception to the law’s general consent requirement applies.</w:t>
      </w:r>
      <w:r>
        <w:rPr>
          <w:rStyle w:val="FootnoteReference"/>
          <w:rFonts w:eastAsia="Times New Roman" w:cstheme="minorHAnsi"/>
          <w:color w:val="000000" w:themeColor="text1"/>
          <w:szCs w:val="20"/>
        </w:rPr>
        <w:footnoteReference w:id="6"/>
      </w:r>
      <w:r w:rsidR="00EA6223" w:rsidRPr="00F11412">
        <w:rPr>
          <w:rFonts w:eastAsia="Times New Roman" w:cstheme="minorHAnsi"/>
          <w:color w:val="000000" w:themeColor="text1"/>
          <w:szCs w:val="20"/>
        </w:rPr>
        <w:t xml:space="preserve"> </w:t>
      </w:r>
      <w:r w:rsidR="00EA6223" w:rsidRPr="00F11412">
        <w:rPr>
          <w:rFonts w:eastAsia="Times New Roman" w:cstheme="minorHAnsi"/>
          <w:color w:val="000000" w:themeColor="text1"/>
        </w:rPr>
        <w:t>FERPA regulations define “personally identifiable information” (PII) to include name, address, personal identifiers like Social Security number or date of birth, biometric data, or other information that could be used alone or in combination to identify a student.</w:t>
      </w:r>
      <w:r w:rsidR="00EA6223">
        <w:rPr>
          <w:rStyle w:val="FootnoteReference"/>
          <w:rFonts w:eastAsia="Times New Roman" w:cstheme="minorHAnsi"/>
          <w:color w:val="000000" w:themeColor="text1"/>
        </w:rPr>
        <w:footnoteReference w:id="7"/>
      </w:r>
      <w:r w:rsidR="00EA6223" w:rsidRPr="00F11412">
        <w:rPr>
          <w:rFonts w:eastAsia="Times New Roman" w:cstheme="minorHAnsi"/>
          <w:color w:val="000000" w:themeColor="text1"/>
          <w:bdr w:val="none" w:sz="0" w:space="0" w:color="auto" w:frame="1"/>
        </w:rPr>
        <w:t xml:space="preserve"> </w:t>
      </w:r>
      <w:r w:rsidR="00EA6223" w:rsidRPr="00F11412">
        <w:rPr>
          <w:rFonts w:eastAsia="Times New Roman" w:cstheme="minorHAnsi"/>
          <w:color w:val="000000" w:themeColor="text1"/>
        </w:rPr>
        <w:t>However, schools may disclose without consent “directory information” such as a student's name, address, telephone number, date and place of birth, honors and awards, and dates of attendance.</w:t>
      </w:r>
      <w:r w:rsidR="00EA6223">
        <w:rPr>
          <w:rStyle w:val="FootnoteReference"/>
          <w:rFonts w:eastAsia="Times New Roman" w:cstheme="minorHAnsi"/>
          <w:color w:val="000000" w:themeColor="text1"/>
        </w:rPr>
        <w:footnoteReference w:id="8"/>
      </w:r>
      <w:r w:rsidR="00E91856" w:rsidRPr="00F11412">
        <w:rPr>
          <w:rFonts w:eastAsia="Times New Roman" w:cstheme="minorHAnsi"/>
          <w:color w:val="000000" w:themeColor="text1"/>
        </w:rPr>
        <w:t xml:space="preserve"> </w:t>
      </w:r>
    </w:p>
    <w:p w14:paraId="5C6DF4F9" w14:textId="77777777" w:rsidR="00F11412" w:rsidRDefault="00F11412" w:rsidP="00F11412">
      <w:pPr>
        <w:pStyle w:val="ListParagraph"/>
        <w:spacing w:line="360" w:lineRule="auto"/>
        <w:ind w:left="360"/>
        <w:rPr>
          <w:rFonts w:eastAsia="Times New Roman" w:cstheme="minorHAnsi"/>
          <w:color w:val="000000" w:themeColor="text1"/>
        </w:rPr>
      </w:pPr>
    </w:p>
    <w:p w14:paraId="66F4AB60" w14:textId="124A8C4D" w:rsidR="00E91856" w:rsidRDefault="00E91856" w:rsidP="00610E61">
      <w:pPr>
        <w:pStyle w:val="ListParagraph"/>
        <w:spacing w:after="120" w:line="360" w:lineRule="auto"/>
        <w:ind w:left="360"/>
        <w:contextualSpacing w:val="0"/>
        <w:rPr>
          <w:rFonts w:eastAsia="Times New Roman" w:cstheme="minorHAnsi"/>
        </w:rPr>
      </w:pPr>
      <w:r w:rsidRPr="00F11412">
        <w:rPr>
          <w:rFonts w:eastAsia="Times New Roman" w:cstheme="minorHAnsi"/>
          <w:color w:val="000000" w:themeColor="text1"/>
        </w:rPr>
        <w:t xml:space="preserve">FERPA contains </w:t>
      </w:r>
      <w:proofErr w:type="gramStart"/>
      <w:r w:rsidRPr="00F11412">
        <w:rPr>
          <w:rFonts w:eastAsia="Times New Roman" w:cstheme="minorHAnsi"/>
          <w:color w:val="000000" w:themeColor="text1"/>
        </w:rPr>
        <w:t>a number of</w:t>
      </w:r>
      <w:proofErr w:type="gramEnd"/>
      <w:r w:rsidRPr="00F11412">
        <w:rPr>
          <w:rFonts w:eastAsia="Times New Roman" w:cstheme="minorHAnsi"/>
          <w:color w:val="000000" w:themeColor="text1"/>
        </w:rPr>
        <w:t xml:space="preserve"> exceptions that allow schools to disclose PII from a student’s education record without consent of a parent or an eligible student. Schools may also disclose de-identified information without written consent.</w:t>
      </w:r>
      <w:r>
        <w:rPr>
          <w:rStyle w:val="FootnoteReference"/>
          <w:rFonts w:eastAsia="Times New Roman" w:cstheme="minorHAnsi"/>
          <w:color w:val="000000" w:themeColor="text1"/>
        </w:rPr>
        <w:footnoteReference w:id="9"/>
      </w:r>
      <w:r w:rsidRPr="00F11412">
        <w:rPr>
          <w:rFonts w:eastAsia="Times New Roman" w:cstheme="minorHAnsi"/>
          <w:color w:val="000000" w:themeColor="text1"/>
          <w:bdr w:val="none" w:sz="0" w:space="0" w:color="auto" w:frame="1"/>
        </w:rPr>
        <w:t xml:space="preserve"> </w:t>
      </w:r>
      <w:r w:rsidRPr="00F11412">
        <w:rPr>
          <w:rFonts w:eastAsia="Times New Roman" w:cstheme="minorHAnsi"/>
          <w:color w:val="000000" w:themeColor="text1"/>
        </w:rPr>
        <w:t>In addition to disclosures to parents and eligible students, and for directory information, FERPA regulations identify the parties or circumstances in which disclosure of PII may be made without consent.</w:t>
      </w:r>
      <w:r>
        <w:rPr>
          <w:rStyle w:val="FootnoteReference"/>
          <w:rFonts w:eastAsia="Times New Roman" w:cstheme="minorHAnsi"/>
          <w:color w:val="000000" w:themeColor="text1"/>
        </w:rPr>
        <w:footnoteReference w:id="10"/>
      </w:r>
      <w:r w:rsidRPr="00F11412">
        <w:rPr>
          <w:rFonts w:eastAsia="Times New Roman" w:cstheme="minorHAnsi"/>
          <w:color w:val="000000" w:themeColor="text1"/>
          <w:bdr w:val="none" w:sz="0" w:space="0" w:color="auto" w:frame="1"/>
        </w:rPr>
        <w:t xml:space="preserve"> </w:t>
      </w:r>
      <w:r w:rsidRPr="00F11412">
        <w:rPr>
          <w:rFonts w:eastAsia="Times New Roman" w:cstheme="minorHAnsi"/>
          <w:color w:val="000000" w:themeColor="text1"/>
        </w:rPr>
        <w:t xml:space="preserve">These include releases to school officials, specified federal, state or local officials and their authorized representatives; in the case of health and safety </w:t>
      </w:r>
      <w:r w:rsidRPr="00F11412">
        <w:rPr>
          <w:rFonts w:eastAsia="Times New Roman" w:cstheme="minorHAnsi"/>
          <w:color w:val="000000" w:themeColor="text1"/>
        </w:rPr>
        <w:lastRenderedPageBreak/>
        <w:t>emergencies; to juvenile justice authorities or to comply with judicial actions; studies being conducted on behalf of the school; for financial aid purposes or transferring schools; and to accrediting organizations.</w:t>
      </w:r>
      <w:r>
        <w:rPr>
          <w:rStyle w:val="FootnoteReference"/>
          <w:rFonts w:eastAsia="Times New Roman" w:cstheme="minorHAnsi"/>
          <w:color w:val="000000" w:themeColor="text1"/>
        </w:rPr>
        <w:footnoteReference w:id="11"/>
      </w:r>
      <w:r w:rsidRPr="00F11412">
        <w:rPr>
          <w:rFonts w:eastAsia="Times New Roman" w:cstheme="minorHAnsi"/>
          <w:color w:val="000000" w:themeColor="text1"/>
        </w:rPr>
        <w:t xml:space="preserve"> Historically, these exceptions have been narrowly construed by ED to err on the side of protecting the student’s privacy over making a disclosure. </w:t>
      </w:r>
    </w:p>
    <w:p w14:paraId="6CCAF1B0" w14:textId="7874D947" w:rsidR="00610E61" w:rsidRPr="00482098" w:rsidRDefault="00610E61" w:rsidP="00610E61">
      <w:pPr>
        <w:pStyle w:val="ListParagraph"/>
        <w:numPr>
          <w:ilvl w:val="0"/>
          <w:numId w:val="2"/>
        </w:numPr>
        <w:spacing w:line="360" w:lineRule="auto"/>
        <w:rPr>
          <w:rFonts w:eastAsia="Times New Roman" w:cstheme="minorHAnsi"/>
          <w:color w:val="000000" w:themeColor="text1"/>
          <w:szCs w:val="20"/>
        </w:rPr>
      </w:pPr>
      <w:r w:rsidRPr="00482098">
        <w:rPr>
          <w:rFonts w:eastAsia="Times New Roman" w:cstheme="minorHAnsi"/>
          <w:color w:val="000000" w:themeColor="text1"/>
          <w:szCs w:val="20"/>
        </w:rPr>
        <w:t xml:space="preserve">The </w:t>
      </w:r>
      <w:r w:rsidRPr="00482098">
        <w:rPr>
          <w:rFonts w:eastAsia="Times New Roman" w:cstheme="minorHAnsi"/>
          <w:b/>
          <w:bCs/>
          <w:color w:val="000000" w:themeColor="text1"/>
          <w:szCs w:val="20"/>
        </w:rPr>
        <w:t>Privacy Rule adopted under the Health Insurance Portability and Accountability Act (HIPAA)</w:t>
      </w:r>
      <w:r w:rsidRPr="00482098">
        <w:rPr>
          <w:rFonts w:eastAsia="Times New Roman" w:cstheme="minorHAnsi"/>
          <w:color w:val="000000" w:themeColor="text1"/>
          <w:szCs w:val="20"/>
        </w:rPr>
        <w:t xml:space="preserve"> established national privacy protections for individually identifiable health information.</w:t>
      </w:r>
      <w:r w:rsidR="006607CE">
        <w:rPr>
          <w:rStyle w:val="FootnoteReference"/>
          <w:rFonts w:eastAsia="Times New Roman" w:cstheme="minorHAnsi"/>
          <w:color w:val="000000" w:themeColor="text1"/>
          <w:szCs w:val="20"/>
        </w:rPr>
        <w:footnoteReference w:id="12"/>
      </w:r>
      <w:r w:rsidRPr="00482098">
        <w:rPr>
          <w:rFonts w:eastAsia="Times New Roman" w:cstheme="minorHAnsi"/>
          <w:color w:val="000000" w:themeColor="text1"/>
          <w:szCs w:val="20"/>
        </w:rPr>
        <w:t xml:space="preserve"> The Privacy Rule states that a covered entity may not use or disclose PHI except as permitted by the Privacy Rule or as authorized in writing by the person who is the subject of the PHI (or their personal representative).</w:t>
      </w:r>
      <w:r w:rsidR="001E7B0A">
        <w:rPr>
          <w:rStyle w:val="FootnoteReference"/>
          <w:rFonts w:eastAsia="Times New Roman" w:cstheme="minorHAnsi"/>
          <w:color w:val="000000" w:themeColor="text1"/>
          <w:szCs w:val="20"/>
        </w:rPr>
        <w:footnoteReference w:id="13"/>
      </w:r>
      <w:r w:rsidRPr="00482098">
        <w:rPr>
          <w:rFonts w:eastAsia="Times New Roman" w:cstheme="minorHAnsi"/>
          <w:color w:val="000000" w:themeColor="text1"/>
          <w:szCs w:val="20"/>
        </w:rPr>
        <w:t xml:space="preserve"> The Privacy Rule applies to protected health information (“PHI”). PHI is individually identifiable health information held or transmitted by a covered entity or its business associate in any form or media—electronic, paper, or oral. “Individually identifiable health information” is defined to include </w:t>
      </w:r>
      <w:r w:rsidR="004474A8" w:rsidRPr="00482098">
        <w:rPr>
          <w:rFonts w:eastAsia="Times New Roman" w:cstheme="minorHAnsi"/>
          <w:color w:val="000000" w:themeColor="text1"/>
          <w:szCs w:val="20"/>
        </w:rPr>
        <w:t>data t</w:t>
      </w:r>
      <w:r w:rsidRPr="00482098">
        <w:rPr>
          <w:rFonts w:eastAsia="Times New Roman" w:cstheme="minorHAnsi"/>
          <w:color w:val="000000" w:themeColor="text1"/>
          <w:szCs w:val="20"/>
        </w:rPr>
        <w:t>hat identif</w:t>
      </w:r>
      <w:r w:rsidR="004474A8" w:rsidRPr="00482098">
        <w:rPr>
          <w:rFonts w:eastAsia="Times New Roman" w:cstheme="minorHAnsi"/>
          <w:color w:val="000000" w:themeColor="text1"/>
          <w:szCs w:val="20"/>
        </w:rPr>
        <w:t>ies</w:t>
      </w:r>
      <w:r w:rsidRPr="00482098">
        <w:rPr>
          <w:rFonts w:eastAsia="Times New Roman" w:cstheme="minorHAnsi"/>
          <w:color w:val="000000" w:themeColor="text1"/>
          <w:szCs w:val="20"/>
        </w:rPr>
        <w:t xml:space="preserve"> the individual or that could be reasonably used to identify the individual</w:t>
      </w:r>
      <w:r w:rsidR="00DE3B65" w:rsidRPr="00482098">
        <w:rPr>
          <w:rFonts w:eastAsia="Times New Roman" w:cstheme="minorHAnsi"/>
          <w:color w:val="000000" w:themeColor="text1"/>
          <w:szCs w:val="20"/>
        </w:rPr>
        <w:t>, such as</w:t>
      </w:r>
      <w:r w:rsidR="00702A66" w:rsidRPr="00482098">
        <w:rPr>
          <w:rFonts w:eastAsia="Times New Roman" w:cstheme="minorHAnsi"/>
          <w:color w:val="000000" w:themeColor="text1"/>
          <w:szCs w:val="20"/>
        </w:rPr>
        <w:t>:</w:t>
      </w:r>
      <w:r w:rsidR="00DE3B65" w:rsidRPr="00482098">
        <w:rPr>
          <w:rFonts w:eastAsia="Times New Roman" w:cstheme="minorHAnsi"/>
          <w:color w:val="000000" w:themeColor="text1"/>
          <w:szCs w:val="20"/>
        </w:rPr>
        <w:t xml:space="preserve"> d</w:t>
      </w:r>
      <w:r w:rsidRPr="00482098">
        <w:rPr>
          <w:rFonts w:eastAsia="Times New Roman" w:cstheme="minorHAnsi"/>
          <w:color w:val="000000" w:themeColor="text1"/>
          <w:szCs w:val="20"/>
        </w:rPr>
        <w:t>emographic data</w:t>
      </w:r>
      <w:r w:rsidR="00702A66" w:rsidRPr="00482098">
        <w:rPr>
          <w:rFonts w:eastAsia="Times New Roman" w:cstheme="minorHAnsi"/>
          <w:color w:val="000000" w:themeColor="text1"/>
          <w:szCs w:val="20"/>
        </w:rPr>
        <w:t>;</w:t>
      </w:r>
      <w:r w:rsidR="00DE3B65" w:rsidRPr="00482098">
        <w:rPr>
          <w:rFonts w:eastAsia="Times New Roman" w:cstheme="minorHAnsi"/>
          <w:color w:val="000000" w:themeColor="text1"/>
          <w:szCs w:val="20"/>
        </w:rPr>
        <w:t xml:space="preserve"> c</w:t>
      </w:r>
      <w:r w:rsidRPr="00482098">
        <w:rPr>
          <w:rFonts w:eastAsia="Times New Roman" w:cstheme="minorHAnsi"/>
          <w:color w:val="000000" w:themeColor="text1"/>
          <w:szCs w:val="20"/>
        </w:rPr>
        <w:t>ommon identifiers (e.g., name, address, birth date, Social Security number)</w:t>
      </w:r>
      <w:r w:rsidR="00702A66" w:rsidRPr="00482098">
        <w:rPr>
          <w:rFonts w:eastAsia="Times New Roman" w:cstheme="minorHAnsi"/>
          <w:color w:val="000000" w:themeColor="text1"/>
          <w:szCs w:val="20"/>
        </w:rPr>
        <w:t>; i</w:t>
      </w:r>
      <w:r w:rsidRPr="00482098">
        <w:rPr>
          <w:rFonts w:eastAsia="Times New Roman" w:cstheme="minorHAnsi"/>
          <w:color w:val="000000" w:themeColor="text1"/>
          <w:szCs w:val="20"/>
        </w:rPr>
        <w:t>nformation relating to the individual’s past, present, or future physical or mental health condition and healthcare provided to the person</w:t>
      </w:r>
      <w:r w:rsidR="00702A66" w:rsidRPr="00482098">
        <w:rPr>
          <w:rFonts w:eastAsia="Times New Roman" w:cstheme="minorHAnsi"/>
          <w:color w:val="000000" w:themeColor="text1"/>
          <w:szCs w:val="20"/>
        </w:rPr>
        <w:t xml:space="preserve">; </w:t>
      </w:r>
      <w:r w:rsidR="00282D04" w:rsidRPr="00482098">
        <w:rPr>
          <w:rFonts w:eastAsia="Times New Roman" w:cstheme="minorHAnsi"/>
          <w:color w:val="000000" w:themeColor="text1"/>
          <w:szCs w:val="20"/>
        </w:rPr>
        <w:t xml:space="preserve">or payment records </w:t>
      </w:r>
      <w:r w:rsidRPr="00482098">
        <w:rPr>
          <w:rFonts w:eastAsia="Times New Roman" w:cstheme="minorHAnsi"/>
          <w:color w:val="000000" w:themeColor="text1"/>
          <w:szCs w:val="20"/>
        </w:rPr>
        <w:t>for healthcare.</w:t>
      </w:r>
      <w:r w:rsidR="00482098" w:rsidRPr="00482098">
        <w:rPr>
          <w:rFonts w:eastAsia="Times New Roman" w:cstheme="minorHAnsi"/>
          <w:color w:val="000000" w:themeColor="text1"/>
          <w:szCs w:val="20"/>
        </w:rPr>
        <w:t xml:space="preserve"> </w:t>
      </w:r>
      <w:r w:rsidRPr="00482098">
        <w:rPr>
          <w:rFonts w:eastAsia="Times New Roman" w:cstheme="minorHAnsi"/>
          <w:color w:val="000000" w:themeColor="text1"/>
          <w:szCs w:val="20"/>
        </w:rPr>
        <w:t xml:space="preserve">There are no restrictions on the use or disclosure of de-identified health information. </w:t>
      </w:r>
    </w:p>
    <w:p w14:paraId="40A6EB0B" w14:textId="77777777" w:rsidR="00610E61" w:rsidRPr="003A77A4" w:rsidRDefault="00610E61" w:rsidP="003A77A4">
      <w:pPr>
        <w:spacing w:line="360" w:lineRule="auto"/>
        <w:rPr>
          <w:rFonts w:eastAsia="Times New Roman" w:cstheme="minorHAnsi"/>
          <w:color w:val="000000" w:themeColor="text1"/>
          <w:szCs w:val="20"/>
        </w:rPr>
      </w:pPr>
    </w:p>
    <w:p w14:paraId="3A3BF993" w14:textId="27706F80" w:rsidR="000A783C" w:rsidRDefault="00610E61" w:rsidP="001A0219">
      <w:pPr>
        <w:pStyle w:val="ListParagraph"/>
        <w:spacing w:line="360" w:lineRule="auto"/>
        <w:ind w:left="360"/>
      </w:pPr>
      <w:r w:rsidRPr="00610E61">
        <w:rPr>
          <w:rFonts w:eastAsia="Times New Roman" w:cstheme="minorHAnsi"/>
          <w:color w:val="000000" w:themeColor="text1"/>
          <w:szCs w:val="20"/>
        </w:rPr>
        <w:t>The Privacy Rule identifies circumstances in which use or disclosure of PHI is specifically permitted</w:t>
      </w:r>
      <w:r w:rsidR="007113A0">
        <w:rPr>
          <w:rFonts w:eastAsia="Times New Roman" w:cstheme="minorHAnsi"/>
          <w:color w:val="000000" w:themeColor="text1"/>
          <w:szCs w:val="20"/>
        </w:rPr>
        <w:t xml:space="preserve">, including: </w:t>
      </w:r>
      <w:r w:rsidRPr="00610E61">
        <w:rPr>
          <w:rFonts w:eastAsia="Times New Roman" w:cstheme="minorHAnsi"/>
          <w:color w:val="000000" w:themeColor="text1"/>
          <w:szCs w:val="20"/>
        </w:rPr>
        <w:t xml:space="preserve">to the individual; for treatment, payment, or healthcare operations; for use or disclosure where there is an opportunity to agree or object to its use; for public interest and benefit activities; release of a limited data set for research, public health or healthcare operations; and, incidental use and disclosure. Regarding the permitted disclosure for public interest and benefits activities, the Privacy Rule contains twelve public purposes, several of which cover public health activities during normal operations and emergencies, including public health activities including disease surveillance; for series threats to health or safety; for judicial or administrative proceedings. </w:t>
      </w:r>
    </w:p>
    <w:p w14:paraId="15F8F349" w14:textId="1C0D66C4" w:rsidR="00E91856" w:rsidRDefault="00E91856" w:rsidP="00395BA9">
      <w:pPr>
        <w:spacing w:line="360" w:lineRule="auto"/>
      </w:pPr>
    </w:p>
    <w:p w14:paraId="20BB2ECF" w14:textId="7FF86D9F" w:rsidR="00A9420F" w:rsidRPr="00A9420F" w:rsidRDefault="00A64771" w:rsidP="00A9420F">
      <w:pPr>
        <w:spacing w:line="360" w:lineRule="auto"/>
        <w:rPr>
          <w:rFonts w:eastAsia="Times New Roman" w:cstheme="minorHAnsi"/>
          <w:b/>
          <w:bCs/>
          <w:color w:val="3C3030"/>
        </w:rPr>
      </w:pPr>
      <w:r>
        <w:rPr>
          <w:rFonts w:eastAsia="Times New Roman" w:cstheme="minorHAnsi"/>
          <w:b/>
          <w:bCs/>
          <w:color w:val="3C3030"/>
        </w:rPr>
        <w:lastRenderedPageBreak/>
        <w:t>Facil</w:t>
      </w:r>
      <w:r w:rsidR="00405B02">
        <w:rPr>
          <w:rFonts w:eastAsia="Times New Roman" w:cstheme="minorHAnsi"/>
          <w:b/>
          <w:bCs/>
          <w:color w:val="3C3030"/>
        </w:rPr>
        <w:t>itating Access</w:t>
      </w:r>
    </w:p>
    <w:p w14:paraId="47FF80E2" w14:textId="736F7587" w:rsidR="00A9420F" w:rsidRPr="00126042" w:rsidRDefault="00A9420F" w:rsidP="00A9420F">
      <w:pPr>
        <w:spacing w:line="360" w:lineRule="auto"/>
        <w:rPr>
          <w:rFonts w:eastAsia="Times New Roman" w:cstheme="minorHAnsi"/>
          <w:color w:val="000000" w:themeColor="text1"/>
          <w:sz w:val="20"/>
          <w:szCs w:val="18"/>
        </w:rPr>
      </w:pPr>
      <w:r w:rsidRPr="00A9420F">
        <w:rPr>
          <w:rFonts w:eastAsia="Times New Roman" w:cstheme="minorHAnsi"/>
          <w:color w:val="000000" w:themeColor="text1"/>
          <w:szCs w:val="20"/>
        </w:rPr>
        <w:t xml:space="preserve">Both FERPA and HIPAA contain provisions and exceptions that could be used to facilitate public health agencies’ access to student health and other data. The ability to access data under either law requires that the parties seeking access are eligible to receive the data or the circumstances give rise to access. A key distinction in each of the acts is when access to data is permitted with and without consent. </w:t>
      </w:r>
      <w:r w:rsidR="004E5397">
        <w:rPr>
          <w:rFonts w:eastAsia="Times New Roman" w:cstheme="minorHAnsi"/>
          <w:color w:val="000000" w:themeColor="text1"/>
          <w:szCs w:val="20"/>
        </w:rPr>
        <w:t>T</w:t>
      </w:r>
      <w:r w:rsidRPr="00A9420F">
        <w:rPr>
          <w:rFonts w:eastAsia="Times New Roman" w:cstheme="minorHAnsi"/>
          <w:color w:val="000000" w:themeColor="text1"/>
          <w:szCs w:val="20"/>
        </w:rPr>
        <w:t>heories that have been used by health agencies</w:t>
      </w:r>
      <w:r w:rsidR="004E5397">
        <w:rPr>
          <w:rFonts w:eastAsia="Times New Roman" w:cstheme="minorHAnsi"/>
          <w:color w:val="000000" w:themeColor="text1"/>
          <w:szCs w:val="20"/>
        </w:rPr>
        <w:t xml:space="preserve"> </w:t>
      </w:r>
      <w:r w:rsidR="00A06B1F">
        <w:rPr>
          <w:rFonts w:eastAsia="Times New Roman" w:cstheme="minorHAnsi"/>
          <w:color w:val="000000" w:themeColor="text1"/>
          <w:szCs w:val="20"/>
        </w:rPr>
        <w:t>t</w:t>
      </w:r>
      <w:r w:rsidRPr="00A9420F">
        <w:rPr>
          <w:rFonts w:eastAsia="Times New Roman" w:cstheme="minorHAnsi"/>
          <w:color w:val="000000" w:themeColor="text1"/>
          <w:szCs w:val="20"/>
        </w:rPr>
        <w:t xml:space="preserve">o </w:t>
      </w:r>
      <w:r w:rsidR="00A06B1F">
        <w:rPr>
          <w:rFonts w:eastAsia="Times New Roman" w:cstheme="minorHAnsi"/>
          <w:color w:val="000000" w:themeColor="text1"/>
          <w:szCs w:val="20"/>
        </w:rPr>
        <w:t>obtain</w:t>
      </w:r>
      <w:r w:rsidRPr="00A9420F">
        <w:rPr>
          <w:rFonts w:eastAsia="Times New Roman" w:cstheme="minorHAnsi"/>
          <w:color w:val="000000" w:themeColor="text1"/>
          <w:szCs w:val="20"/>
        </w:rPr>
        <w:t xml:space="preserve"> access to student health data</w:t>
      </w:r>
      <w:r w:rsidR="004E5397">
        <w:rPr>
          <w:rFonts w:eastAsia="Times New Roman" w:cstheme="minorHAnsi"/>
          <w:color w:val="000000" w:themeColor="text1"/>
          <w:szCs w:val="20"/>
        </w:rPr>
        <w:t xml:space="preserve"> include:</w:t>
      </w:r>
    </w:p>
    <w:p w14:paraId="4406C3E1" w14:textId="682C04D4" w:rsidR="004E5397" w:rsidRDefault="00126042" w:rsidP="005957FA">
      <w:pPr>
        <w:pStyle w:val="ListParagraph"/>
        <w:numPr>
          <w:ilvl w:val="1"/>
          <w:numId w:val="3"/>
        </w:numPr>
        <w:spacing w:line="360" w:lineRule="auto"/>
        <w:rPr>
          <w:rFonts w:eastAsia="Times New Roman" w:cstheme="minorHAnsi"/>
          <w:color w:val="3C3030"/>
        </w:rPr>
      </w:pPr>
      <w:r w:rsidRPr="00126042">
        <w:rPr>
          <w:rFonts w:eastAsia="Times New Roman" w:cstheme="minorHAnsi"/>
          <w:color w:val="3C3030"/>
        </w:rPr>
        <w:t>Obtain</w:t>
      </w:r>
      <w:r>
        <w:rPr>
          <w:rFonts w:eastAsia="Times New Roman" w:cstheme="minorHAnsi"/>
          <w:color w:val="3C3030"/>
        </w:rPr>
        <w:t>ing</w:t>
      </w:r>
      <w:r w:rsidRPr="00126042">
        <w:rPr>
          <w:rFonts w:eastAsia="Times New Roman" w:cstheme="minorHAnsi"/>
          <w:color w:val="3C3030"/>
        </w:rPr>
        <w:t xml:space="preserve"> </w:t>
      </w:r>
      <w:r w:rsidRPr="00126042">
        <w:rPr>
          <w:rFonts w:eastAsia="Times New Roman" w:cstheme="minorHAnsi"/>
          <w:color w:val="3C3030"/>
        </w:rPr>
        <w:t>c</w:t>
      </w:r>
      <w:r w:rsidRPr="00126042">
        <w:rPr>
          <w:rFonts w:eastAsia="Times New Roman" w:cstheme="minorHAnsi"/>
          <w:color w:val="3C3030"/>
        </w:rPr>
        <w:t>onsent</w:t>
      </w:r>
      <w:r>
        <w:rPr>
          <w:rFonts w:eastAsia="Times New Roman" w:cstheme="minorHAnsi"/>
          <w:color w:val="3C3030"/>
        </w:rPr>
        <w:t xml:space="preserve"> to use </w:t>
      </w:r>
      <w:r w:rsidR="002A712F">
        <w:rPr>
          <w:rFonts w:eastAsia="Times New Roman" w:cstheme="minorHAnsi"/>
          <w:color w:val="3C3030"/>
        </w:rPr>
        <w:t xml:space="preserve">PII or </w:t>
      </w:r>
      <w:r w:rsidR="005957FA">
        <w:rPr>
          <w:rFonts w:eastAsia="Times New Roman" w:cstheme="minorHAnsi"/>
          <w:color w:val="3C3030"/>
        </w:rPr>
        <w:t>PHI.</w:t>
      </w:r>
    </w:p>
    <w:p w14:paraId="71718385" w14:textId="61B2F233" w:rsidR="002A712F" w:rsidRDefault="00A06B1F"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Using de-identified data</w:t>
      </w:r>
      <w:r w:rsidR="005957FA">
        <w:rPr>
          <w:rFonts w:eastAsia="Times New Roman" w:cstheme="minorHAnsi"/>
          <w:color w:val="3C3030"/>
        </w:rPr>
        <w:t>.</w:t>
      </w:r>
    </w:p>
    <w:p w14:paraId="6616052C" w14:textId="5F840C20" w:rsidR="00E01671" w:rsidRDefault="00E01671"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Using limited data sets</w:t>
      </w:r>
      <w:r w:rsidR="005957FA">
        <w:rPr>
          <w:rFonts w:eastAsia="Times New Roman" w:cstheme="minorHAnsi"/>
          <w:color w:val="3C3030"/>
        </w:rPr>
        <w:t>.</w:t>
      </w:r>
    </w:p>
    <w:p w14:paraId="7727A2B9" w14:textId="00832D67" w:rsidR="00E01671" w:rsidRDefault="00AD4B7D"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Accessing data that is not maintained by the school</w:t>
      </w:r>
      <w:r w:rsidR="005957FA">
        <w:rPr>
          <w:rFonts w:eastAsia="Times New Roman" w:cstheme="minorHAnsi"/>
          <w:color w:val="3C3030"/>
        </w:rPr>
        <w:t>.</w:t>
      </w:r>
    </w:p>
    <w:p w14:paraId="35263D24" w14:textId="755FBE34" w:rsidR="00AD4B7D" w:rsidRDefault="004A1AE0"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Accessing data through exceptions for public health activities</w:t>
      </w:r>
      <w:r w:rsidR="005957FA">
        <w:rPr>
          <w:rFonts w:eastAsia="Times New Roman" w:cstheme="minorHAnsi"/>
          <w:color w:val="3C3030"/>
        </w:rPr>
        <w:t>.</w:t>
      </w:r>
    </w:p>
    <w:p w14:paraId="600E6CC0" w14:textId="20F5FA42" w:rsidR="004A1AE0" w:rsidRDefault="00100F29"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Accessing data through exceptions for emergencies</w:t>
      </w:r>
      <w:r w:rsidR="005957FA">
        <w:rPr>
          <w:rFonts w:eastAsia="Times New Roman" w:cstheme="minorHAnsi"/>
          <w:color w:val="3C3030"/>
        </w:rPr>
        <w:t>.</w:t>
      </w:r>
    </w:p>
    <w:p w14:paraId="2B9A66F9" w14:textId="50F13076" w:rsidR="00100F29" w:rsidRDefault="000259E6"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 xml:space="preserve">Acting as an authorized representative of </w:t>
      </w:r>
      <w:r w:rsidR="00C33E51">
        <w:rPr>
          <w:rFonts w:eastAsia="Times New Roman" w:cstheme="minorHAnsi"/>
          <w:color w:val="3C3030"/>
        </w:rPr>
        <w:t>an eligible recipient of school data</w:t>
      </w:r>
      <w:r w:rsidR="005957FA">
        <w:rPr>
          <w:rFonts w:eastAsia="Times New Roman" w:cstheme="minorHAnsi"/>
          <w:color w:val="3C3030"/>
        </w:rPr>
        <w:t>.</w:t>
      </w:r>
    </w:p>
    <w:p w14:paraId="2E5600F4" w14:textId="6DF5AA20" w:rsidR="00C33E51" w:rsidRDefault="00B84C84"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Developing interagency agreements to use data</w:t>
      </w:r>
      <w:r w:rsidR="005957FA">
        <w:rPr>
          <w:rFonts w:eastAsia="Times New Roman" w:cstheme="minorHAnsi"/>
          <w:color w:val="3C3030"/>
        </w:rPr>
        <w:t>.</w:t>
      </w:r>
    </w:p>
    <w:p w14:paraId="2623592D" w14:textId="7BC0F8ED" w:rsidR="00B84C84" w:rsidRPr="00126042" w:rsidRDefault="004C2585" w:rsidP="005957FA">
      <w:pPr>
        <w:pStyle w:val="ListParagraph"/>
        <w:numPr>
          <w:ilvl w:val="1"/>
          <w:numId w:val="3"/>
        </w:numPr>
        <w:spacing w:line="360" w:lineRule="auto"/>
        <w:rPr>
          <w:rFonts w:eastAsia="Times New Roman" w:cstheme="minorHAnsi"/>
          <w:color w:val="3C3030"/>
        </w:rPr>
      </w:pPr>
      <w:r>
        <w:rPr>
          <w:rFonts w:eastAsia="Times New Roman" w:cstheme="minorHAnsi"/>
          <w:color w:val="3C3030"/>
        </w:rPr>
        <w:t>Obtaining disclosure through court order or subpoena</w:t>
      </w:r>
      <w:r w:rsidR="005957FA">
        <w:rPr>
          <w:rFonts w:eastAsia="Times New Roman" w:cstheme="minorHAnsi"/>
          <w:color w:val="3C3030"/>
        </w:rPr>
        <w:t>.</w:t>
      </w:r>
    </w:p>
    <w:p w14:paraId="492C2D6B" w14:textId="516D5781" w:rsidR="00C97E25" w:rsidRDefault="00C97E25" w:rsidP="00395BA9">
      <w:pPr>
        <w:spacing w:line="360" w:lineRule="auto"/>
      </w:pPr>
    </w:p>
    <w:p w14:paraId="6994A4AD" w14:textId="77777777" w:rsidR="0085578D" w:rsidRPr="00D17935" w:rsidRDefault="0085578D" w:rsidP="0085578D">
      <w:pPr>
        <w:pStyle w:val="norm15"/>
        <w:rPr>
          <w:rFonts w:ascii="Calibri" w:eastAsia="Times New Roman" w:hAnsi="Calibri" w:cs="Calibri"/>
          <w:b/>
          <w:bCs/>
          <w:color w:val="000000" w:themeColor="text1"/>
          <w:sz w:val="24"/>
        </w:rPr>
      </w:pPr>
      <w:r w:rsidRPr="00D17935">
        <w:rPr>
          <w:rFonts w:ascii="Calibri" w:eastAsia="Times New Roman" w:hAnsi="Calibri" w:cs="Calibri"/>
          <w:b/>
          <w:bCs/>
          <w:color w:val="000000" w:themeColor="text1"/>
          <w:sz w:val="24"/>
        </w:rPr>
        <w:t>Public Health and Education Legal Authorities in Schools</w:t>
      </w:r>
    </w:p>
    <w:p w14:paraId="067E62A2" w14:textId="77777777" w:rsidR="0085578D" w:rsidRPr="006528A7" w:rsidRDefault="0085578D" w:rsidP="0085578D">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The legal relationships and authorities between health agencies and schools, school districts, school boards, and state education agencies vary by state and even by locality. State laws differ as to which agency or agencies have the authority to initiate school closure and other public health measures in schools, the conditions under which the authority may be exercised, and the scope of authorities permitted.</w:t>
      </w:r>
    </w:p>
    <w:p w14:paraId="6AC2BE03" w14:textId="5BF0CF7A" w:rsidR="00F97289" w:rsidRDefault="00F97289" w:rsidP="00395BA9">
      <w:pPr>
        <w:spacing w:line="360" w:lineRule="auto"/>
      </w:pPr>
    </w:p>
    <w:p w14:paraId="7507B866" w14:textId="77777777" w:rsidR="008D59EC" w:rsidRDefault="00311F86" w:rsidP="00311F86">
      <w:pPr>
        <w:spacing w:line="360" w:lineRule="auto"/>
        <w:rPr>
          <w:b/>
          <w:bCs/>
        </w:rPr>
      </w:pPr>
      <w:r w:rsidRPr="00311F86">
        <w:rPr>
          <w:b/>
          <w:bCs/>
        </w:rPr>
        <w:t>Conditions of Authority</w:t>
      </w:r>
    </w:p>
    <w:p w14:paraId="447617BA" w14:textId="443A06F5" w:rsidR="00311F86" w:rsidRPr="00311F86" w:rsidRDefault="00311F86" w:rsidP="008D59EC">
      <w:pPr>
        <w:spacing w:after="120" w:line="360" w:lineRule="auto"/>
        <w:rPr>
          <w:b/>
          <w:bCs/>
        </w:rPr>
      </w:pPr>
      <w:r w:rsidRPr="00311F86">
        <w:t>The authority of a public health official to institute public health measures in schools and the types of authorities permitted can depend on whether an emergency has been declared.</w:t>
      </w:r>
    </w:p>
    <w:p w14:paraId="01791803" w14:textId="49BA8B60" w:rsidR="00311F86" w:rsidRPr="00311F86" w:rsidRDefault="00311F86" w:rsidP="008D59EC">
      <w:pPr>
        <w:numPr>
          <w:ilvl w:val="0"/>
          <w:numId w:val="4"/>
        </w:numPr>
        <w:spacing w:after="120" w:line="360" w:lineRule="auto"/>
      </w:pPr>
      <w:r w:rsidRPr="00311F86">
        <w:rPr>
          <w:b/>
          <w:bCs/>
        </w:rPr>
        <w:t>Existing Authorities Without an Emergency Declaration</w:t>
      </w:r>
      <w:r w:rsidRPr="00311F86">
        <w:t>—State officials generally have existing broad powers to address emergency situations by virtue of the statutory authorities granted to their position without having to formally declare a state of emergency. The determination to declare an emergency has implications for the legal authorities and operational resources available to respond to an event.</w:t>
      </w:r>
    </w:p>
    <w:p w14:paraId="1D9ACB9C" w14:textId="77777777" w:rsidR="00311F86" w:rsidRPr="00311F86" w:rsidRDefault="00311F86" w:rsidP="00311F86">
      <w:pPr>
        <w:numPr>
          <w:ilvl w:val="0"/>
          <w:numId w:val="4"/>
        </w:numPr>
        <w:spacing w:line="360" w:lineRule="auto"/>
      </w:pPr>
      <w:r w:rsidRPr="00311F86">
        <w:rPr>
          <w:b/>
          <w:bCs/>
        </w:rPr>
        <w:lastRenderedPageBreak/>
        <w:t>Emergency Authorities</w:t>
      </w:r>
      <w:r w:rsidRPr="00311F86">
        <w:t>—State emergency declarations activate emergency authorities designed to facilitate response and recovery activities such as activation of state emergency response plans and mutual aid agreements; activation of state incident command systems and emergency operation centers; authority to deploy personnel, equipment, supplies, and stockpiles; activation of statutory immunities and liability protections; and suspension or waiver of statutes, regulations, and administrative procedures.</w:t>
      </w:r>
    </w:p>
    <w:p w14:paraId="5681F311" w14:textId="77777777" w:rsidR="00311F86" w:rsidRPr="00311F86" w:rsidRDefault="00311F86" w:rsidP="00311F86">
      <w:pPr>
        <w:spacing w:line="360" w:lineRule="auto"/>
      </w:pPr>
    </w:p>
    <w:p w14:paraId="72182047" w14:textId="3714F3E7" w:rsidR="008D59EC" w:rsidRDefault="00311F86" w:rsidP="00311F86">
      <w:pPr>
        <w:spacing w:line="360" w:lineRule="auto"/>
        <w:rPr>
          <w:b/>
          <w:bCs/>
        </w:rPr>
      </w:pPr>
      <w:r w:rsidRPr="00311F86">
        <w:rPr>
          <w:b/>
          <w:bCs/>
        </w:rPr>
        <w:t>Agencies Authorized to Act</w:t>
      </w:r>
      <w:r w:rsidR="009F491B">
        <w:rPr>
          <w:b/>
          <w:bCs/>
        </w:rPr>
        <w:t xml:space="preserve"> and Scope of Authorities</w:t>
      </w:r>
    </w:p>
    <w:p w14:paraId="04F06B2C" w14:textId="77777777" w:rsidR="006732B5" w:rsidRDefault="00311F86" w:rsidP="00311F86">
      <w:pPr>
        <w:spacing w:line="360" w:lineRule="auto"/>
      </w:pPr>
      <w:r w:rsidRPr="00311F86">
        <w:t>Depending on the state or locality, several agencies—health, education, and emergency management—can have exclusive or shared authority to institute varying public health measures in schools. The agency authorized to act can change depending on whether an emergency has been declared. State or local public health agencies are generally vested with broad authority to protect the public’s health and to control communicable disease; this authority could be used as the basis to institute public health measures in a school absent a public health emergency. During emergencies, public health officials typically gain additional authorities, including potentially the ability to close schools and enforce other social distancing measures.</w:t>
      </w:r>
    </w:p>
    <w:p w14:paraId="00EF1A99" w14:textId="77777777" w:rsidR="006732B5" w:rsidRDefault="006732B5" w:rsidP="00311F86">
      <w:pPr>
        <w:spacing w:line="360" w:lineRule="auto"/>
      </w:pPr>
    </w:p>
    <w:p w14:paraId="4AA33483" w14:textId="77777777" w:rsidR="009F491B" w:rsidRDefault="00311F86" w:rsidP="00311F86">
      <w:pPr>
        <w:spacing w:line="360" w:lineRule="auto"/>
      </w:pPr>
      <w:r w:rsidRPr="00311F86">
        <w:t>Legal authorities that support public health measures in schools include but are not limited to: (1) protecting public health and safety; (2) controlling and preventing the spread of communicable diseases; (3) instituting quarantine and isolation measures; (4) canceling school and other community activities; (5) closing schools and other public facilities; and (6) using additional powers activated by an emergency declaration.</w:t>
      </w:r>
    </w:p>
    <w:p w14:paraId="0922BE64" w14:textId="77777777" w:rsidR="009F491B" w:rsidRDefault="009F491B" w:rsidP="00311F86">
      <w:pPr>
        <w:spacing w:line="360" w:lineRule="auto"/>
        <w:rPr>
          <w:b/>
          <w:bCs/>
        </w:rPr>
      </w:pPr>
    </w:p>
    <w:p w14:paraId="23AA9E0E" w14:textId="77777777" w:rsidR="009F491B" w:rsidRDefault="00311F86" w:rsidP="00311F86">
      <w:pPr>
        <w:spacing w:line="360" w:lineRule="auto"/>
        <w:rPr>
          <w:b/>
          <w:bCs/>
        </w:rPr>
      </w:pPr>
      <w:r w:rsidRPr="00311F86">
        <w:rPr>
          <w:b/>
          <w:bCs/>
        </w:rPr>
        <w:t>Implications of School Closures</w:t>
      </w:r>
    </w:p>
    <w:p w14:paraId="5256BEE2" w14:textId="283026A3" w:rsidR="00311F86" w:rsidRPr="00311F86" w:rsidRDefault="00311F86" w:rsidP="00311F86">
      <w:pPr>
        <w:spacing w:line="360" w:lineRule="auto"/>
        <w:rPr>
          <w:b/>
          <w:bCs/>
        </w:rPr>
      </w:pPr>
      <w:r w:rsidRPr="00311F86">
        <w:t xml:space="preserve">Implications of closures, including social and economic factors, must be considered because they determine the effectiveness of the intervention. It is important to understand whether using the legal authority contemplated will have the intended impact or will have undesirable secondary impacts. Schools’ role in providing school breakfast, lunch, and snack programs and after-school childcare programs must be evaluated as part of the closure decision. School budgets based on attendance and federal reimbursements can suffer with prolonged closures. Working parents may be unable to find childcare alternatives if schools are closed for long periods. Out-of-school students may gather at public places like malls or families may take vacations to other places, thereby potentially spreading the </w:t>
      </w:r>
      <w:r w:rsidRPr="00311F86">
        <w:lastRenderedPageBreak/>
        <w:t>infection more widely.</w:t>
      </w:r>
      <w:r w:rsidR="00CF2379">
        <w:t xml:space="preserve"> </w:t>
      </w:r>
      <w:r w:rsidRPr="00311F86">
        <w:t>While state and local health officials may have the exclusive (or shared) legal authority to close schools or otherwise enforce public health laws in the school setting, in practice the use of these authorities has to be exercised and implemented in cooperation with school personnel and state or local education officials</w:t>
      </w:r>
      <w:r w:rsidR="00636E38">
        <w:t>, and in concert with other public health measures (e.g., limiting the size of gatherings</w:t>
      </w:r>
      <w:r w:rsidR="009D7291">
        <w:t>, etc.)</w:t>
      </w:r>
      <w:r w:rsidRPr="00311F86">
        <w:t>.</w:t>
      </w:r>
    </w:p>
    <w:p w14:paraId="64E5D53E" w14:textId="77777777" w:rsidR="00311F86" w:rsidRPr="00311F86" w:rsidRDefault="00311F86" w:rsidP="00311F86">
      <w:pPr>
        <w:spacing w:line="360" w:lineRule="auto"/>
      </w:pPr>
    </w:p>
    <w:p w14:paraId="3D67A047" w14:textId="77777777" w:rsidR="00BE127C" w:rsidRPr="00BE127C" w:rsidRDefault="00BE127C" w:rsidP="00BE127C">
      <w:pPr>
        <w:spacing w:line="360" w:lineRule="auto"/>
        <w:rPr>
          <w:b/>
          <w:bCs/>
          <w:sz w:val="24"/>
          <w:szCs w:val="24"/>
        </w:rPr>
      </w:pPr>
      <w:r w:rsidRPr="00BE127C">
        <w:rPr>
          <w:b/>
          <w:bCs/>
          <w:sz w:val="24"/>
          <w:szCs w:val="24"/>
        </w:rPr>
        <w:t>Using Schools as Sites for Emergency Points of Dispensing and Vaccination</w:t>
      </w:r>
    </w:p>
    <w:p w14:paraId="24A6B8C8" w14:textId="76E5251B" w:rsidR="007F1D49" w:rsidRPr="007F1D49" w:rsidRDefault="00937572" w:rsidP="007F1D49">
      <w:pPr>
        <w:spacing w:line="360" w:lineRule="auto"/>
        <w:rPr>
          <w:color w:val="000000" w:themeColor="text1"/>
        </w:rPr>
      </w:pPr>
      <w:r>
        <w:rPr>
          <w:color w:val="000000" w:themeColor="text1"/>
        </w:rPr>
        <w:t>S</w:t>
      </w:r>
      <w:r w:rsidR="007F1D49" w:rsidRPr="007F1D49">
        <w:rPr>
          <w:color w:val="000000" w:themeColor="text1"/>
        </w:rPr>
        <w:t>chool facilities are frequently identified as potential locations for emergency points of dispensing (PODs) for medical countermeasures and vaccination during or in the aftermath of an emergency events. School facilities are the largest gathering space in some communities and therefore frequently used for vaccination clinics and other emergency response activities.</w:t>
      </w:r>
      <w:r w:rsidR="007F1D49" w:rsidRPr="007F1D49">
        <w:rPr>
          <w:color w:val="000000" w:themeColor="text1"/>
          <w:vertAlign w:val="superscript"/>
        </w:rPr>
        <w:footnoteReference w:id="14"/>
      </w:r>
      <w:r w:rsidR="007F1D49" w:rsidRPr="007F1D49">
        <w:rPr>
          <w:color w:val="000000" w:themeColor="text1"/>
        </w:rPr>
        <w:t xml:space="preserve"> The shared goal of public health and education authorities is to protect children and their communities from health threats. Yet, because of the unique nature of each state’s and locality’s laws governing health and education authorities, the legal requirements governing the issues discussed here will be different in each jurisdiction. Many, if not all, of these issues have been addressed in state and local emergency response or pandemic response plans and subsequent amendments. </w:t>
      </w:r>
    </w:p>
    <w:p w14:paraId="40546CC3" w14:textId="57AA44E6" w:rsidR="00311F86" w:rsidRDefault="00311F86" w:rsidP="00395BA9">
      <w:pPr>
        <w:spacing w:line="360" w:lineRule="auto"/>
      </w:pPr>
    </w:p>
    <w:p w14:paraId="79E7B4E5" w14:textId="1DB2B930" w:rsidR="00CC421C" w:rsidRDefault="00DE73DF" w:rsidP="00395BA9">
      <w:pPr>
        <w:spacing w:line="360" w:lineRule="auto"/>
        <w:rPr>
          <w:rFonts w:ascii="Calibri" w:eastAsia="Times New Roman" w:hAnsi="Calibri" w:cs="Calibri"/>
          <w:color w:val="000000" w:themeColor="text1"/>
          <w:szCs w:val="20"/>
        </w:rPr>
      </w:pPr>
      <w:r w:rsidRPr="00D9120E">
        <w:rPr>
          <w:rFonts w:ascii="Calibri" w:eastAsia="Times New Roman" w:hAnsi="Calibri" w:cs="Calibri"/>
          <w:b/>
          <w:bCs/>
          <w:color w:val="000000" w:themeColor="text1"/>
          <w:szCs w:val="20"/>
          <w:bdr w:val="none" w:sz="0" w:space="0" w:color="auto" w:frame="1"/>
        </w:rPr>
        <w:t>Using a School Site</w:t>
      </w:r>
    </w:p>
    <w:p w14:paraId="443618C3" w14:textId="229F7361" w:rsidR="00466164" w:rsidRDefault="00DE73DF" w:rsidP="00395BA9">
      <w:pPr>
        <w:spacing w:line="360" w:lineRule="auto"/>
        <w:rPr>
          <w:rFonts w:ascii="Calibri" w:eastAsia="Times New Roman" w:hAnsi="Calibri" w:cs="Calibri"/>
          <w:color w:val="000000" w:themeColor="text1"/>
          <w:szCs w:val="20"/>
        </w:rPr>
      </w:pPr>
      <w:r w:rsidRPr="00D9120E">
        <w:rPr>
          <w:rFonts w:ascii="Calibri" w:eastAsia="Times New Roman" w:hAnsi="Calibri" w:cs="Calibri"/>
          <w:color w:val="000000" w:themeColor="text1"/>
          <w:szCs w:val="20"/>
        </w:rPr>
        <w:t xml:space="preserve">The decision to use a school as a site for a </w:t>
      </w:r>
      <w:r w:rsidR="006D2746">
        <w:rPr>
          <w:rFonts w:ascii="Calibri" w:eastAsia="Times New Roman" w:hAnsi="Calibri" w:cs="Calibri"/>
          <w:color w:val="000000" w:themeColor="text1"/>
          <w:szCs w:val="20"/>
        </w:rPr>
        <w:t xml:space="preserve">POD or emergency </w:t>
      </w:r>
      <w:r w:rsidRPr="00D9120E">
        <w:rPr>
          <w:rFonts w:ascii="Calibri" w:eastAsia="Times New Roman" w:hAnsi="Calibri" w:cs="Calibri"/>
          <w:color w:val="000000" w:themeColor="text1"/>
          <w:szCs w:val="20"/>
        </w:rPr>
        <w:t xml:space="preserve">vaccination clinic involves </w:t>
      </w:r>
      <w:r w:rsidR="00526B81">
        <w:rPr>
          <w:rFonts w:ascii="Calibri" w:eastAsia="Times New Roman" w:hAnsi="Calibri" w:cs="Calibri"/>
          <w:color w:val="000000" w:themeColor="text1"/>
          <w:szCs w:val="20"/>
        </w:rPr>
        <w:t>several</w:t>
      </w:r>
      <w:r w:rsidRPr="00D9120E">
        <w:rPr>
          <w:rFonts w:ascii="Calibri" w:eastAsia="Times New Roman" w:hAnsi="Calibri" w:cs="Calibri"/>
          <w:color w:val="000000" w:themeColor="text1"/>
          <w:szCs w:val="20"/>
        </w:rPr>
        <w:t xml:space="preserve"> considerations, including the legal authority and permissions required to use the site, staffing availability and possible collective bargaining requirements, and liability and immunity concerns. Logistical considerations such as the suitability of the site to host the intended event are also important planning factors. Ultimately, the planning decision to conduct </w:t>
      </w:r>
      <w:r w:rsidR="00B9126F">
        <w:rPr>
          <w:rFonts w:ascii="Calibri" w:eastAsia="Times New Roman" w:hAnsi="Calibri" w:cs="Calibri"/>
          <w:color w:val="000000" w:themeColor="text1"/>
          <w:szCs w:val="20"/>
        </w:rPr>
        <w:t>these</w:t>
      </w:r>
      <w:r w:rsidRPr="00D9120E">
        <w:rPr>
          <w:rFonts w:ascii="Calibri" w:eastAsia="Times New Roman" w:hAnsi="Calibri" w:cs="Calibri"/>
          <w:color w:val="000000" w:themeColor="text1"/>
          <w:szCs w:val="20"/>
        </w:rPr>
        <w:t xml:space="preserve"> activities at a school is generally a joint one between school and health officials. A state or local declaration of emergency can also affect the legal authorities related to siting (and other aspects) of </w:t>
      </w:r>
      <w:r w:rsidR="00DC49A4">
        <w:rPr>
          <w:rFonts w:ascii="Calibri" w:eastAsia="Times New Roman" w:hAnsi="Calibri" w:cs="Calibri"/>
          <w:color w:val="000000" w:themeColor="text1"/>
          <w:szCs w:val="20"/>
        </w:rPr>
        <w:t>using a school</w:t>
      </w:r>
      <w:r w:rsidRPr="00D9120E">
        <w:rPr>
          <w:rFonts w:ascii="Calibri" w:eastAsia="Times New Roman" w:hAnsi="Calibri" w:cs="Calibri"/>
          <w:color w:val="000000" w:themeColor="text1"/>
          <w:szCs w:val="20"/>
        </w:rPr>
        <w:t>.</w:t>
      </w:r>
    </w:p>
    <w:p w14:paraId="1C46DE2A" w14:textId="6C2ABC80" w:rsidR="00466164" w:rsidRDefault="00466164" w:rsidP="00395BA9">
      <w:pPr>
        <w:spacing w:line="360" w:lineRule="auto"/>
        <w:rPr>
          <w:rFonts w:ascii="Calibri" w:eastAsia="Times New Roman" w:hAnsi="Calibri" w:cs="Calibri"/>
          <w:color w:val="000000" w:themeColor="text1"/>
          <w:szCs w:val="20"/>
        </w:rPr>
      </w:pPr>
    </w:p>
    <w:p w14:paraId="56EB1656" w14:textId="77777777" w:rsidR="00AB25AF" w:rsidRDefault="00DE73DF" w:rsidP="00395BA9">
      <w:pPr>
        <w:spacing w:line="360" w:lineRule="auto"/>
        <w:rPr>
          <w:rFonts w:ascii="Calibri" w:eastAsia="Times New Roman" w:hAnsi="Calibri" w:cs="Calibri"/>
          <w:b/>
          <w:bCs/>
          <w:color w:val="000000" w:themeColor="text1"/>
          <w:szCs w:val="20"/>
          <w:bdr w:val="none" w:sz="0" w:space="0" w:color="auto" w:frame="1"/>
        </w:rPr>
      </w:pPr>
      <w:r w:rsidRPr="00D9120E">
        <w:rPr>
          <w:rFonts w:ascii="Calibri" w:eastAsia="Times New Roman" w:hAnsi="Calibri" w:cs="Calibri"/>
          <w:b/>
          <w:bCs/>
          <w:color w:val="000000" w:themeColor="text1"/>
          <w:szCs w:val="20"/>
          <w:bdr w:val="none" w:sz="0" w:space="0" w:color="auto" w:frame="1"/>
        </w:rPr>
        <w:t>Staffing the Site</w:t>
      </w:r>
    </w:p>
    <w:p w14:paraId="4BA90B55" w14:textId="77777777" w:rsidR="002D5FB6" w:rsidRDefault="00DE73DF" w:rsidP="00395BA9">
      <w:pPr>
        <w:spacing w:line="360" w:lineRule="auto"/>
        <w:rPr>
          <w:rFonts w:ascii="Calibri" w:eastAsia="Times New Roman" w:hAnsi="Calibri" w:cs="Calibri"/>
          <w:color w:val="000000" w:themeColor="text1"/>
          <w:szCs w:val="20"/>
        </w:rPr>
      </w:pPr>
      <w:r w:rsidRPr="00D9120E">
        <w:rPr>
          <w:rFonts w:ascii="Calibri" w:eastAsia="Times New Roman" w:hAnsi="Calibri" w:cs="Calibri"/>
          <w:color w:val="000000" w:themeColor="text1"/>
          <w:szCs w:val="20"/>
        </w:rPr>
        <w:t xml:space="preserve">Staffing will likely involve a mix of medical and non-medical personnel from the individual school, school district, and public health agencies, as well as contractors and volunteers. Persons staffing </w:t>
      </w:r>
      <w:r w:rsidR="00C279B5">
        <w:rPr>
          <w:rFonts w:ascii="Calibri" w:eastAsia="Times New Roman" w:hAnsi="Calibri" w:cs="Calibri"/>
          <w:color w:val="000000" w:themeColor="text1"/>
          <w:szCs w:val="20"/>
        </w:rPr>
        <w:t xml:space="preserve">the </w:t>
      </w:r>
      <w:r w:rsidR="00C279B5">
        <w:rPr>
          <w:rFonts w:ascii="Calibri" w:eastAsia="Times New Roman" w:hAnsi="Calibri" w:cs="Calibri"/>
          <w:color w:val="000000" w:themeColor="text1"/>
          <w:szCs w:val="20"/>
        </w:rPr>
        <w:lastRenderedPageBreak/>
        <w:t>POD/</w:t>
      </w:r>
      <w:r w:rsidRPr="00D9120E">
        <w:rPr>
          <w:rFonts w:ascii="Calibri" w:eastAsia="Times New Roman" w:hAnsi="Calibri" w:cs="Calibri"/>
          <w:color w:val="000000" w:themeColor="text1"/>
          <w:szCs w:val="20"/>
        </w:rPr>
        <w:t xml:space="preserve">vaccination clinics or otherwise involved in emergency response activities frequently voice concerns about potential liabilities including malpractice, negligence, premise liability, and other forms of tort liability. However, many liability concerns have been addressed in a range of state and federal laws passed over the </w:t>
      </w:r>
      <w:r w:rsidR="00B803B0">
        <w:rPr>
          <w:rFonts w:ascii="Calibri" w:eastAsia="Times New Roman" w:hAnsi="Calibri" w:cs="Calibri"/>
          <w:color w:val="000000" w:themeColor="text1"/>
          <w:szCs w:val="20"/>
        </w:rPr>
        <w:t>twenty years</w:t>
      </w:r>
      <w:r w:rsidRPr="00D9120E">
        <w:rPr>
          <w:rFonts w:ascii="Calibri" w:eastAsia="Times New Roman" w:hAnsi="Calibri" w:cs="Calibri"/>
          <w:color w:val="000000" w:themeColor="text1"/>
          <w:szCs w:val="20"/>
        </w:rPr>
        <w:t>. An emergency declaration by a governor may activate additional legal protections for persons involved in responding to an emergency event.</w:t>
      </w:r>
      <w:r w:rsidR="00AB61F2">
        <w:rPr>
          <w:rFonts w:ascii="Calibri" w:eastAsia="Times New Roman" w:hAnsi="Calibri" w:cs="Calibri"/>
          <w:color w:val="000000" w:themeColor="text1"/>
          <w:szCs w:val="20"/>
        </w:rPr>
        <w:t xml:space="preserve"> </w:t>
      </w:r>
    </w:p>
    <w:p w14:paraId="27C49A36" w14:textId="77777777" w:rsidR="002D5FB6" w:rsidRDefault="002D5FB6" w:rsidP="00395BA9">
      <w:pPr>
        <w:spacing w:line="360" w:lineRule="auto"/>
        <w:rPr>
          <w:rFonts w:ascii="Calibri" w:eastAsia="Times New Roman" w:hAnsi="Calibri" w:cs="Calibri"/>
          <w:color w:val="000000" w:themeColor="text1"/>
          <w:szCs w:val="20"/>
        </w:rPr>
      </w:pPr>
    </w:p>
    <w:p w14:paraId="0A096385" w14:textId="0F16ABA8" w:rsidR="00B803B0" w:rsidRDefault="00AB61F2" w:rsidP="00395BA9">
      <w:pPr>
        <w:spacing w:line="360" w:lineRule="auto"/>
        <w:rPr>
          <w:rFonts w:ascii="Calibri" w:eastAsia="Times New Roman" w:hAnsi="Calibri" w:cs="Calibri"/>
          <w:color w:val="000000" w:themeColor="text1"/>
          <w:szCs w:val="20"/>
        </w:rPr>
      </w:pPr>
      <w:r w:rsidRPr="00782E45">
        <w:rPr>
          <w:color w:val="000000" w:themeColor="text1"/>
        </w:rPr>
        <w:t xml:space="preserve">Those staffing the </w:t>
      </w:r>
      <w:r>
        <w:rPr>
          <w:color w:val="000000" w:themeColor="text1"/>
        </w:rPr>
        <w:t>site</w:t>
      </w:r>
      <w:r w:rsidRPr="00782E45">
        <w:rPr>
          <w:color w:val="000000" w:themeColor="text1"/>
        </w:rPr>
        <w:t xml:space="preserve"> who are licensed healthcare professionals are subject to scope of practice requirements that govern the types of tasks they are permitted to perform.</w:t>
      </w:r>
      <w:r w:rsidR="002D5FB6">
        <w:rPr>
          <w:color w:val="000000" w:themeColor="text1"/>
        </w:rPr>
        <w:t xml:space="preserve"> </w:t>
      </w:r>
      <w:r w:rsidR="002D5FB6" w:rsidRPr="00782E45">
        <w:rPr>
          <w:color w:val="000000" w:themeColor="text1"/>
        </w:rPr>
        <w:t xml:space="preserve">If healthcare personnel engage in activities beyond those permitted to their profession (e.g., EMT, nurse, etc.), then they expose themselves to possible malpractice claims. Scope of practice issues are especially of concern during public health and other emergency events when the numbers of skilled health personnel may be in short supply relative to the demands of the event. Many states and localities have expanded the scope of practice during emergencies for some licensed health professions </w:t>
      </w:r>
      <w:r w:rsidR="00922C49">
        <w:rPr>
          <w:color w:val="000000" w:themeColor="text1"/>
        </w:rPr>
        <w:t xml:space="preserve">and participate in </w:t>
      </w:r>
      <w:r w:rsidR="00AA1EFC">
        <w:rPr>
          <w:color w:val="000000" w:themeColor="text1"/>
        </w:rPr>
        <w:t xml:space="preserve">mutual aid agreements </w:t>
      </w:r>
      <w:r w:rsidR="002D5FB6" w:rsidRPr="00782E45">
        <w:rPr>
          <w:color w:val="000000" w:themeColor="text1"/>
        </w:rPr>
        <w:t>to bolster the number of health personnel available to respond</w:t>
      </w:r>
      <w:r w:rsidR="00AA1EFC">
        <w:rPr>
          <w:color w:val="000000" w:themeColor="text1"/>
        </w:rPr>
        <w:t>.</w:t>
      </w:r>
    </w:p>
    <w:p w14:paraId="5B25F131" w14:textId="59A2CE39" w:rsidR="00103449" w:rsidRDefault="00103449" w:rsidP="00395BA9">
      <w:pPr>
        <w:spacing w:line="360" w:lineRule="auto"/>
        <w:rPr>
          <w:rFonts w:ascii="Calibri" w:eastAsia="Times New Roman" w:hAnsi="Calibri" w:cs="Calibri"/>
          <w:color w:val="000000" w:themeColor="text1"/>
          <w:szCs w:val="20"/>
        </w:rPr>
      </w:pPr>
      <w:bookmarkStart w:id="1" w:name="_GoBack"/>
      <w:bookmarkEnd w:id="1"/>
    </w:p>
    <w:sectPr w:rsidR="0010344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07C8F" w14:textId="77777777" w:rsidR="001810D7" w:rsidRDefault="001810D7" w:rsidP="001810D7">
      <w:r>
        <w:separator/>
      </w:r>
    </w:p>
  </w:endnote>
  <w:endnote w:type="continuationSeparator" w:id="0">
    <w:p w14:paraId="7C494111" w14:textId="77777777" w:rsidR="001810D7" w:rsidRDefault="001810D7" w:rsidP="0018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56651"/>
      <w:docPartObj>
        <w:docPartGallery w:val="Page Numbers (Bottom of Page)"/>
        <w:docPartUnique/>
      </w:docPartObj>
    </w:sdtPr>
    <w:sdtEndPr>
      <w:rPr>
        <w:noProof/>
      </w:rPr>
    </w:sdtEndPr>
    <w:sdtContent>
      <w:p w14:paraId="5B7CB74A" w14:textId="011FA6CE" w:rsidR="0022190F" w:rsidRDefault="0022190F" w:rsidP="002219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7AC14" w14:textId="77777777" w:rsidR="001810D7" w:rsidRDefault="001810D7" w:rsidP="001810D7">
      <w:r>
        <w:separator/>
      </w:r>
    </w:p>
  </w:footnote>
  <w:footnote w:type="continuationSeparator" w:id="0">
    <w:p w14:paraId="067F9958" w14:textId="77777777" w:rsidR="001810D7" w:rsidRDefault="001810D7" w:rsidP="001810D7">
      <w:r>
        <w:continuationSeparator/>
      </w:r>
    </w:p>
  </w:footnote>
  <w:footnote w:id="1">
    <w:p w14:paraId="67C2634B" w14:textId="77777777" w:rsidR="001810D7" w:rsidRDefault="001810D7" w:rsidP="001810D7">
      <w:pPr>
        <w:pStyle w:val="FootnoteText"/>
      </w:pPr>
      <w:r>
        <w:rPr>
          <w:rStyle w:val="FootnoteReference"/>
        </w:rPr>
        <w:footnoteRef/>
      </w:r>
      <w:r>
        <w:t xml:space="preserve"> </w:t>
      </w:r>
      <w:r w:rsidRPr="00D25819">
        <w:t xml:space="preserve">Association of State and Territorial Health Officials. Accessing School Health Information for Public Health Purposes Position Statement. 2006. </w:t>
      </w:r>
      <w:r>
        <w:t xml:space="preserve">Retrieved from </w:t>
      </w:r>
      <w:hyperlink r:id="rId1" w:history="1">
        <w:r>
          <w:rPr>
            <w:rStyle w:val="Hyperlink"/>
          </w:rPr>
          <w:t>http://www.efrconline.org/admin/files/Accessing%20School%20Health%20Info%20031706.pdf</w:t>
        </w:r>
      </w:hyperlink>
      <w:r>
        <w:t>.</w:t>
      </w:r>
    </w:p>
  </w:footnote>
  <w:footnote w:id="2">
    <w:p w14:paraId="7174A9A1" w14:textId="77777777" w:rsidR="00111E47" w:rsidRDefault="00111E47" w:rsidP="00111E47">
      <w:pPr>
        <w:pStyle w:val="FootnoteText"/>
      </w:pPr>
      <w:r>
        <w:rPr>
          <w:rStyle w:val="FootnoteReference"/>
        </w:rPr>
        <w:footnoteRef/>
      </w:r>
      <w:r>
        <w:t xml:space="preserve"> </w:t>
      </w:r>
      <w:r w:rsidRPr="005A2E81">
        <w:t>Family Educational Rights and Privacy Act (FERPA) codified at 20 U.S.C. §1232g.</w:t>
      </w:r>
    </w:p>
  </w:footnote>
  <w:footnote w:id="3">
    <w:p w14:paraId="239C8372" w14:textId="77777777" w:rsidR="00111E47" w:rsidRDefault="00111E47" w:rsidP="00111E47">
      <w:pPr>
        <w:pStyle w:val="FootnoteText"/>
      </w:pPr>
      <w:r>
        <w:rPr>
          <w:rStyle w:val="FootnoteReference"/>
        </w:rPr>
        <w:footnoteRef/>
      </w:r>
      <w:r>
        <w:t xml:space="preserve"> </w:t>
      </w:r>
      <w:r w:rsidRPr="00F23BDC">
        <w:rPr>
          <w:rFonts w:eastAsia="Times New Roman" w:cstheme="minorHAnsi"/>
          <w:color w:val="000000" w:themeColor="text1"/>
        </w:rPr>
        <w:t>Health Insurance Portability and Accountability Act (HIPAA)</w:t>
      </w:r>
      <w:r>
        <w:rPr>
          <w:rFonts w:eastAsia="Times New Roman" w:cstheme="minorHAnsi"/>
          <w:color w:val="000000" w:themeColor="text1"/>
        </w:rPr>
        <w:t xml:space="preserve">. </w:t>
      </w:r>
      <w:r w:rsidRPr="00420FB6">
        <w:t>Pub. L. 104-191, 42 U.S.C. § 300gg et seq.</w:t>
      </w:r>
    </w:p>
  </w:footnote>
  <w:footnote w:id="4">
    <w:p w14:paraId="466B6CED" w14:textId="77777777" w:rsidR="00111E47" w:rsidRDefault="00111E47" w:rsidP="00111E47">
      <w:pPr>
        <w:pStyle w:val="FootnoteText"/>
      </w:pPr>
      <w:r>
        <w:rPr>
          <w:rStyle w:val="FootnoteReference"/>
        </w:rPr>
        <w:footnoteRef/>
      </w:r>
      <w:r>
        <w:t xml:space="preserve"> HIPAA Privacy Rule. </w:t>
      </w:r>
      <w:r w:rsidRPr="00420FB6">
        <w:t>45 C.F.R. Parts 160 and 164.</w:t>
      </w:r>
    </w:p>
  </w:footnote>
  <w:footnote w:id="5">
    <w:p w14:paraId="690DF179" w14:textId="77777777" w:rsidR="000A783C" w:rsidRDefault="000A783C" w:rsidP="000A783C">
      <w:pPr>
        <w:pStyle w:val="FootnoteText"/>
      </w:pPr>
      <w:r>
        <w:rPr>
          <w:rStyle w:val="FootnoteReference"/>
        </w:rPr>
        <w:footnoteRef/>
      </w:r>
      <w:r>
        <w:t xml:space="preserve"> </w:t>
      </w:r>
      <w:r w:rsidRPr="005A2E81">
        <w:t>Family Educational Rights and Privacy Act (FERPA) codified at 20 U.S.C. §1232g.</w:t>
      </w:r>
    </w:p>
  </w:footnote>
  <w:footnote w:id="6">
    <w:p w14:paraId="56F5953C" w14:textId="77777777" w:rsidR="000A783C" w:rsidRDefault="000A783C" w:rsidP="000A783C">
      <w:pPr>
        <w:pStyle w:val="FootnoteText"/>
      </w:pPr>
      <w:r>
        <w:rPr>
          <w:rStyle w:val="FootnoteReference"/>
        </w:rPr>
        <w:footnoteRef/>
      </w:r>
      <w:r>
        <w:t xml:space="preserve"> </w:t>
      </w:r>
      <w:bookmarkStart w:id="0" w:name="_Hlk35245598"/>
      <w:r w:rsidRPr="00EE70A1">
        <w:t xml:space="preserve">U.S. Dept. of Education. Family Educational Rights and Privacy Act (FERPA) and H1N1. October 2009. </w:t>
      </w:r>
      <w:r>
        <w:t xml:space="preserve">Retrieved from </w:t>
      </w:r>
      <w:hyperlink r:id="rId2" w:history="1">
        <w:r w:rsidRPr="009B7EF8">
          <w:rPr>
            <w:rStyle w:val="Hyperlink"/>
          </w:rPr>
          <w:t>http://www2.ed.gov/policy/gen/guid/fpco/pdf/ferpa-h1n1.pdf</w:t>
        </w:r>
      </w:hyperlink>
      <w:r w:rsidRPr="00EE70A1">
        <w:t>.</w:t>
      </w:r>
      <w:r>
        <w:t xml:space="preserve"> </w:t>
      </w:r>
      <w:bookmarkEnd w:id="0"/>
    </w:p>
  </w:footnote>
  <w:footnote w:id="7">
    <w:p w14:paraId="2117AB6F" w14:textId="77777777" w:rsidR="00EA6223" w:rsidRDefault="00EA6223" w:rsidP="00EA6223">
      <w:pPr>
        <w:pStyle w:val="FootnoteText"/>
      </w:pPr>
      <w:r>
        <w:rPr>
          <w:rStyle w:val="FootnoteReference"/>
        </w:rPr>
        <w:footnoteRef/>
      </w:r>
      <w:r>
        <w:t xml:space="preserve"> </w:t>
      </w:r>
      <w:r w:rsidRPr="000301F6">
        <w:t>34 CFR Part 99.</w:t>
      </w:r>
    </w:p>
  </w:footnote>
  <w:footnote w:id="8">
    <w:p w14:paraId="24189240" w14:textId="77777777" w:rsidR="00EA6223" w:rsidRDefault="00EA6223" w:rsidP="00EA6223">
      <w:pPr>
        <w:pStyle w:val="FootnoteText"/>
      </w:pPr>
      <w:r>
        <w:rPr>
          <w:rStyle w:val="FootnoteReference"/>
        </w:rPr>
        <w:footnoteRef/>
      </w:r>
      <w:r>
        <w:t xml:space="preserve"> </w:t>
      </w:r>
      <w:r w:rsidRPr="007D524A">
        <w:t>U.S. Dept. of Education. Family Educational Rights and Privacy Act (FERPA)</w:t>
      </w:r>
      <w:r>
        <w:t>. W</w:t>
      </w:r>
      <w:r w:rsidRPr="007D524A">
        <w:t>eb</w:t>
      </w:r>
      <w:r>
        <w:t>page last reviewed March 1, 2018. Retrieved from</w:t>
      </w:r>
      <w:r w:rsidRPr="007D524A">
        <w:t xml:space="preserve"> </w:t>
      </w:r>
      <w:hyperlink r:id="rId3" w:history="1">
        <w:r w:rsidRPr="009B7EF8">
          <w:rPr>
            <w:rStyle w:val="Hyperlink"/>
          </w:rPr>
          <w:t>http://www2.ed.gov/policy/gen/guid/fpco/ferpa/index.html</w:t>
        </w:r>
      </w:hyperlink>
      <w:r>
        <w:t xml:space="preserve">. </w:t>
      </w:r>
      <w:r w:rsidRPr="002C6B73">
        <w:rPr>
          <w:i/>
          <w:iCs/>
        </w:rPr>
        <w:t>See also</w:t>
      </w:r>
      <w:r>
        <w:t xml:space="preserve"> </w:t>
      </w:r>
      <w:r w:rsidRPr="00F23BDC">
        <w:rPr>
          <w:rFonts w:eastAsia="Times New Roman" w:cstheme="minorHAnsi"/>
          <w:color w:val="000000" w:themeColor="text1"/>
        </w:rPr>
        <w:t>U.S. Dept. of Education. Final Rulemaking. Family Educational Rights and Privacy. 76 F.R. 75604 (December 2, 2011).</w:t>
      </w:r>
    </w:p>
  </w:footnote>
  <w:footnote w:id="9">
    <w:p w14:paraId="0F36CBA9" w14:textId="77777777" w:rsidR="00E91856" w:rsidRDefault="00E91856" w:rsidP="00E91856">
      <w:pPr>
        <w:pStyle w:val="FootnoteText"/>
      </w:pPr>
      <w:r>
        <w:rPr>
          <w:rStyle w:val="FootnoteReference"/>
        </w:rPr>
        <w:footnoteRef/>
      </w:r>
      <w:r>
        <w:t xml:space="preserve"> </w:t>
      </w:r>
      <w:r w:rsidRPr="008E2645">
        <w:t>34 CFR Part 99.</w:t>
      </w:r>
    </w:p>
  </w:footnote>
  <w:footnote w:id="10">
    <w:p w14:paraId="442FCC3D" w14:textId="77777777" w:rsidR="00E91856" w:rsidRDefault="00E91856" w:rsidP="00E91856">
      <w:pPr>
        <w:pStyle w:val="FootnoteText"/>
      </w:pPr>
      <w:r>
        <w:rPr>
          <w:rStyle w:val="FootnoteReference"/>
        </w:rPr>
        <w:footnoteRef/>
      </w:r>
      <w:r>
        <w:t xml:space="preserve"> </w:t>
      </w:r>
      <w:r w:rsidRPr="008E2645">
        <w:t>34 CFR Part 99.</w:t>
      </w:r>
      <w:r>
        <w:t xml:space="preserve"> </w:t>
      </w:r>
      <w:r w:rsidRPr="008E2645">
        <w:rPr>
          <w:i/>
          <w:iCs/>
        </w:rPr>
        <w:t>See also</w:t>
      </w:r>
      <w:r>
        <w:t xml:space="preserve"> </w:t>
      </w:r>
      <w:r w:rsidRPr="007D524A">
        <w:t>U.S. Dept. of Education. Family Educational Rights and Privacy Act (FERPA)</w:t>
      </w:r>
      <w:r>
        <w:t>. W</w:t>
      </w:r>
      <w:r w:rsidRPr="007D524A">
        <w:t>eb</w:t>
      </w:r>
      <w:r>
        <w:t>page last reviewed March 1, 2018. Retrieved from</w:t>
      </w:r>
      <w:r w:rsidRPr="007D524A">
        <w:t xml:space="preserve"> </w:t>
      </w:r>
      <w:hyperlink r:id="rId4" w:history="1">
        <w:r w:rsidRPr="009B7EF8">
          <w:rPr>
            <w:rStyle w:val="Hyperlink"/>
          </w:rPr>
          <w:t>http://www2.ed.gov/policy/gen/guid/fpco/ferpa/index.html</w:t>
        </w:r>
      </w:hyperlink>
      <w:r>
        <w:t xml:space="preserve">. </w:t>
      </w:r>
    </w:p>
  </w:footnote>
  <w:footnote w:id="11">
    <w:p w14:paraId="78BB22B0" w14:textId="77777777" w:rsidR="00E91856" w:rsidRDefault="00E91856" w:rsidP="00E91856">
      <w:pPr>
        <w:pStyle w:val="FootnoteText"/>
      </w:pPr>
      <w:r>
        <w:rPr>
          <w:rStyle w:val="FootnoteReference"/>
        </w:rPr>
        <w:footnoteRef/>
      </w:r>
      <w:r>
        <w:t xml:space="preserve"> </w:t>
      </w:r>
      <w:r w:rsidRPr="00CD716E">
        <w:t>34 C.F.R. § 99.31.</w:t>
      </w:r>
    </w:p>
  </w:footnote>
  <w:footnote w:id="12">
    <w:p w14:paraId="12BACCE4" w14:textId="3AF97053" w:rsidR="006607CE" w:rsidRDefault="006607CE">
      <w:pPr>
        <w:pStyle w:val="FootnoteText"/>
      </w:pPr>
      <w:r>
        <w:rPr>
          <w:rStyle w:val="FootnoteReference"/>
        </w:rPr>
        <w:footnoteRef/>
      </w:r>
      <w:r>
        <w:t xml:space="preserve"> </w:t>
      </w:r>
      <w:r w:rsidR="006A26F3">
        <w:t xml:space="preserve">HIPAA Privacy Rule. </w:t>
      </w:r>
      <w:r w:rsidR="006A26F3" w:rsidRPr="00420FB6">
        <w:t>45 C.F.R. Parts 160 and 164.</w:t>
      </w:r>
      <w:r w:rsidR="006A26F3">
        <w:t xml:space="preserve"> </w:t>
      </w:r>
      <w:r w:rsidR="006A26F3" w:rsidRPr="00F23BDC">
        <w:rPr>
          <w:rFonts w:eastAsia="Times New Roman" w:cstheme="minorHAnsi"/>
          <w:color w:val="000000" w:themeColor="text1"/>
        </w:rPr>
        <w:t>Health Insurance Portability and Accountability Act (HIPAA)</w:t>
      </w:r>
      <w:r w:rsidR="006A26F3">
        <w:rPr>
          <w:rFonts w:eastAsia="Times New Roman" w:cstheme="minorHAnsi"/>
          <w:color w:val="000000" w:themeColor="text1"/>
        </w:rPr>
        <w:t xml:space="preserve">. </w:t>
      </w:r>
      <w:r w:rsidR="006A26F3" w:rsidRPr="00420FB6">
        <w:t>Pub. L. 104-191, 42 U.S.C. § 300gg et seq.</w:t>
      </w:r>
    </w:p>
  </w:footnote>
  <w:footnote w:id="13">
    <w:p w14:paraId="68DE0D90" w14:textId="49A5832D" w:rsidR="001E7B0A" w:rsidRDefault="001E7B0A">
      <w:pPr>
        <w:pStyle w:val="FootnoteText"/>
      </w:pPr>
      <w:r>
        <w:rPr>
          <w:rStyle w:val="FootnoteReference"/>
        </w:rPr>
        <w:footnoteRef/>
      </w:r>
      <w:r>
        <w:t xml:space="preserve"> </w:t>
      </w:r>
      <w:r w:rsidRPr="001E7B0A">
        <w:t>A “hybrid entity” is a single legal entity that conducts both covered and noncovered activities under the Privacy Rule. State and local health departments, for instance, can be hybrid entities if they provide healthcare services to patients for which the agencies transmit health information electronically in addition to conducting their other public health functions. If a state or local health department does not perform these activities, then it would not be a covered entity under the HIPAA Privacy Rule.</w:t>
      </w:r>
    </w:p>
  </w:footnote>
  <w:footnote w:id="14">
    <w:p w14:paraId="2B0B9D89" w14:textId="77777777" w:rsidR="007F1D49" w:rsidRDefault="007F1D49" w:rsidP="007F1D49">
      <w:pPr>
        <w:pStyle w:val="FootnoteText"/>
      </w:pPr>
      <w:r>
        <w:rPr>
          <w:rStyle w:val="FootnoteReference"/>
        </w:rPr>
        <w:footnoteRef/>
      </w:r>
      <w:r>
        <w:t xml:space="preserve"> </w:t>
      </w:r>
      <w:r w:rsidRPr="00473FE0">
        <w:t xml:space="preserve">U.S. Centers for Disease Control and Prevention. 2009 H1N1 Influenza School-located Vaccination: Information for Planners. </w:t>
      </w:r>
      <w:r>
        <w:t>Webpage updated November 3, 2009</w:t>
      </w:r>
      <w:r w:rsidRPr="00473FE0">
        <w:t xml:space="preserve">. </w:t>
      </w:r>
      <w:r>
        <w:t xml:space="preserve">Retrieved from </w:t>
      </w:r>
      <w:hyperlink r:id="rId5" w:history="1">
        <w:r>
          <w:rPr>
            <w:rStyle w:val="Hyperlink"/>
          </w:rPr>
          <w:t>https://www.cdc.gov/h1n1flu/vaccination/slv/planners.htm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E8277" w14:textId="2B53D567" w:rsidR="0022190F" w:rsidRPr="0022190F" w:rsidRDefault="0022190F" w:rsidP="0022190F">
    <w:pPr>
      <w:pStyle w:val="Header"/>
      <w:jc w:val="center"/>
      <w:rPr>
        <w:b/>
        <w:bCs/>
      </w:rPr>
    </w:pPr>
    <w:r w:rsidRPr="0022190F">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06C41"/>
    <w:multiLevelType w:val="hybridMultilevel"/>
    <w:tmpl w:val="B62A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A4DD8"/>
    <w:multiLevelType w:val="hybridMultilevel"/>
    <w:tmpl w:val="51CEE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A65DCB"/>
    <w:multiLevelType w:val="hybridMultilevel"/>
    <w:tmpl w:val="044AD2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9241CD"/>
    <w:multiLevelType w:val="hybridMultilevel"/>
    <w:tmpl w:val="3F88CD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A9"/>
    <w:rsid w:val="000259E6"/>
    <w:rsid w:val="0003185F"/>
    <w:rsid w:val="000418C2"/>
    <w:rsid w:val="00054ED5"/>
    <w:rsid w:val="000A783C"/>
    <w:rsid w:val="000C680D"/>
    <w:rsid w:val="00100F29"/>
    <w:rsid w:val="00103449"/>
    <w:rsid w:val="00111E47"/>
    <w:rsid w:val="0012181E"/>
    <w:rsid w:val="00126042"/>
    <w:rsid w:val="00131E0F"/>
    <w:rsid w:val="00151278"/>
    <w:rsid w:val="001810D7"/>
    <w:rsid w:val="001A0219"/>
    <w:rsid w:val="001E7B0A"/>
    <w:rsid w:val="00207254"/>
    <w:rsid w:val="0022190F"/>
    <w:rsid w:val="002451BE"/>
    <w:rsid w:val="00266A7B"/>
    <w:rsid w:val="00282D04"/>
    <w:rsid w:val="00293E63"/>
    <w:rsid w:val="002A712F"/>
    <w:rsid w:val="002D5FB6"/>
    <w:rsid w:val="003013F5"/>
    <w:rsid w:val="00311F86"/>
    <w:rsid w:val="00327C16"/>
    <w:rsid w:val="00395BA9"/>
    <w:rsid w:val="003A4E5E"/>
    <w:rsid w:val="003A77A4"/>
    <w:rsid w:val="00405B02"/>
    <w:rsid w:val="004422F9"/>
    <w:rsid w:val="004474A8"/>
    <w:rsid w:val="00466164"/>
    <w:rsid w:val="00476446"/>
    <w:rsid w:val="00482098"/>
    <w:rsid w:val="00494B26"/>
    <w:rsid w:val="004A1AE0"/>
    <w:rsid w:val="004C2585"/>
    <w:rsid w:val="004E5397"/>
    <w:rsid w:val="005078D7"/>
    <w:rsid w:val="00515173"/>
    <w:rsid w:val="00526B81"/>
    <w:rsid w:val="005957FA"/>
    <w:rsid w:val="005E34A2"/>
    <w:rsid w:val="00610671"/>
    <w:rsid w:val="00610E61"/>
    <w:rsid w:val="00636E38"/>
    <w:rsid w:val="006607CE"/>
    <w:rsid w:val="006732B5"/>
    <w:rsid w:val="006A26F3"/>
    <w:rsid w:val="006D2746"/>
    <w:rsid w:val="00702A66"/>
    <w:rsid w:val="007113A0"/>
    <w:rsid w:val="007F1D49"/>
    <w:rsid w:val="0085578D"/>
    <w:rsid w:val="008D59EC"/>
    <w:rsid w:val="00922C49"/>
    <w:rsid w:val="00937572"/>
    <w:rsid w:val="009611F6"/>
    <w:rsid w:val="0099608A"/>
    <w:rsid w:val="009B5AC3"/>
    <w:rsid w:val="009D7291"/>
    <w:rsid w:val="009F491B"/>
    <w:rsid w:val="00A06B1F"/>
    <w:rsid w:val="00A64771"/>
    <w:rsid w:val="00A90EE3"/>
    <w:rsid w:val="00A9420F"/>
    <w:rsid w:val="00AA1EFC"/>
    <w:rsid w:val="00AB25AF"/>
    <w:rsid w:val="00AB61F2"/>
    <w:rsid w:val="00AD4B7D"/>
    <w:rsid w:val="00B10E36"/>
    <w:rsid w:val="00B75B7F"/>
    <w:rsid w:val="00B803B0"/>
    <w:rsid w:val="00B84C84"/>
    <w:rsid w:val="00B87673"/>
    <w:rsid w:val="00B9126F"/>
    <w:rsid w:val="00BD162E"/>
    <w:rsid w:val="00BE127C"/>
    <w:rsid w:val="00C007B4"/>
    <w:rsid w:val="00C20F20"/>
    <w:rsid w:val="00C279B5"/>
    <w:rsid w:val="00C33E51"/>
    <w:rsid w:val="00C441A7"/>
    <w:rsid w:val="00C8271D"/>
    <w:rsid w:val="00C97E25"/>
    <w:rsid w:val="00CA3B52"/>
    <w:rsid w:val="00CC421C"/>
    <w:rsid w:val="00CF2379"/>
    <w:rsid w:val="00D03B84"/>
    <w:rsid w:val="00D36242"/>
    <w:rsid w:val="00D766FB"/>
    <w:rsid w:val="00DC49A4"/>
    <w:rsid w:val="00DE3B65"/>
    <w:rsid w:val="00DE73DF"/>
    <w:rsid w:val="00E01671"/>
    <w:rsid w:val="00E91856"/>
    <w:rsid w:val="00E978F1"/>
    <w:rsid w:val="00EA6223"/>
    <w:rsid w:val="00EC4464"/>
    <w:rsid w:val="00F047AB"/>
    <w:rsid w:val="00F11412"/>
    <w:rsid w:val="00F744E9"/>
    <w:rsid w:val="00F97289"/>
    <w:rsid w:val="00FB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453B30E4"/>
  <w15:chartTrackingRefBased/>
  <w15:docId w15:val="{77285713-732B-4D62-9D05-94827D9E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B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ascii="Calibri" w:eastAsia="Times New Roman" w:hAnsi="Calibri" w:cs="Calibri"/>
      <w:szCs w:val="20"/>
    </w:rPr>
  </w:style>
  <w:style w:type="paragraph" w:styleId="ListParagraph">
    <w:name w:val="List Paragraph"/>
    <w:basedOn w:val="Normal"/>
    <w:uiPriority w:val="34"/>
    <w:qFormat/>
    <w:rsid w:val="00395BA9"/>
    <w:pPr>
      <w:ind w:left="720"/>
      <w:contextualSpacing/>
    </w:pPr>
  </w:style>
  <w:style w:type="character" w:styleId="Hyperlink">
    <w:name w:val="Hyperlink"/>
    <w:basedOn w:val="DefaultParagraphFont"/>
    <w:uiPriority w:val="99"/>
    <w:unhideWhenUsed/>
    <w:rsid w:val="001810D7"/>
    <w:rPr>
      <w:color w:val="0000FF"/>
      <w:u w:val="single"/>
    </w:rPr>
  </w:style>
  <w:style w:type="paragraph" w:styleId="FootnoteText">
    <w:name w:val="footnote text"/>
    <w:basedOn w:val="Normal"/>
    <w:link w:val="FootnoteTextChar"/>
    <w:uiPriority w:val="99"/>
    <w:unhideWhenUsed/>
    <w:rsid w:val="001810D7"/>
    <w:rPr>
      <w:sz w:val="20"/>
      <w:szCs w:val="20"/>
    </w:rPr>
  </w:style>
  <w:style w:type="character" w:customStyle="1" w:styleId="FootnoteTextChar">
    <w:name w:val="Footnote Text Char"/>
    <w:basedOn w:val="DefaultParagraphFont"/>
    <w:link w:val="FootnoteText"/>
    <w:uiPriority w:val="99"/>
    <w:rsid w:val="001810D7"/>
    <w:rPr>
      <w:sz w:val="20"/>
      <w:szCs w:val="20"/>
    </w:rPr>
  </w:style>
  <w:style w:type="character" w:styleId="FootnoteReference">
    <w:name w:val="footnote reference"/>
    <w:basedOn w:val="DefaultParagraphFont"/>
    <w:uiPriority w:val="99"/>
    <w:semiHidden/>
    <w:unhideWhenUsed/>
    <w:rsid w:val="001810D7"/>
    <w:rPr>
      <w:vertAlign w:val="superscript"/>
    </w:rPr>
  </w:style>
  <w:style w:type="paragraph" w:styleId="Header">
    <w:name w:val="header"/>
    <w:basedOn w:val="Normal"/>
    <w:link w:val="HeaderChar"/>
    <w:uiPriority w:val="99"/>
    <w:unhideWhenUsed/>
    <w:rsid w:val="0022190F"/>
    <w:pPr>
      <w:tabs>
        <w:tab w:val="center" w:pos="4680"/>
        <w:tab w:val="right" w:pos="9360"/>
      </w:tabs>
    </w:pPr>
  </w:style>
  <w:style w:type="character" w:customStyle="1" w:styleId="HeaderChar">
    <w:name w:val="Header Char"/>
    <w:basedOn w:val="DefaultParagraphFont"/>
    <w:link w:val="Header"/>
    <w:uiPriority w:val="99"/>
    <w:rsid w:val="0022190F"/>
  </w:style>
  <w:style w:type="paragraph" w:styleId="Footer">
    <w:name w:val="footer"/>
    <w:basedOn w:val="Normal"/>
    <w:link w:val="FooterChar"/>
    <w:uiPriority w:val="99"/>
    <w:unhideWhenUsed/>
    <w:rsid w:val="0022190F"/>
    <w:pPr>
      <w:tabs>
        <w:tab w:val="center" w:pos="4680"/>
        <w:tab w:val="right" w:pos="9360"/>
      </w:tabs>
    </w:pPr>
  </w:style>
  <w:style w:type="character" w:customStyle="1" w:styleId="FooterChar">
    <w:name w:val="Footer Char"/>
    <w:basedOn w:val="DefaultParagraphFont"/>
    <w:link w:val="Footer"/>
    <w:uiPriority w:val="99"/>
    <w:rsid w:val="00221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2.ed.gov/policy/gen/guid/fpco/ferpa/index.html" TargetMode="External"/><Relationship Id="rId2" Type="http://schemas.openxmlformats.org/officeDocument/2006/relationships/hyperlink" Target="http://www2.ed.gov/policy/gen/guid/fpco/pdf/ferpa-h1n1.pdf" TargetMode="External"/><Relationship Id="rId1" Type="http://schemas.openxmlformats.org/officeDocument/2006/relationships/hyperlink" Target="http://www.efrconline.org/admin/files/Accessing%20School%20Health%20Info%20031706.pdf" TargetMode="External"/><Relationship Id="rId5" Type="http://schemas.openxmlformats.org/officeDocument/2006/relationships/hyperlink" Target="https://www.cdc.gov/h1n1flu/vaccination/slv/planners.htm" TargetMode="External"/><Relationship Id="rId4" Type="http://schemas.openxmlformats.org/officeDocument/2006/relationships/hyperlink" Target="http://www2.ed.gov/policy/gen/guid/fpco/ferpa/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2152</Words>
  <Characters>12271</Characters>
  <Application>Microsoft Office Word</Application>
  <DocSecurity>0</DocSecurity>
  <Lines>102</Lines>
  <Paragraphs>28</Paragraphs>
  <ScaleCrop>false</ScaleCrop>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105</cp:revision>
  <dcterms:created xsi:type="dcterms:W3CDTF">2020-03-16T18:45:00Z</dcterms:created>
  <dcterms:modified xsi:type="dcterms:W3CDTF">2020-03-16T20:13:00Z</dcterms:modified>
</cp:coreProperties>
</file>