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A072C" w14:textId="052899AA" w:rsidR="00B75B7F" w:rsidRPr="00240175" w:rsidRDefault="006528A7" w:rsidP="00240175">
      <w:pPr>
        <w:pStyle w:val="norm15"/>
        <w:jc w:val="center"/>
        <w:rPr>
          <w:b/>
          <w:bCs/>
          <w:sz w:val="24"/>
          <w:szCs w:val="24"/>
        </w:rPr>
      </w:pPr>
      <w:r w:rsidRPr="00240175">
        <w:rPr>
          <w:b/>
          <w:bCs/>
          <w:sz w:val="24"/>
          <w:szCs w:val="24"/>
        </w:rPr>
        <w:t>PUBLIC HEALTH AND SCHOOLS EMERGENCY PREPAREDNESS AND RESPONSE</w:t>
      </w:r>
    </w:p>
    <w:p w14:paraId="7581DEE0" w14:textId="1250403B" w:rsidR="006528A7" w:rsidRDefault="006528A7" w:rsidP="006528A7">
      <w:pPr>
        <w:pStyle w:val="norm15"/>
      </w:pPr>
    </w:p>
    <w:p w14:paraId="6046C53B" w14:textId="77777777" w:rsidR="006528A7" w:rsidRPr="00240175" w:rsidRDefault="006528A7" w:rsidP="006528A7">
      <w:pPr>
        <w:pStyle w:val="norm15"/>
        <w:rPr>
          <w:rFonts w:ascii="Calibri" w:eastAsia="Times New Roman" w:hAnsi="Calibri" w:cs="Calibri"/>
          <w:b/>
          <w:bCs/>
          <w:color w:val="3C3030"/>
          <w:sz w:val="24"/>
          <w:szCs w:val="24"/>
        </w:rPr>
      </w:pPr>
      <w:r w:rsidRPr="00240175">
        <w:rPr>
          <w:rFonts w:ascii="Calibri" w:eastAsia="Times New Roman" w:hAnsi="Calibri" w:cs="Calibri"/>
          <w:b/>
          <w:bCs/>
          <w:color w:val="3C3030"/>
          <w:sz w:val="24"/>
          <w:szCs w:val="24"/>
        </w:rPr>
        <w:t>Overview</w:t>
      </w:r>
    </w:p>
    <w:p w14:paraId="3F8D8E48" w14:textId="3713B1AC" w:rsidR="003E5DDC" w:rsidRPr="00842BAE" w:rsidRDefault="000463E0" w:rsidP="00916DC2">
      <w:pPr>
        <w:pStyle w:val="norm15"/>
        <w:rPr>
          <w:rFonts w:ascii="Calibri" w:eastAsia="Times New Roman" w:hAnsi="Calibri" w:cs="Calibri"/>
          <w:color w:val="737373"/>
          <w:szCs w:val="20"/>
        </w:rPr>
      </w:pPr>
      <w:r w:rsidRPr="00AE7C97">
        <w:rPr>
          <w:rFonts w:ascii="Calibri" w:eastAsia="Times New Roman" w:hAnsi="Calibri" w:cs="Calibri"/>
          <w:color w:val="000000" w:themeColor="text1"/>
          <w:szCs w:val="20"/>
        </w:rPr>
        <w:t xml:space="preserve">This </w:t>
      </w:r>
      <w:r w:rsidR="0089511A" w:rsidRPr="00AE7C97">
        <w:rPr>
          <w:rFonts w:ascii="Calibri" w:eastAsia="Times New Roman" w:hAnsi="Calibri" w:cs="Calibri"/>
          <w:color w:val="000000" w:themeColor="text1"/>
          <w:szCs w:val="20"/>
        </w:rPr>
        <w:t>document</w:t>
      </w:r>
      <w:r w:rsidRPr="00AE7C97">
        <w:rPr>
          <w:rFonts w:ascii="Calibri" w:eastAsia="Times New Roman" w:hAnsi="Calibri" w:cs="Calibri"/>
          <w:color w:val="000000" w:themeColor="text1"/>
          <w:szCs w:val="20"/>
        </w:rPr>
        <w:t xml:space="preserve"> highlights the legal and policy issues that arise </w:t>
      </w:r>
      <w:r w:rsidR="002737E6">
        <w:rPr>
          <w:rFonts w:ascii="Calibri" w:eastAsia="Times New Roman" w:hAnsi="Calibri" w:cs="Calibri"/>
          <w:color w:val="000000" w:themeColor="text1"/>
          <w:szCs w:val="20"/>
        </w:rPr>
        <w:t>in</w:t>
      </w:r>
      <w:r w:rsidR="001E19EE" w:rsidRPr="00AE7C97">
        <w:rPr>
          <w:rFonts w:ascii="Calibri" w:eastAsia="Times New Roman" w:hAnsi="Calibri" w:cs="Calibri"/>
          <w:color w:val="000000" w:themeColor="text1"/>
          <w:szCs w:val="20"/>
        </w:rPr>
        <w:t xml:space="preserve"> the interaction of public health </w:t>
      </w:r>
      <w:r w:rsidR="002737E6">
        <w:rPr>
          <w:rFonts w:ascii="Calibri" w:eastAsia="Times New Roman" w:hAnsi="Calibri" w:cs="Calibri"/>
          <w:color w:val="000000" w:themeColor="text1"/>
          <w:szCs w:val="20"/>
        </w:rPr>
        <w:t xml:space="preserve">agencies </w:t>
      </w:r>
      <w:r w:rsidR="001E19EE" w:rsidRPr="00AE7C97">
        <w:rPr>
          <w:rFonts w:ascii="Calibri" w:eastAsia="Times New Roman" w:hAnsi="Calibri" w:cs="Calibri"/>
          <w:color w:val="000000" w:themeColor="text1"/>
          <w:szCs w:val="20"/>
        </w:rPr>
        <w:t xml:space="preserve">and schools </w:t>
      </w:r>
      <w:r w:rsidR="00D366A6" w:rsidRPr="00AE7C97">
        <w:rPr>
          <w:rFonts w:ascii="Calibri" w:eastAsia="Times New Roman" w:hAnsi="Calibri" w:cs="Calibri"/>
          <w:color w:val="000000" w:themeColor="text1"/>
          <w:szCs w:val="20"/>
        </w:rPr>
        <w:t xml:space="preserve">in emergency preparedness and response activities. </w:t>
      </w:r>
      <w:r w:rsidR="00000F62">
        <w:rPr>
          <w:rFonts w:ascii="Calibri" w:eastAsia="Times New Roman" w:hAnsi="Calibri" w:cs="Calibri"/>
          <w:color w:val="000000" w:themeColor="text1"/>
          <w:szCs w:val="20"/>
        </w:rPr>
        <w:t xml:space="preserve">It reviews the </w:t>
      </w:r>
      <w:r w:rsidR="00216BAF">
        <w:rPr>
          <w:rFonts w:ascii="Calibri" w:eastAsia="Times New Roman" w:hAnsi="Calibri" w:cs="Calibri"/>
          <w:color w:val="000000" w:themeColor="text1"/>
          <w:szCs w:val="20"/>
        </w:rPr>
        <w:t xml:space="preserve">range of </w:t>
      </w:r>
      <w:r w:rsidR="00B37451">
        <w:rPr>
          <w:rFonts w:ascii="Calibri" w:eastAsia="Times New Roman" w:hAnsi="Calibri" w:cs="Calibri"/>
          <w:color w:val="000000" w:themeColor="text1"/>
          <w:szCs w:val="20"/>
        </w:rPr>
        <w:t xml:space="preserve">legal authorities of </w:t>
      </w:r>
      <w:r w:rsidRPr="00AE7C97">
        <w:rPr>
          <w:rFonts w:ascii="Calibri" w:eastAsia="Times New Roman" w:hAnsi="Calibri" w:cs="Calibri"/>
          <w:color w:val="000000" w:themeColor="text1"/>
          <w:szCs w:val="20"/>
        </w:rPr>
        <w:t>public health officials</w:t>
      </w:r>
      <w:r w:rsidR="00B37451">
        <w:rPr>
          <w:rFonts w:ascii="Calibri" w:eastAsia="Times New Roman" w:hAnsi="Calibri" w:cs="Calibri"/>
          <w:color w:val="000000" w:themeColor="text1"/>
          <w:szCs w:val="20"/>
        </w:rPr>
        <w:t xml:space="preserve"> </w:t>
      </w:r>
      <w:r w:rsidR="0071225D">
        <w:rPr>
          <w:rFonts w:ascii="Calibri" w:eastAsia="Times New Roman" w:hAnsi="Calibri" w:cs="Calibri"/>
          <w:color w:val="000000" w:themeColor="text1"/>
          <w:szCs w:val="20"/>
        </w:rPr>
        <w:t>over schools</w:t>
      </w:r>
      <w:r w:rsidR="00216BAF">
        <w:rPr>
          <w:rFonts w:ascii="Calibri" w:eastAsia="Times New Roman" w:hAnsi="Calibri" w:cs="Calibri"/>
          <w:color w:val="000000" w:themeColor="text1"/>
          <w:szCs w:val="20"/>
        </w:rPr>
        <w:t xml:space="preserve">. This includes the authority </w:t>
      </w:r>
      <w:r w:rsidR="005B2890">
        <w:rPr>
          <w:rFonts w:ascii="Calibri" w:eastAsia="Times New Roman" w:hAnsi="Calibri" w:cs="Calibri"/>
          <w:color w:val="000000" w:themeColor="text1"/>
          <w:szCs w:val="20"/>
        </w:rPr>
        <w:t xml:space="preserve">to </w:t>
      </w:r>
      <w:r w:rsidR="00216BAF">
        <w:rPr>
          <w:rFonts w:ascii="Calibri" w:eastAsia="Times New Roman" w:hAnsi="Calibri" w:cs="Calibri"/>
          <w:color w:val="000000" w:themeColor="text1"/>
          <w:szCs w:val="20"/>
        </w:rPr>
        <w:t>require</w:t>
      </w:r>
      <w:r w:rsidR="005B2890">
        <w:rPr>
          <w:rFonts w:ascii="Calibri" w:eastAsia="Times New Roman" w:hAnsi="Calibri" w:cs="Calibri"/>
          <w:color w:val="000000" w:themeColor="text1"/>
          <w:szCs w:val="20"/>
        </w:rPr>
        <w:t xml:space="preserve"> school closure and other social distancing measures</w:t>
      </w:r>
      <w:r w:rsidR="00EC3B3D">
        <w:rPr>
          <w:rFonts w:ascii="Calibri" w:eastAsia="Times New Roman" w:hAnsi="Calibri" w:cs="Calibri"/>
          <w:color w:val="000000" w:themeColor="text1"/>
          <w:szCs w:val="20"/>
        </w:rPr>
        <w:t xml:space="preserve"> or </w:t>
      </w:r>
      <w:r w:rsidR="00533199">
        <w:rPr>
          <w:rFonts w:ascii="Calibri" w:eastAsia="Times New Roman" w:hAnsi="Calibri" w:cs="Calibri"/>
          <w:color w:val="000000" w:themeColor="text1"/>
          <w:szCs w:val="20"/>
        </w:rPr>
        <w:t>the need to plan for shelter-in-</w:t>
      </w:r>
      <w:r w:rsidR="00EC3B3D">
        <w:rPr>
          <w:rFonts w:ascii="Calibri" w:eastAsia="Times New Roman" w:hAnsi="Calibri" w:cs="Calibri"/>
          <w:color w:val="000000" w:themeColor="text1"/>
          <w:szCs w:val="20"/>
        </w:rPr>
        <w:t xml:space="preserve">place emergency scenarios. The document also </w:t>
      </w:r>
      <w:r w:rsidR="006E0773">
        <w:rPr>
          <w:rFonts w:ascii="Calibri" w:eastAsia="Times New Roman" w:hAnsi="Calibri" w:cs="Calibri"/>
          <w:color w:val="000000" w:themeColor="text1"/>
          <w:szCs w:val="20"/>
        </w:rPr>
        <w:t>reviews</w:t>
      </w:r>
      <w:r w:rsidR="00EC3B3D">
        <w:rPr>
          <w:rFonts w:ascii="Calibri" w:eastAsia="Times New Roman" w:hAnsi="Calibri" w:cs="Calibri"/>
          <w:color w:val="000000" w:themeColor="text1"/>
          <w:szCs w:val="20"/>
        </w:rPr>
        <w:t xml:space="preserve"> </w:t>
      </w:r>
      <w:r w:rsidR="003E5DDC" w:rsidRPr="00782E45">
        <w:rPr>
          <w:rFonts w:ascii="Calibri" w:eastAsia="Times New Roman" w:hAnsi="Calibri" w:cs="Calibri"/>
          <w:color w:val="000000" w:themeColor="text1"/>
          <w:szCs w:val="20"/>
        </w:rPr>
        <w:t xml:space="preserve">the legal and policy considerations that commonly arise with </w:t>
      </w:r>
      <w:r w:rsidR="00EC23CB">
        <w:rPr>
          <w:rFonts w:ascii="Calibri" w:eastAsia="Times New Roman" w:hAnsi="Calibri" w:cs="Calibri"/>
          <w:color w:val="000000" w:themeColor="text1"/>
          <w:szCs w:val="20"/>
        </w:rPr>
        <w:t xml:space="preserve">point of dispensing (POD) </w:t>
      </w:r>
      <w:r w:rsidR="00BE6F23">
        <w:rPr>
          <w:rFonts w:ascii="Calibri" w:eastAsia="Times New Roman" w:hAnsi="Calibri" w:cs="Calibri"/>
          <w:color w:val="000000" w:themeColor="text1"/>
          <w:szCs w:val="20"/>
        </w:rPr>
        <w:t xml:space="preserve">site to </w:t>
      </w:r>
      <w:r w:rsidR="00916DC2">
        <w:rPr>
          <w:rFonts w:ascii="Calibri" w:eastAsia="Times New Roman" w:hAnsi="Calibri" w:cs="Calibri"/>
          <w:color w:val="000000" w:themeColor="text1"/>
          <w:szCs w:val="20"/>
        </w:rPr>
        <w:t xml:space="preserve">administer medical countermeasures or vaccinations in an emergency. </w:t>
      </w:r>
    </w:p>
    <w:p w14:paraId="0A2F2C29" w14:textId="77777777" w:rsidR="006F31E9" w:rsidRDefault="006F31E9" w:rsidP="006528A7">
      <w:pPr>
        <w:pStyle w:val="norm15"/>
        <w:rPr>
          <w:rFonts w:ascii="Calibri" w:eastAsia="Times New Roman" w:hAnsi="Calibri" w:cs="Calibri"/>
          <w:color w:val="000000" w:themeColor="text1"/>
          <w:szCs w:val="20"/>
        </w:rPr>
      </w:pPr>
    </w:p>
    <w:p w14:paraId="2E2050AE" w14:textId="6EF8E894" w:rsidR="001F77FD" w:rsidRPr="00D17935" w:rsidRDefault="001F77FD" w:rsidP="006528A7">
      <w:pPr>
        <w:pStyle w:val="norm15"/>
        <w:rPr>
          <w:rFonts w:ascii="Calibri" w:eastAsia="Times New Roman" w:hAnsi="Calibri" w:cs="Calibri"/>
          <w:b/>
          <w:bCs/>
          <w:color w:val="000000" w:themeColor="text1"/>
          <w:sz w:val="24"/>
        </w:rPr>
      </w:pPr>
      <w:r w:rsidRPr="00D17935">
        <w:rPr>
          <w:rFonts w:ascii="Calibri" w:eastAsia="Times New Roman" w:hAnsi="Calibri" w:cs="Calibri"/>
          <w:b/>
          <w:bCs/>
          <w:color w:val="000000" w:themeColor="text1"/>
          <w:sz w:val="24"/>
        </w:rPr>
        <w:t>Public Health</w:t>
      </w:r>
      <w:r w:rsidR="00530FF0" w:rsidRPr="00D17935">
        <w:rPr>
          <w:rFonts w:ascii="Calibri" w:eastAsia="Times New Roman" w:hAnsi="Calibri" w:cs="Calibri"/>
          <w:b/>
          <w:bCs/>
          <w:color w:val="000000" w:themeColor="text1"/>
          <w:sz w:val="24"/>
        </w:rPr>
        <w:t xml:space="preserve"> and Education </w:t>
      </w:r>
      <w:r w:rsidRPr="00D17935">
        <w:rPr>
          <w:rFonts w:ascii="Calibri" w:eastAsia="Times New Roman" w:hAnsi="Calibri" w:cs="Calibri"/>
          <w:b/>
          <w:bCs/>
          <w:color w:val="000000" w:themeColor="text1"/>
          <w:sz w:val="24"/>
        </w:rPr>
        <w:t xml:space="preserve">Legal Authorities </w:t>
      </w:r>
      <w:r w:rsidR="00530FF0" w:rsidRPr="00D17935">
        <w:rPr>
          <w:rFonts w:ascii="Calibri" w:eastAsia="Times New Roman" w:hAnsi="Calibri" w:cs="Calibri"/>
          <w:b/>
          <w:bCs/>
          <w:color w:val="000000" w:themeColor="text1"/>
          <w:sz w:val="24"/>
        </w:rPr>
        <w:t>in</w:t>
      </w:r>
      <w:r w:rsidRPr="00D17935">
        <w:rPr>
          <w:rFonts w:ascii="Calibri" w:eastAsia="Times New Roman" w:hAnsi="Calibri" w:cs="Calibri"/>
          <w:b/>
          <w:bCs/>
          <w:color w:val="000000" w:themeColor="text1"/>
          <w:sz w:val="24"/>
        </w:rPr>
        <w:t xml:space="preserve"> Schools</w:t>
      </w:r>
    </w:p>
    <w:p w14:paraId="376C3F24" w14:textId="77777777" w:rsidR="003948E0" w:rsidRPr="006528A7" w:rsidRDefault="003948E0" w:rsidP="003948E0">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The legal relationships and authorities between health agencies and schools, school districts, school boards, and state education agencies vary by state and even by locality. State laws differ as to which agency or agencies have the authority to initiate school closure and other public health measures in schools, the conditions under which the authority may be exercised, and the scope of authorities permitted.</w:t>
      </w:r>
    </w:p>
    <w:p w14:paraId="6064279E" w14:textId="77777777" w:rsidR="00D17935" w:rsidRDefault="00D17935" w:rsidP="003948E0">
      <w:pPr>
        <w:pStyle w:val="norm15"/>
        <w:rPr>
          <w:rFonts w:ascii="Calibri" w:eastAsia="Times New Roman" w:hAnsi="Calibri" w:cs="Calibri"/>
          <w:color w:val="000000" w:themeColor="text1"/>
          <w:szCs w:val="20"/>
          <w:bdr w:val="none" w:sz="0" w:space="0" w:color="auto" w:frame="1"/>
        </w:rPr>
      </w:pPr>
    </w:p>
    <w:p w14:paraId="785E81E5" w14:textId="77777777" w:rsidR="00350C27" w:rsidRDefault="003948E0" w:rsidP="003948E0">
      <w:pPr>
        <w:pStyle w:val="norm15"/>
        <w:rPr>
          <w:rFonts w:ascii="Calibri" w:eastAsia="Times New Roman" w:hAnsi="Calibri" w:cs="Calibri"/>
          <w:b/>
          <w:bCs/>
          <w:color w:val="000000" w:themeColor="text1"/>
          <w:szCs w:val="20"/>
          <w:bdr w:val="none" w:sz="0" w:space="0" w:color="auto" w:frame="1"/>
        </w:rPr>
      </w:pPr>
      <w:r w:rsidRPr="00350C27">
        <w:rPr>
          <w:rFonts w:ascii="Calibri" w:eastAsia="Times New Roman" w:hAnsi="Calibri" w:cs="Calibri"/>
          <w:b/>
          <w:bCs/>
          <w:color w:val="000000" w:themeColor="text1"/>
          <w:szCs w:val="20"/>
          <w:bdr w:val="none" w:sz="0" w:space="0" w:color="auto" w:frame="1"/>
        </w:rPr>
        <w:t>Conditions of Authority</w:t>
      </w:r>
    </w:p>
    <w:p w14:paraId="4EBF12B5" w14:textId="21669B3F" w:rsidR="003948E0" w:rsidRPr="006528A7" w:rsidRDefault="003948E0" w:rsidP="003948E0">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The authority of a public health official to institute public health measures in schools and the types of authorities permitted can depend on whether an emergency has been declared.</w:t>
      </w:r>
    </w:p>
    <w:p w14:paraId="1EA6A685" w14:textId="77777777" w:rsidR="00E36D41" w:rsidRPr="0089511A" w:rsidRDefault="00E36D41" w:rsidP="00E36D41">
      <w:pPr>
        <w:pStyle w:val="norm15"/>
        <w:rPr>
          <w:rFonts w:ascii="Calibri" w:eastAsia="Times New Roman" w:hAnsi="Calibri" w:cs="Calibri"/>
          <w:color w:val="000000" w:themeColor="text1"/>
          <w:szCs w:val="20"/>
          <w:bdr w:val="none" w:sz="0" w:space="0" w:color="auto" w:frame="1"/>
        </w:rPr>
      </w:pPr>
    </w:p>
    <w:p w14:paraId="2D0CB128" w14:textId="77777777" w:rsidR="00AF1120" w:rsidRDefault="003948E0" w:rsidP="00E36D41">
      <w:pPr>
        <w:pStyle w:val="norm15"/>
        <w:rPr>
          <w:rFonts w:ascii="Calibri" w:eastAsia="Times New Roman" w:hAnsi="Calibri" w:cs="Calibri"/>
          <w:b/>
          <w:bCs/>
          <w:i/>
          <w:iCs/>
          <w:color w:val="000000" w:themeColor="text1"/>
          <w:szCs w:val="20"/>
          <w:bdr w:val="none" w:sz="0" w:space="0" w:color="auto" w:frame="1"/>
        </w:rPr>
      </w:pPr>
      <w:r w:rsidRPr="00E36D41">
        <w:rPr>
          <w:rFonts w:ascii="Calibri" w:eastAsia="Times New Roman" w:hAnsi="Calibri" w:cs="Calibri"/>
          <w:b/>
          <w:bCs/>
          <w:i/>
          <w:iCs/>
          <w:color w:val="000000" w:themeColor="text1"/>
          <w:szCs w:val="20"/>
          <w:bdr w:val="none" w:sz="0" w:space="0" w:color="auto" w:frame="1"/>
        </w:rPr>
        <w:t>Existing Authorities Without an Emergency Declaration</w:t>
      </w:r>
    </w:p>
    <w:p w14:paraId="396FB595" w14:textId="71ED3CFE" w:rsidR="003948E0" w:rsidRPr="00DE6532" w:rsidRDefault="003948E0" w:rsidP="00E36D41">
      <w:pPr>
        <w:pStyle w:val="norm15"/>
        <w:rPr>
          <w:rFonts w:ascii="Calibri" w:eastAsia="Times New Roman" w:hAnsi="Calibri" w:cs="Calibri"/>
          <w:color w:val="000000" w:themeColor="text1"/>
          <w:szCs w:val="20"/>
          <w:bdr w:val="none" w:sz="0" w:space="0" w:color="auto" w:frame="1"/>
        </w:rPr>
      </w:pPr>
      <w:r w:rsidRPr="006528A7">
        <w:rPr>
          <w:rFonts w:ascii="Calibri" w:eastAsia="Times New Roman" w:hAnsi="Calibri" w:cs="Calibri"/>
          <w:color w:val="000000" w:themeColor="text1"/>
          <w:szCs w:val="20"/>
        </w:rPr>
        <w:t>State officials generally have existing broad powers to address emergency situations by virtue of the statutory authorities granted to their position without having to formally declare a state of emergency. A health officer's existing authorities generally include a broad grant of authority</w:t>
      </w:r>
      <w:r w:rsidR="00A97BBF">
        <w:rPr>
          <w:rFonts w:ascii="Calibri" w:eastAsia="Times New Roman" w:hAnsi="Calibri" w:cs="Calibri"/>
          <w:color w:val="000000" w:themeColor="text1"/>
          <w:szCs w:val="20"/>
        </w:rPr>
        <w:t>.</w:t>
      </w:r>
      <w:r w:rsidRPr="006528A7">
        <w:rPr>
          <w:rFonts w:ascii="Calibri" w:eastAsia="Times New Roman" w:hAnsi="Calibri" w:cs="Calibri"/>
          <w:color w:val="000000" w:themeColor="text1"/>
          <w:szCs w:val="20"/>
        </w:rPr>
        <w:t xml:space="preserve"> The determination to declare or not to declare an emergency has implications for the legal authorities and operational resources available to respond to an event.</w:t>
      </w:r>
    </w:p>
    <w:p w14:paraId="0D95E408" w14:textId="77777777" w:rsidR="003948E0" w:rsidRPr="006528A7" w:rsidRDefault="003948E0" w:rsidP="003948E0">
      <w:pPr>
        <w:pStyle w:val="norm15"/>
        <w:rPr>
          <w:rFonts w:ascii="Calibri" w:eastAsia="Times New Roman" w:hAnsi="Calibri" w:cs="Calibri"/>
          <w:color w:val="000000" w:themeColor="text1"/>
          <w:szCs w:val="20"/>
        </w:rPr>
      </w:pPr>
    </w:p>
    <w:p w14:paraId="3239F08B" w14:textId="73CDE4B4" w:rsidR="00AF1120" w:rsidRDefault="003948E0" w:rsidP="003948E0">
      <w:pPr>
        <w:pStyle w:val="norm15"/>
        <w:rPr>
          <w:rFonts w:ascii="Calibri" w:eastAsia="Times New Roman" w:hAnsi="Calibri" w:cs="Calibri"/>
          <w:b/>
          <w:bCs/>
          <w:i/>
          <w:iCs/>
          <w:color w:val="000000" w:themeColor="text1"/>
          <w:szCs w:val="20"/>
          <w:bdr w:val="none" w:sz="0" w:space="0" w:color="auto" w:frame="1"/>
        </w:rPr>
      </w:pPr>
      <w:r w:rsidRPr="00B90E15">
        <w:rPr>
          <w:rFonts w:ascii="Calibri" w:eastAsia="Times New Roman" w:hAnsi="Calibri" w:cs="Calibri"/>
          <w:b/>
          <w:bCs/>
          <w:i/>
          <w:iCs/>
          <w:color w:val="000000" w:themeColor="text1"/>
          <w:szCs w:val="20"/>
          <w:bdr w:val="none" w:sz="0" w:space="0" w:color="auto" w:frame="1"/>
        </w:rPr>
        <w:t>Emergency Authoritie</w:t>
      </w:r>
      <w:r w:rsidR="00AF1120">
        <w:rPr>
          <w:rFonts w:ascii="Calibri" w:eastAsia="Times New Roman" w:hAnsi="Calibri" w:cs="Calibri"/>
          <w:b/>
          <w:bCs/>
          <w:i/>
          <w:iCs/>
          <w:color w:val="000000" w:themeColor="text1"/>
          <w:szCs w:val="20"/>
          <w:bdr w:val="none" w:sz="0" w:space="0" w:color="auto" w:frame="1"/>
        </w:rPr>
        <w:t>s</w:t>
      </w:r>
    </w:p>
    <w:p w14:paraId="4A59C4A6" w14:textId="50214463" w:rsidR="003948E0" w:rsidRPr="00AF1120" w:rsidRDefault="003948E0" w:rsidP="003948E0">
      <w:pPr>
        <w:pStyle w:val="norm15"/>
        <w:rPr>
          <w:rFonts w:ascii="Calibri" w:eastAsia="Times New Roman" w:hAnsi="Calibri" w:cs="Calibri"/>
          <w:b/>
          <w:bCs/>
          <w:i/>
          <w:iCs/>
          <w:color w:val="000000" w:themeColor="text1"/>
          <w:szCs w:val="20"/>
          <w:bdr w:val="none" w:sz="0" w:space="0" w:color="auto" w:frame="1"/>
        </w:rPr>
      </w:pPr>
      <w:r w:rsidRPr="006528A7">
        <w:rPr>
          <w:rFonts w:ascii="Calibri" w:eastAsia="Times New Roman" w:hAnsi="Calibri" w:cs="Calibri"/>
          <w:color w:val="000000" w:themeColor="text1"/>
          <w:szCs w:val="20"/>
        </w:rPr>
        <w:t xml:space="preserve">An emergency declaration allows certain governmental officials to temporarily suspend </w:t>
      </w:r>
      <w:r w:rsidR="0031028D">
        <w:rPr>
          <w:rFonts w:ascii="Calibri" w:eastAsia="Times New Roman" w:hAnsi="Calibri" w:cs="Calibri"/>
          <w:color w:val="000000" w:themeColor="text1"/>
          <w:szCs w:val="20"/>
        </w:rPr>
        <w:t xml:space="preserve">normal </w:t>
      </w:r>
      <w:r w:rsidRPr="006528A7">
        <w:rPr>
          <w:rFonts w:ascii="Calibri" w:eastAsia="Times New Roman" w:hAnsi="Calibri" w:cs="Calibri"/>
          <w:color w:val="000000" w:themeColor="text1"/>
          <w:szCs w:val="20"/>
        </w:rPr>
        <w:t xml:space="preserve">governmental operations and implement response activities to address the emergency circumstances. The authority to declare an emergency is determined by law and reserved for a chief executive officer </w:t>
      </w:r>
      <w:r w:rsidRPr="006528A7">
        <w:rPr>
          <w:rFonts w:ascii="Calibri" w:eastAsia="Times New Roman" w:hAnsi="Calibri" w:cs="Calibri"/>
          <w:color w:val="000000" w:themeColor="text1"/>
          <w:szCs w:val="20"/>
        </w:rPr>
        <w:lastRenderedPageBreak/>
        <w:t>(e.g., a governor) and key senior governmental officials (e.g., a state health officer, state education director). In some states, local officials may be able to declare local emergencies. While unique to each state, generally the governor (or other official) may declare an emergency by issuing an executive order or other declaration that outlines the conditions giving rise to the emergency, the effective date and duration of the declaration, and the agency leading the response. Gubernatorial and other declarations may require legislative approval within a given time period or upon seeking renewal of the declaration.</w:t>
      </w:r>
    </w:p>
    <w:p w14:paraId="70D9E18E" w14:textId="77777777" w:rsidR="003948E0" w:rsidRPr="006528A7" w:rsidRDefault="003948E0" w:rsidP="003948E0">
      <w:pPr>
        <w:pStyle w:val="norm15"/>
        <w:rPr>
          <w:rFonts w:ascii="Calibri" w:eastAsia="Times New Roman" w:hAnsi="Calibri" w:cs="Calibri"/>
          <w:color w:val="000000" w:themeColor="text1"/>
          <w:szCs w:val="20"/>
        </w:rPr>
      </w:pPr>
    </w:p>
    <w:p w14:paraId="71AEE8D6" w14:textId="259C8F2B" w:rsidR="003948E0" w:rsidRPr="006528A7" w:rsidRDefault="003948E0" w:rsidP="003948E0">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 xml:space="preserve">State emergency declarations activate emergency authorities designed to facilitate the response and recovery to the emergency event. A state emergency declaration </w:t>
      </w:r>
      <w:r w:rsidR="00530DA3">
        <w:rPr>
          <w:rFonts w:ascii="Calibri" w:eastAsia="Times New Roman" w:hAnsi="Calibri" w:cs="Calibri"/>
          <w:color w:val="000000" w:themeColor="text1"/>
          <w:szCs w:val="20"/>
        </w:rPr>
        <w:t>activates</w:t>
      </w:r>
      <w:r w:rsidRPr="006528A7">
        <w:rPr>
          <w:rFonts w:ascii="Calibri" w:eastAsia="Times New Roman" w:hAnsi="Calibri" w:cs="Calibri"/>
          <w:color w:val="000000" w:themeColor="text1"/>
          <w:szCs w:val="20"/>
        </w:rPr>
        <w:t xml:space="preserve"> a number of authorities and actions by state and/or local governments, such as: (1) activation of state emergency response plans and mutual aid agreements; (2) activation of state incident command systems and emergency operation centers; (3) deployment of personnel, equipment, supplies, and stockpiles; (4) activation of statutory immunities and liability protections for responders; and (5) suspension or waiver of rules, regulations, and administrative procedures. In some states, an emergency declaration authorizes the waiver of specified statutory requirements.</w:t>
      </w:r>
    </w:p>
    <w:p w14:paraId="5E275B71" w14:textId="77777777" w:rsidR="003948E0" w:rsidRPr="006528A7" w:rsidRDefault="003948E0" w:rsidP="003948E0">
      <w:pPr>
        <w:pStyle w:val="norm15"/>
        <w:rPr>
          <w:rFonts w:ascii="Calibri" w:eastAsia="Times New Roman" w:hAnsi="Calibri" w:cs="Calibri"/>
          <w:color w:val="000000" w:themeColor="text1"/>
          <w:szCs w:val="20"/>
        </w:rPr>
      </w:pPr>
    </w:p>
    <w:p w14:paraId="26EBE813" w14:textId="77777777" w:rsidR="003948E0" w:rsidRPr="00B868DF" w:rsidRDefault="003948E0" w:rsidP="003948E0">
      <w:pPr>
        <w:pStyle w:val="norm15"/>
        <w:rPr>
          <w:rFonts w:ascii="Calibri" w:eastAsia="Times New Roman" w:hAnsi="Calibri" w:cs="Calibri"/>
          <w:b/>
          <w:bCs/>
          <w:color w:val="3C3030"/>
        </w:rPr>
      </w:pPr>
      <w:r w:rsidRPr="00B868DF">
        <w:rPr>
          <w:rFonts w:ascii="Calibri" w:eastAsia="Times New Roman" w:hAnsi="Calibri" w:cs="Calibri"/>
          <w:b/>
          <w:bCs/>
          <w:color w:val="3C3030"/>
        </w:rPr>
        <w:t>Agencies Authorized to Act</w:t>
      </w:r>
    </w:p>
    <w:p w14:paraId="4332FB91" w14:textId="77777777" w:rsidR="003948E0" w:rsidRPr="006528A7" w:rsidRDefault="003948E0" w:rsidP="003948E0">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 xml:space="preserve">Depending on the state or locality, several agencies generally have exclusive or shared authority to institute various public health measures in schools. The agency authorized to act can change depending on </w:t>
      </w:r>
      <w:proofErr w:type="gramStart"/>
      <w:r w:rsidRPr="006528A7">
        <w:rPr>
          <w:rFonts w:ascii="Calibri" w:eastAsia="Times New Roman" w:hAnsi="Calibri" w:cs="Calibri"/>
          <w:color w:val="000000" w:themeColor="text1"/>
          <w:szCs w:val="20"/>
        </w:rPr>
        <w:t>whether or not</w:t>
      </w:r>
      <w:proofErr w:type="gramEnd"/>
      <w:r w:rsidRPr="006528A7">
        <w:rPr>
          <w:rFonts w:ascii="Calibri" w:eastAsia="Times New Roman" w:hAnsi="Calibri" w:cs="Calibri"/>
          <w:color w:val="000000" w:themeColor="text1"/>
          <w:szCs w:val="20"/>
        </w:rPr>
        <w:t xml:space="preserve"> an emergency has been declared. State or local public agencies are generally vested with broad authority to protect the public's health and to control communicable diseases. Depending on a state’s laws, these authorities can be used to institute public health measures such as requiring sick persons to stay home or canceling school assemblies and activities without an emergency declaration. During emergencies, public health officials typically gain additional authorities, including the ability to close schools and enforce other social distancing measures. Some state public health laws may permit closure and quarantine absent an emergency declaration.</w:t>
      </w:r>
    </w:p>
    <w:p w14:paraId="1BF8CF98" w14:textId="77777777" w:rsidR="00530DA3" w:rsidRDefault="00530DA3" w:rsidP="003948E0">
      <w:pPr>
        <w:pStyle w:val="norm15"/>
        <w:rPr>
          <w:rFonts w:ascii="Calibri" w:eastAsia="Times New Roman" w:hAnsi="Calibri" w:cs="Calibri"/>
          <w:color w:val="000000" w:themeColor="text1"/>
          <w:szCs w:val="20"/>
        </w:rPr>
      </w:pPr>
    </w:p>
    <w:p w14:paraId="15E9BB47" w14:textId="5A20F98A" w:rsidR="003948E0" w:rsidRPr="006912D3" w:rsidRDefault="003948E0" w:rsidP="003948E0">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 xml:space="preserve">When it comes to express authority to close schools outside of declared emergencies, most commonly it is vested exclusively in state or local health agencies. However, in some states closure authority resides </w:t>
      </w:r>
      <w:r w:rsidRPr="006528A7">
        <w:rPr>
          <w:rFonts w:ascii="Calibri" w:eastAsia="Times New Roman" w:hAnsi="Calibri" w:cs="Calibri"/>
          <w:color w:val="000000" w:themeColor="text1"/>
          <w:szCs w:val="20"/>
        </w:rPr>
        <w:lastRenderedPageBreak/>
        <w:t>exclusively with state or local education authorities.</w:t>
      </w:r>
      <w:r w:rsidR="00A9512B">
        <w:rPr>
          <w:rStyle w:val="FootnoteReference"/>
          <w:rFonts w:ascii="Calibri" w:eastAsia="Times New Roman" w:hAnsi="Calibri" w:cs="Calibri"/>
          <w:color w:val="000000" w:themeColor="text1"/>
          <w:szCs w:val="20"/>
        </w:rPr>
        <w:footnoteReference w:id="1"/>
      </w:r>
      <w:r w:rsidR="00A9512B">
        <w:rPr>
          <w:rFonts w:ascii="Calibri" w:eastAsia="Times New Roman" w:hAnsi="Calibri" w:cs="Calibri"/>
          <w:color w:val="000000" w:themeColor="text1"/>
          <w:szCs w:val="20"/>
          <w:bdr w:val="none" w:sz="0" w:space="0" w:color="auto" w:frame="1"/>
        </w:rPr>
        <w:t xml:space="preserve"> </w:t>
      </w:r>
      <w:r w:rsidRPr="006528A7">
        <w:rPr>
          <w:rFonts w:ascii="Calibri" w:eastAsia="Times New Roman" w:hAnsi="Calibri" w:cs="Calibri"/>
          <w:color w:val="000000" w:themeColor="text1"/>
          <w:szCs w:val="20"/>
        </w:rPr>
        <w:t>In a few states, closure is vested in both health and education authorities.</w:t>
      </w:r>
      <w:r w:rsidR="00A9512B">
        <w:rPr>
          <w:rStyle w:val="FootnoteReference"/>
          <w:rFonts w:ascii="Calibri" w:eastAsia="Times New Roman" w:hAnsi="Calibri" w:cs="Calibri"/>
          <w:color w:val="000000" w:themeColor="text1"/>
          <w:szCs w:val="20"/>
        </w:rPr>
        <w:footnoteReference w:id="2"/>
      </w:r>
      <w:r w:rsidR="00A9512B">
        <w:rPr>
          <w:rFonts w:ascii="Calibri" w:eastAsia="Times New Roman" w:hAnsi="Calibri" w:cs="Calibri"/>
          <w:color w:val="000000" w:themeColor="text1"/>
          <w:sz w:val="16"/>
          <w:szCs w:val="14"/>
          <w:bdr w:val="none" w:sz="0" w:space="0" w:color="auto" w:frame="1"/>
        </w:rPr>
        <w:t xml:space="preserve"> </w:t>
      </w:r>
      <w:r w:rsidRPr="006528A7">
        <w:rPr>
          <w:rFonts w:ascii="Calibri" w:eastAsia="Times New Roman" w:hAnsi="Calibri" w:cs="Calibri"/>
          <w:color w:val="000000" w:themeColor="text1"/>
          <w:szCs w:val="20"/>
        </w:rPr>
        <w:t>Once an emergency is declared, state emergency management agencies—as the agency in charge of state’s emergency response to a declared emergency—may gain the exclusive authority to close schools.</w:t>
      </w:r>
      <w:r w:rsidR="00700E56">
        <w:rPr>
          <w:rStyle w:val="FootnoteReference"/>
          <w:rFonts w:ascii="Calibri" w:eastAsia="Times New Roman" w:hAnsi="Calibri" w:cs="Calibri"/>
          <w:color w:val="000000" w:themeColor="text1"/>
          <w:szCs w:val="20"/>
        </w:rPr>
        <w:footnoteReference w:id="3"/>
      </w:r>
      <w:r w:rsidR="006912D3">
        <w:rPr>
          <w:rFonts w:ascii="Calibri" w:eastAsia="Times New Roman" w:hAnsi="Calibri" w:cs="Calibri"/>
          <w:color w:val="000000" w:themeColor="text1"/>
          <w:szCs w:val="20"/>
        </w:rPr>
        <w:t xml:space="preserve"> </w:t>
      </w:r>
      <w:r w:rsidRPr="006528A7">
        <w:rPr>
          <w:rFonts w:ascii="Calibri" w:eastAsia="Times New Roman" w:hAnsi="Calibri" w:cs="Calibri"/>
          <w:color w:val="000000" w:themeColor="text1"/>
          <w:szCs w:val="20"/>
        </w:rPr>
        <w:t>In other states, state health or state education agencies have the authority to close schools in emergencies.</w:t>
      </w:r>
      <w:r w:rsidR="006912D3">
        <w:rPr>
          <w:rStyle w:val="FootnoteReference"/>
          <w:rFonts w:ascii="Calibri" w:eastAsia="Times New Roman" w:hAnsi="Calibri" w:cs="Calibri"/>
          <w:color w:val="000000" w:themeColor="text1"/>
          <w:szCs w:val="20"/>
        </w:rPr>
        <w:footnoteReference w:id="4"/>
      </w:r>
    </w:p>
    <w:p w14:paraId="42C23EDA" w14:textId="77777777" w:rsidR="003948E0" w:rsidRPr="006528A7" w:rsidRDefault="003948E0" w:rsidP="003948E0">
      <w:pPr>
        <w:pStyle w:val="norm15"/>
        <w:rPr>
          <w:rFonts w:ascii="Calibri" w:eastAsia="Times New Roman" w:hAnsi="Calibri" w:cs="Calibri"/>
        </w:rPr>
      </w:pPr>
    </w:p>
    <w:p w14:paraId="30F2038B" w14:textId="77777777" w:rsidR="003948E0" w:rsidRPr="00530DA3" w:rsidRDefault="003948E0" w:rsidP="003948E0">
      <w:pPr>
        <w:pStyle w:val="norm15"/>
        <w:rPr>
          <w:rFonts w:ascii="Calibri" w:eastAsia="Times New Roman" w:hAnsi="Calibri" w:cs="Calibri"/>
          <w:b/>
          <w:bCs/>
          <w:color w:val="3C3030"/>
        </w:rPr>
      </w:pPr>
      <w:r w:rsidRPr="00530DA3">
        <w:rPr>
          <w:rFonts w:ascii="Calibri" w:eastAsia="Times New Roman" w:hAnsi="Calibri" w:cs="Calibri"/>
          <w:b/>
          <w:bCs/>
          <w:color w:val="3C3030"/>
        </w:rPr>
        <w:t>Scope of Authority</w:t>
      </w:r>
    </w:p>
    <w:p w14:paraId="4F7EB6E0" w14:textId="77777777" w:rsidR="003948E0" w:rsidRPr="006528A7" w:rsidRDefault="003948E0" w:rsidP="00025C8F">
      <w:pPr>
        <w:pStyle w:val="norm15"/>
        <w:spacing w:after="120"/>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The types of legal authorities that, depending on the jurisdiction, could be used to initiate public health measures in schools include, but are not limited to:</w:t>
      </w:r>
    </w:p>
    <w:p w14:paraId="4B3A7EE0" w14:textId="40C241B2" w:rsidR="003948E0" w:rsidRPr="006528A7" w:rsidRDefault="003948E0" w:rsidP="00025C8F">
      <w:pPr>
        <w:pStyle w:val="norm15"/>
        <w:numPr>
          <w:ilvl w:val="0"/>
          <w:numId w:val="8"/>
        </w:numPr>
        <w:spacing w:after="120"/>
        <w:rPr>
          <w:rFonts w:ascii="Calibri" w:eastAsia="Times New Roman" w:hAnsi="Calibri" w:cs="Calibri"/>
          <w:color w:val="000000" w:themeColor="text1"/>
          <w:szCs w:val="20"/>
        </w:rPr>
      </w:pPr>
      <w:r w:rsidRPr="00142191">
        <w:rPr>
          <w:rFonts w:ascii="Calibri" w:eastAsia="Times New Roman" w:hAnsi="Calibri" w:cs="Calibri"/>
          <w:b/>
          <w:bCs/>
          <w:color w:val="000000" w:themeColor="text1"/>
          <w:szCs w:val="20"/>
          <w:bdr w:val="none" w:sz="0" w:space="0" w:color="auto" w:frame="1"/>
        </w:rPr>
        <w:t>Protect</w:t>
      </w:r>
      <w:r w:rsidR="00142191">
        <w:rPr>
          <w:rFonts w:ascii="Calibri" w:eastAsia="Times New Roman" w:hAnsi="Calibri" w:cs="Calibri"/>
          <w:b/>
          <w:bCs/>
          <w:color w:val="000000" w:themeColor="text1"/>
          <w:szCs w:val="20"/>
          <w:bdr w:val="none" w:sz="0" w:space="0" w:color="auto" w:frame="1"/>
        </w:rPr>
        <w:t>ing of</w:t>
      </w:r>
      <w:r w:rsidRPr="00142191">
        <w:rPr>
          <w:rFonts w:ascii="Calibri" w:eastAsia="Times New Roman" w:hAnsi="Calibri" w:cs="Calibri"/>
          <w:b/>
          <w:bCs/>
          <w:color w:val="000000" w:themeColor="text1"/>
          <w:szCs w:val="20"/>
          <w:bdr w:val="none" w:sz="0" w:space="0" w:color="auto" w:frame="1"/>
        </w:rPr>
        <w:t xml:space="preserve"> Public Health and Safety</w:t>
      </w:r>
      <w:r w:rsidRPr="006528A7">
        <w:rPr>
          <w:rFonts w:ascii="Calibri" w:eastAsia="Times New Roman" w:hAnsi="Calibri" w:cs="Calibri"/>
          <w:color w:val="000000" w:themeColor="text1"/>
          <w:szCs w:val="20"/>
        </w:rPr>
        <w:t>-This is a broad grant of authority that generally rests with the health agency, board of health, or the chief public health official that can be exercised absent an emergency declaration.</w:t>
      </w:r>
    </w:p>
    <w:p w14:paraId="1E222680" w14:textId="7AD8AB16" w:rsidR="003948E0" w:rsidRPr="006528A7" w:rsidRDefault="00142191" w:rsidP="00025C8F">
      <w:pPr>
        <w:pStyle w:val="norm15"/>
        <w:numPr>
          <w:ilvl w:val="0"/>
          <w:numId w:val="8"/>
        </w:numPr>
        <w:spacing w:after="120"/>
        <w:rPr>
          <w:rFonts w:ascii="Calibri" w:eastAsia="Times New Roman" w:hAnsi="Calibri" w:cs="Calibri"/>
          <w:color w:val="000000" w:themeColor="text1"/>
          <w:szCs w:val="20"/>
        </w:rPr>
      </w:pPr>
      <w:r w:rsidRPr="00142191">
        <w:rPr>
          <w:rFonts w:ascii="Calibri" w:eastAsia="Times New Roman" w:hAnsi="Calibri" w:cs="Calibri"/>
          <w:b/>
          <w:bCs/>
          <w:color w:val="000000" w:themeColor="text1"/>
          <w:szCs w:val="20"/>
          <w:bdr w:val="none" w:sz="0" w:space="0" w:color="auto" w:frame="1"/>
        </w:rPr>
        <w:t>Control</w:t>
      </w:r>
      <w:r>
        <w:rPr>
          <w:rFonts w:ascii="Calibri" w:eastAsia="Times New Roman" w:hAnsi="Calibri" w:cs="Calibri"/>
          <w:b/>
          <w:bCs/>
          <w:color w:val="000000" w:themeColor="text1"/>
          <w:szCs w:val="20"/>
          <w:bdr w:val="none" w:sz="0" w:space="0" w:color="auto" w:frame="1"/>
        </w:rPr>
        <w:t>ling</w:t>
      </w:r>
      <w:r w:rsidR="003948E0" w:rsidRPr="00142191">
        <w:rPr>
          <w:rFonts w:ascii="Calibri" w:eastAsia="Times New Roman" w:hAnsi="Calibri" w:cs="Calibri"/>
          <w:b/>
          <w:bCs/>
          <w:color w:val="000000" w:themeColor="text1"/>
          <w:szCs w:val="20"/>
          <w:bdr w:val="none" w:sz="0" w:space="0" w:color="auto" w:frame="1"/>
        </w:rPr>
        <w:t xml:space="preserve"> and Prevent</w:t>
      </w:r>
      <w:r>
        <w:rPr>
          <w:rFonts w:ascii="Calibri" w:eastAsia="Times New Roman" w:hAnsi="Calibri" w:cs="Calibri"/>
          <w:b/>
          <w:bCs/>
          <w:color w:val="000000" w:themeColor="text1"/>
          <w:szCs w:val="20"/>
          <w:bdr w:val="none" w:sz="0" w:space="0" w:color="auto" w:frame="1"/>
        </w:rPr>
        <w:t>ing</w:t>
      </w:r>
      <w:r w:rsidR="003948E0" w:rsidRPr="00142191">
        <w:rPr>
          <w:rFonts w:ascii="Calibri" w:eastAsia="Times New Roman" w:hAnsi="Calibri" w:cs="Calibri"/>
          <w:b/>
          <w:bCs/>
          <w:color w:val="000000" w:themeColor="text1"/>
          <w:szCs w:val="20"/>
          <w:bdr w:val="none" w:sz="0" w:space="0" w:color="auto" w:frame="1"/>
        </w:rPr>
        <w:t xml:space="preserve"> the Spread of Communicable Diseases</w:t>
      </w:r>
      <w:r w:rsidR="003948E0" w:rsidRPr="006528A7">
        <w:rPr>
          <w:rFonts w:ascii="Calibri" w:eastAsia="Times New Roman" w:hAnsi="Calibri" w:cs="Calibri"/>
          <w:color w:val="000000" w:themeColor="text1"/>
          <w:szCs w:val="20"/>
        </w:rPr>
        <w:t>-This is another broad grant of existing authority to health agency officials that typically allows for disease surveillance, investigation, and control activities. Control activities may be specified, such as permitting the quarantine of persons and facilities.</w:t>
      </w:r>
    </w:p>
    <w:p w14:paraId="1F2BCF26" w14:textId="01323E04" w:rsidR="003948E0" w:rsidRPr="006528A7" w:rsidRDefault="003948E0" w:rsidP="00025C8F">
      <w:pPr>
        <w:pStyle w:val="norm15"/>
        <w:numPr>
          <w:ilvl w:val="0"/>
          <w:numId w:val="8"/>
        </w:numPr>
        <w:spacing w:after="120"/>
        <w:rPr>
          <w:rFonts w:ascii="Calibri" w:eastAsia="Times New Roman" w:hAnsi="Calibri" w:cs="Calibri"/>
          <w:color w:val="000000" w:themeColor="text1"/>
          <w:szCs w:val="20"/>
        </w:rPr>
      </w:pPr>
      <w:r w:rsidRPr="00142191">
        <w:rPr>
          <w:rFonts w:ascii="Calibri" w:eastAsia="Times New Roman" w:hAnsi="Calibri" w:cs="Calibri"/>
          <w:b/>
          <w:bCs/>
          <w:color w:val="000000" w:themeColor="text1"/>
          <w:szCs w:val="20"/>
          <w:bdr w:val="none" w:sz="0" w:space="0" w:color="auto" w:frame="1"/>
        </w:rPr>
        <w:t>Institut</w:t>
      </w:r>
      <w:r w:rsidR="00142191" w:rsidRPr="00142191">
        <w:rPr>
          <w:rFonts w:ascii="Calibri" w:eastAsia="Times New Roman" w:hAnsi="Calibri" w:cs="Calibri"/>
          <w:b/>
          <w:bCs/>
          <w:color w:val="000000" w:themeColor="text1"/>
          <w:szCs w:val="20"/>
          <w:bdr w:val="none" w:sz="0" w:space="0" w:color="auto" w:frame="1"/>
        </w:rPr>
        <w:t>ing</w:t>
      </w:r>
      <w:r w:rsidRPr="00142191">
        <w:rPr>
          <w:rFonts w:ascii="Calibri" w:eastAsia="Times New Roman" w:hAnsi="Calibri" w:cs="Calibri"/>
          <w:b/>
          <w:bCs/>
          <w:color w:val="000000" w:themeColor="text1"/>
          <w:szCs w:val="20"/>
          <w:bdr w:val="none" w:sz="0" w:space="0" w:color="auto" w:frame="1"/>
        </w:rPr>
        <w:t xml:space="preserve"> Quarantine and Isolation Measures</w:t>
      </w:r>
      <w:r w:rsidRPr="006528A7">
        <w:rPr>
          <w:rFonts w:ascii="Calibri" w:eastAsia="Times New Roman" w:hAnsi="Calibri" w:cs="Calibri"/>
          <w:color w:val="000000" w:themeColor="text1"/>
          <w:szCs w:val="20"/>
        </w:rPr>
        <w:t xml:space="preserve">-All states have some form of authority to institute quarantine and isolation measures. </w:t>
      </w:r>
      <w:r w:rsidR="00635413">
        <w:rPr>
          <w:rFonts w:ascii="Calibri" w:eastAsia="Times New Roman" w:hAnsi="Calibri" w:cs="Calibri"/>
          <w:color w:val="000000" w:themeColor="text1"/>
          <w:szCs w:val="20"/>
        </w:rPr>
        <w:t>During normal opera</w:t>
      </w:r>
      <w:r w:rsidR="00843D5F">
        <w:rPr>
          <w:rFonts w:ascii="Calibri" w:eastAsia="Times New Roman" w:hAnsi="Calibri" w:cs="Calibri"/>
          <w:color w:val="000000" w:themeColor="text1"/>
          <w:szCs w:val="20"/>
        </w:rPr>
        <w:t>tions, t</w:t>
      </w:r>
      <w:r w:rsidRPr="006528A7">
        <w:rPr>
          <w:rFonts w:ascii="Calibri" w:eastAsia="Times New Roman" w:hAnsi="Calibri" w:cs="Calibri"/>
          <w:color w:val="000000" w:themeColor="text1"/>
          <w:szCs w:val="20"/>
        </w:rPr>
        <w:t>hese authorities may be limited to certain conditions (e.g., TB) or may be broadly defined and generally include due process and other rights for persons being controlled. Quarantine and isolation authorities may become more robust during a declared emergency or may contain modified due process provisions that delay, but do not deny, rights to notice and review of detainment orders.</w:t>
      </w:r>
    </w:p>
    <w:p w14:paraId="6EB6A5B1" w14:textId="589E9177" w:rsidR="003948E0" w:rsidRPr="006528A7" w:rsidRDefault="003948E0" w:rsidP="00025C8F">
      <w:pPr>
        <w:pStyle w:val="norm15"/>
        <w:numPr>
          <w:ilvl w:val="0"/>
          <w:numId w:val="8"/>
        </w:numPr>
        <w:spacing w:after="120"/>
        <w:rPr>
          <w:rFonts w:ascii="Calibri" w:eastAsia="Times New Roman" w:hAnsi="Calibri" w:cs="Calibri"/>
          <w:color w:val="000000" w:themeColor="text1"/>
          <w:szCs w:val="20"/>
        </w:rPr>
      </w:pPr>
      <w:r w:rsidRPr="00866ABE">
        <w:rPr>
          <w:rFonts w:ascii="Calibri" w:eastAsia="Times New Roman" w:hAnsi="Calibri" w:cs="Calibri"/>
          <w:b/>
          <w:bCs/>
          <w:color w:val="000000" w:themeColor="text1"/>
          <w:szCs w:val="20"/>
          <w:bdr w:val="none" w:sz="0" w:space="0" w:color="auto" w:frame="1"/>
        </w:rPr>
        <w:lastRenderedPageBreak/>
        <w:t>Cance</w:t>
      </w:r>
      <w:r w:rsidR="00866ABE" w:rsidRPr="00866ABE">
        <w:rPr>
          <w:rFonts w:ascii="Calibri" w:eastAsia="Times New Roman" w:hAnsi="Calibri" w:cs="Calibri"/>
          <w:b/>
          <w:bCs/>
          <w:color w:val="000000" w:themeColor="text1"/>
          <w:szCs w:val="20"/>
          <w:bdr w:val="none" w:sz="0" w:space="0" w:color="auto" w:frame="1"/>
        </w:rPr>
        <w:t>l</w:t>
      </w:r>
      <w:r w:rsidRPr="00866ABE">
        <w:rPr>
          <w:rFonts w:ascii="Calibri" w:eastAsia="Times New Roman" w:hAnsi="Calibri" w:cs="Calibri"/>
          <w:b/>
          <w:bCs/>
          <w:color w:val="000000" w:themeColor="text1"/>
          <w:szCs w:val="20"/>
          <w:bdr w:val="none" w:sz="0" w:space="0" w:color="auto" w:frame="1"/>
        </w:rPr>
        <w:t>l</w:t>
      </w:r>
      <w:r w:rsidR="00866ABE" w:rsidRPr="00866ABE">
        <w:rPr>
          <w:rFonts w:ascii="Calibri" w:eastAsia="Times New Roman" w:hAnsi="Calibri" w:cs="Calibri"/>
          <w:b/>
          <w:bCs/>
          <w:color w:val="000000" w:themeColor="text1"/>
          <w:szCs w:val="20"/>
          <w:bdr w:val="none" w:sz="0" w:space="0" w:color="auto" w:frame="1"/>
        </w:rPr>
        <w:t>ing</w:t>
      </w:r>
      <w:r w:rsidRPr="00866ABE">
        <w:rPr>
          <w:rFonts w:ascii="Calibri" w:eastAsia="Times New Roman" w:hAnsi="Calibri" w:cs="Calibri"/>
          <w:b/>
          <w:bCs/>
          <w:color w:val="000000" w:themeColor="text1"/>
          <w:szCs w:val="20"/>
          <w:bdr w:val="none" w:sz="0" w:space="0" w:color="auto" w:frame="1"/>
        </w:rPr>
        <w:t xml:space="preserve"> School Activities and Institute School Closures</w:t>
      </w:r>
      <w:r w:rsidRPr="006528A7">
        <w:rPr>
          <w:rFonts w:ascii="Calibri" w:eastAsia="Times New Roman" w:hAnsi="Calibri" w:cs="Calibri"/>
          <w:color w:val="000000" w:themeColor="text1"/>
          <w:szCs w:val="20"/>
        </w:rPr>
        <w:t>-Some states have laws that specifically grant the authority of health officials, education officials, or other officials to cancel school activities or close schools under specified circumstances.</w:t>
      </w:r>
      <w:r w:rsidR="00866ABE">
        <w:rPr>
          <w:rFonts w:ascii="Calibri" w:eastAsia="Times New Roman" w:hAnsi="Calibri" w:cs="Calibri"/>
          <w:color w:val="000000" w:themeColor="text1"/>
          <w:szCs w:val="20"/>
        </w:rPr>
        <w:t xml:space="preserve"> In other jurisdictions, it may be reserved for the governor of a state </w:t>
      </w:r>
      <w:r w:rsidR="00C22389">
        <w:rPr>
          <w:rFonts w:ascii="Calibri" w:eastAsia="Times New Roman" w:hAnsi="Calibri" w:cs="Calibri"/>
          <w:color w:val="000000" w:themeColor="text1"/>
          <w:szCs w:val="20"/>
        </w:rPr>
        <w:t>or a mayor of a jurisdiction.</w:t>
      </w:r>
    </w:p>
    <w:p w14:paraId="6FFF5CAD" w14:textId="5ED5D4DD" w:rsidR="003948E0" w:rsidRPr="006528A7" w:rsidRDefault="00C22389" w:rsidP="00530DA3">
      <w:pPr>
        <w:pStyle w:val="norm15"/>
        <w:numPr>
          <w:ilvl w:val="0"/>
          <w:numId w:val="8"/>
        </w:numPr>
        <w:rPr>
          <w:rFonts w:ascii="Calibri" w:eastAsia="Times New Roman" w:hAnsi="Calibri" w:cs="Calibri"/>
          <w:color w:val="000000" w:themeColor="text1"/>
          <w:szCs w:val="20"/>
        </w:rPr>
      </w:pPr>
      <w:r w:rsidRPr="00C22389">
        <w:rPr>
          <w:rFonts w:ascii="Calibri" w:eastAsia="Times New Roman" w:hAnsi="Calibri" w:cs="Calibri"/>
          <w:b/>
          <w:bCs/>
          <w:color w:val="000000" w:themeColor="text1"/>
          <w:szCs w:val="20"/>
          <w:bdr w:val="none" w:sz="0" w:space="0" w:color="auto" w:frame="1"/>
        </w:rPr>
        <w:t xml:space="preserve">Exercising </w:t>
      </w:r>
      <w:r w:rsidR="003948E0" w:rsidRPr="00C22389">
        <w:rPr>
          <w:rFonts w:ascii="Calibri" w:eastAsia="Times New Roman" w:hAnsi="Calibri" w:cs="Calibri"/>
          <w:b/>
          <w:bCs/>
          <w:color w:val="000000" w:themeColor="text1"/>
          <w:szCs w:val="20"/>
          <w:bdr w:val="none" w:sz="0" w:space="0" w:color="auto" w:frame="1"/>
        </w:rPr>
        <w:t>Emergency Authorities</w:t>
      </w:r>
      <w:r w:rsidR="003948E0" w:rsidRPr="006528A7">
        <w:rPr>
          <w:rFonts w:ascii="Calibri" w:eastAsia="Times New Roman" w:hAnsi="Calibri" w:cs="Calibri"/>
          <w:color w:val="000000" w:themeColor="text1"/>
          <w:szCs w:val="20"/>
        </w:rPr>
        <w:t>-State disaster and emergency laws provide the governor (or other specified officials) with additional authorities during declared emergencies. These emergency authorities may enhance already existing authorities by permitting the broader application of these authorities.</w:t>
      </w:r>
    </w:p>
    <w:p w14:paraId="32934FE9" w14:textId="4C541B98" w:rsidR="003948E0" w:rsidRDefault="003948E0" w:rsidP="003948E0">
      <w:pPr>
        <w:pStyle w:val="norm15"/>
        <w:rPr>
          <w:rFonts w:ascii="Calibri" w:eastAsia="Times New Roman" w:hAnsi="Calibri" w:cs="Calibri"/>
          <w:color w:val="000000" w:themeColor="text1"/>
          <w:szCs w:val="20"/>
          <w:bdr w:val="none" w:sz="0" w:space="0" w:color="auto" w:frame="1"/>
        </w:rPr>
      </w:pPr>
    </w:p>
    <w:p w14:paraId="35C84743" w14:textId="3188BACD" w:rsidR="00E94EFF" w:rsidRPr="00264672" w:rsidRDefault="00E94EFF" w:rsidP="006528A7">
      <w:pPr>
        <w:pStyle w:val="norm15"/>
        <w:rPr>
          <w:rFonts w:ascii="Calibri" w:eastAsia="Times New Roman" w:hAnsi="Calibri" w:cs="Calibri"/>
          <w:b/>
          <w:bCs/>
          <w:color w:val="000000" w:themeColor="text1"/>
          <w:sz w:val="24"/>
        </w:rPr>
      </w:pPr>
      <w:r w:rsidRPr="00264672">
        <w:rPr>
          <w:rFonts w:ascii="Calibri" w:eastAsia="Times New Roman" w:hAnsi="Calibri" w:cs="Calibri"/>
          <w:b/>
          <w:bCs/>
          <w:color w:val="000000" w:themeColor="text1"/>
          <w:sz w:val="24"/>
        </w:rPr>
        <w:t>Social Distan</w:t>
      </w:r>
      <w:r w:rsidR="00221A5A" w:rsidRPr="00264672">
        <w:rPr>
          <w:rFonts w:ascii="Calibri" w:eastAsia="Times New Roman" w:hAnsi="Calibri" w:cs="Calibri"/>
          <w:b/>
          <w:bCs/>
          <w:color w:val="000000" w:themeColor="text1"/>
          <w:sz w:val="24"/>
        </w:rPr>
        <w:t>cing</w:t>
      </w:r>
      <w:r w:rsidR="00264672">
        <w:rPr>
          <w:rFonts w:ascii="Calibri" w:eastAsia="Times New Roman" w:hAnsi="Calibri" w:cs="Calibri"/>
          <w:b/>
          <w:bCs/>
          <w:color w:val="000000" w:themeColor="text1"/>
          <w:sz w:val="24"/>
        </w:rPr>
        <w:t xml:space="preserve"> </w:t>
      </w:r>
      <w:r w:rsidR="00877CBA">
        <w:rPr>
          <w:rFonts w:ascii="Calibri" w:eastAsia="Times New Roman" w:hAnsi="Calibri" w:cs="Calibri"/>
          <w:b/>
          <w:bCs/>
          <w:color w:val="000000" w:themeColor="text1"/>
          <w:sz w:val="24"/>
        </w:rPr>
        <w:t>and School Closure</w:t>
      </w:r>
    </w:p>
    <w:p w14:paraId="3DE185AB" w14:textId="7DF8D8CF" w:rsidR="00530FF0" w:rsidRDefault="006528A7" w:rsidP="006528A7">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Federal guidance on school closures during the 2009 H1N1 influenza pandemic demonstrated how important school closure is as a public health tool to interrupt the spread of contagious diseases.</w:t>
      </w:r>
      <w:r w:rsidRPr="00877CBA">
        <w:rPr>
          <w:rFonts w:ascii="Calibri" w:eastAsia="Times New Roman" w:hAnsi="Calibri" w:cs="Calibri"/>
          <w:color w:val="000000" w:themeColor="text1"/>
          <w:szCs w:val="20"/>
          <w:bdr w:val="none" w:sz="0" w:space="0" w:color="auto" w:frame="1"/>
          <w:vertAlign w:val="superscript"/>
        </w:rPr>
        <w:t>1</w:t>
      </w:r>
      <w:r w:rsidR="00803CF7" w:rsidRPr="00877CBA">
        <w:rPr>
          <w:rFonts w:ascii="Calibri" w:eastAsia="Times New Roman" w:hAnsi="Calibri" w:cs="Calibri"/>
          <w:color w:val="000000" w:themeColor="text1"/>
          <w:sz w:val="32"/>
          <w:szCs w:val="28"/>
        </w:rPr>
        <w:t xml:space="preserve"> </w:t>
      </w:r>
      <w:r w:rsidRPr="006528A7">
        <w:rPr>
          <w:rFonts w:ascii="Calibri" w:eastAsia="Times New Roman" w:hAnsi="Calibri" w:cs="Calibri"/>
          <w:color w:val="000000" w:themeColor="text1"/>
          <w:szCs w:val="20"/>
        </w:rPr>
        <w:t xml:space="preserve">Closing schools is just one type of social distancing practice outlined in state pandemic and other emergency response plans that public health officials may turn to during infectious disease outbreaks. The 2009 H1N1 </w:t>
      </w:r>
      <w:bookmarkStart w:id="0" w:name="_GoBack"/>
      <w:proofErr w:type="gramStart"/>
      <w:r w:rsidRPr="006528A7">
        <w:rPr>
          <w:rFonts w:ascii="Calibri" w:eastAsia="Times New Roman" w:hAnsi="Calibri" w:cs="Calibri"/>
          <w:color w:val="000000" w:themeColor="text1"/>
          <w:szCs w:val="20"/>
        </w:rPr>
        <w:t>schools</w:t>
      </w:r>
      <w:bookmarkEnd w:id="0"/>
      <w:proofErr w:type="gramEnd"/>
      <w:r w:rsidRPr="006528A7">
        <w:rPr>
          <w:rFonts w:ascii="Calibri" w:eastAsia="Times New Roman" w:hAnsi="Calibri" w:cs="Calibri"/>
          <w:color w:val="000000" w:themeColor="text1"/>
          <w:szCs w:val="20"/>
        </w:rPr>
        <w:t xml:space="preserve"> guidance also illustrated the challenges of implementing such a practice broadly where rates of infection, legal authorities, and social and economic factors can vary greatly by state and community. It raised questions about the authority of public health officials to institute social distancing measures in schools. </w:t>
      </w:r>
    </w:p>
    <w:p w14:paraId="0113D63D" w14:textId="7C6D69AB" w:rsidR="00530FF0" w:rsidRDefault="00530FF0" w:rsidP="006528A7">
      <w:pPr>
        <w:pStyle w:val="norm15"/>
        <w:rPr>
          <w:rFonts w:ascii="Calibri" w:eastAsia="Times New Roman" w:hAnsi="Calibri" w:cs="Calibri"/>
          <w:color w:val="000000" w:themeColor="text1"/>
          <w:szCs w:val="20"/>
        </w:rPr>
      </w:pPr>
    </w:p>
    <w:p w14:paraId="5060E8E2" w14:textId="77777777" w:rsidR="00FC4CBE" w:rsidRDefault="003948E0" w:rsidP="003948E0">
      <w:pPr>
        <w:pStyle w:val="norm15"/>
        <w:rPr>
          <w:rFonts w:ascii="Calibri" w:eastAsia="Times New Roman" w:hAnsi="Calibri" w:cs="Calibri"/>
          <w:b/>
          <w:bCs/>
          <w:color w:val="000000" w:themeColor="text1"/>
          <w:szCs w:val="20"/>
          <w:bdr w:val="none" w:sz="0" w:space="0" w:color="auto" w:frame="1"/>
        </w:rPr>
      </w:pPr>
      <w:r w:rsidRPr="00FC4CBE">
        <w:rPr>
          <w:rFonts w:ascii="Calibri" w:eastAsia="Times New Roman" w:hAnsi="Calibri" w:cs="Calibri"/>
          <w:b/>
          <w:bCs/>
          <w:color w:val="000000" w:themeColor="text1"/>
          <w:szCs w:val="20"/>
          <w:bdr w:val="none" w:sz="0" w:space="0" w:color="auto" w:frame="1"/>
        </w:rPr>
        <w:t>Implications of School Closures</w:t>
      </w:r>
    </w:p>
    <w:p w14:paraId="562A2FEF" w14:textId="515FDD3B" w:rsidR="003948E0" w:rsidRDefault="003948E0" w:rsidP="003948E0">
      <w:pPr>
        <w:pStyle w:val="norm15"/>
        <w:rPr>
          <w:rFonts w:ascii="Calibri" w:eastAsia="Times New Roman" w:hAnsi="Calibri" w:cs="Calibri"/>
          <w:color w:val="000000" w:themeColor="text1"/>
          <w:szCs w:val="20"/>
        </w:rPr>
      </w:pPr>
      <w:r w:rsidRPr="006528A7">
        <w:rPr>
          <w:rFonts w:ascii="Calibri" w:eastAsia="Times New Roman" w:hAnsi="Calibri" w:cs="Calibri"/>
          <w:color w:val="000000" w:themeColor="text1"/>
          <w:szCs w:val="20"/>
        </w:rPr>
        <w:t xml:space="preserve">Beyond questions about the legal authority to close schools, the H1N1 school closure policy also brought to the fore social and economic factors that must be considered when making closure decisions. First, schools play important roles in the delivery of other public health and social service programs such as school breakfast and lunch programs and after-school day care. Alternative mechanisms to provide these services to students and parents who rely on them must be identified if schools are closed for extended periods. Next, schools derive their funding, in part, based on formulas driven by attendance, student activity fees, and reimbursement for federal school breakfast and lunch programs. Prolonged school closures can potentially reduce schools' budgets. Finally, working parents must find alternative </w:t>
      </w:r>
      <w:r w:rsidR="00045490" w:rsidRPr="006528A7">
        <w:rPr>
          <w:rFonts w:ascii="Calibri" w:eastAsia="Times New Roman" w:hAnsi="Calibri" w:cs="Calibri"/>
          <w:color w:val="000000" w:themeColor="text1"/>
          <w:szCs w:val="20"/>
        </w:rPr>
        <w:t>childcare</w:t>
      </w:r>
      <w:r w:rsidRPr="006528A7">
        <w:rPr>
          <w:rFonts w:ascii="Calibri" w:eastAsia="Times New Roman" w:hAnsi="Calibri" w:cs="Calibri"/>
          <w:color w:val="000000" w:themeColor="text1"/>
          <w:szCs w:val="20"/>
        </w:rPr>
        <w:t xml:space="preserve"> services for the period a school is closed or take vacation or sick leave to be home with the child. For many working parents, these are not feasible options. While state and local health officials may have the exclusive (or shared) legal authority to close schools or otherwise enforce public health laws in the school setting, in practice, the use of these authorities has to be exercised and implemented </w:t>
      </w:r>
      <w:r w:rsidRPr="006528A7">
        <w:rPr>
          <w:rFonts w:ascii="Calibri" w:eastAsia="Times New Roman" w:hAnsi="Calibri" w:cs="Calibri"/>
          <w:color w:val="000000" w:themeColor="text1"/>
          <w:szCs w:val="20"/>
        </w:rPr>
        <w:lastRenderedPageBreak/>
        <w:t>in cooperation with school personnel</w:t>
      </w:r>
      <w:r w:rsidR="00465C56">
        <w:rPr>
          <w:rFonts w:ascii="Calibri" w:eastAsia="Times New Roman" w:hAnsi="Calibri" w:cs="Calibri"/>
          <w:color w:val="000000" w:themeColor="text1"/>
          <w:szCs w:val="20"/>
        </w:rPr>
        <w:t xml:space="preserve">, </w:t>
      </w:r>
      <w:r w:rsidRPr="006528A7">
        <w:rPr>
          <w:rFonts w:ascii="Calibri" w:eastAsia="Times New Roman" w:hAnsi="Calibri" w:cs="Calibri"/>
          <w:color w:val="000000" w:themeColor="text1"/>
          <w:szCs w:val="20"/>
        </w:rPr>
        <w:t>state or local education officials</w:t>
      </w:r>
      <w:r w:rsidR="00465C56">
        <w:rPr>
          <w:rFonts w:ascii="Calibri" w:eastAsia="Times New Roman" w:hAnsi="Calibri" w:cs="Calibri"/>
          <w:color w:val="000000" w:themeColor="text1"/>
          <w:szCs w:val="20"/>
        </w:rPr>
        <w:t xml:space="preserve">, and </w:t>
      </w:r>
      <w:r w:rsidR="009F4F9D">
        <w:rPr>
          <w:rFonts w:ascii="Calibri" w:eastAsia="Times New Roman" w:hAnsi="Calibri" w:cs="Calibri"/>
          <w:color w:val="000000" w:themeColor="text1"/>
          <w:szCs w:val="20"/>
        </w:rPr>
        <w:t>other agencies and organizations in the affected area</w:t>
      </w:r>
      <w:r w:rsidRPr="006528A7">
        <w:rPr>
          <w:rFonts w:ascii="Calibri" w:eastAsia="Times New Roman" w:hAnsi="Calibri" w:cs="Calibri"/>
          <w:color w:val="000000" w:themeColor="text1"/>
          <w:szCs w:val="20"/>
        </w:rPr>
        <w:t>.</w:t>
      </w:r>
    </w:p>
    <w:p w14:paraId="65B6F27A" w14:textId="77777777" w:rsidR="0054690F" w:rsidRPr="006528A7" w:rsidRDefault="0054690F" w:rsidP="003948E0">
      <w:pPr>
        <w:pStyle w:val="norm15"/>
        <w:rPr>
          <w:rFonts w:ascii="Calibri" w:eastAsia="Times New Roman" w:hAnsi="Calibri" w:cs="Calibri"/>
          <w:color w:val="000000" w:themeColor="text1"/>
          <w:szCs w:val="20"/>
        </w:rPr>
      </w:pPr>
    </w:p>
    <w:p w14:paraId="39837995" w14:textId="0B153453" w:rsidR="00530FF0" w:rsidRPr="007D3A4B" w:rsidRDefault="00530FF0" w:rsidP="0054690F">
      <w:pPr>
        <w:pStyle w:val="norm15"/>
        <w:keepNext/>
        <w:rPr>
          <w:rFonts w:ascii="Calibri" w:eastAsia="Times New Roman" w:hAnsi="Calibri" w:cs="Calibri"/>
          <w:b/>
          <w:bCs/>
          <w:color w:val="000000" w:themeColor="text1"/>
        </w:rPr>
      </w:pPr>
      <w:r w:rsidRPr="007D3A4B">
        <w:rPr>
          <w:rFonts w:ascii="Calibri" w:eastAsia="Times New Roman" w:hAnsi="Calibri" w:cs="Calibri"/>
          <w:b/>
          <w:bCs/>
          <w:color w:val="000000" w:themeColor="text1"/>
          <w:sz w:val="24"/>
        </w:rPr>
        <w:t>Shelter in Place</w:t>
      </w:r>
    </w:p>
    <w:p w14:paraId="6E5713E9" w14:textId="48CF808C" w:rsidR="00F53E23" w:rsidRDefault="007E4FEB" w:rsidP="006528A7">
      <w:pPr>
        <w:pStyle w:val="norm15"/>
        <w:rPr>
          <w:rFonts w:ascii="Calibri" w:eastAsia="Times New Roman" w:hAnsi="Calibri" w:cs="Calibri"/>
          <w:color w:val="3C3030"/>
        </w:rPr>
      </w:pPr>
      <w:r>
        <w:rPr>
          <w:rFonts w:ascii="Calibri" w:eastAsia="Times New Roman" w:hAnsi="Calibri" w:cs="Calibri"/>
          <w:color w:val="3C3030"/>
        </w:rPr>
        <w:t xml:space="preserve">At the other </w:t>
      </w:r>
      <w:r w:rsidR="00C677D6">
        <w:rPr>
          <w:rFonts w:ascii="Calibri" w:eastAsia="Times New Roman" w:hAnsi="Calibri" w:cs="Calibri"/>
          <w:color w:val="3C3030"/>
        </w:rPr>
        <w:t>end of the spectrum from sc</w:t>
      </w:r>
      <w:r w:rsidR="00A455B9">
        <w:rPr>
          <w:rFonts w:ascii="Calibri" w:eastAsia="Times New Roman" w:hAnsi="Calibri" w:cs="Calibri"/>
          <w:color w:val="3C3030"/>
        </w:rPr>
        <w:t>h</w:t>
      </w:r>
      <w:r w:rsidR="00C677D6">
        <w:rPr>
          <w:rFonts w:ascii="Calibri" w:eastAsia="Times New Roman" w:hAnsi="Calibri" w:cs="Calibri"/>
          <w:color w:val="3C3030"/>
        </w:rPr>
        <w:t xml:space="preserve">ool closures and other social distancing </w:t>
      </w:r>
      <w:r w:rsidR="00D363FF">
        <w:rPr>
          <w:rFonts w:ascii="Calibri" w:eastAsia="Times New Roman" w:hAnsi="Calibri" w:cs="Calibri"/>
          <w:color w:val="3C3030"/>
        </w:rPr>
        <w:t>measures</w:t>
      </w:r>
      <w:r w:rsidR="00AA3B7E">
        <w:rPr>
          <w:rFonts w:ascii="Calibri" w:eastAsia="Times New Roman" w:hAnsi="Calibri" w:cs="Calibri"/>
          <w:color w:val="3C3030"/>
        </w:rPr>
        <w:t xml:space="preserve"> is the potential for </w:t>
      </w:r>
      <w:r w:rsidR="000F0F4B">
        <w:rPr>
          <w:rFonts w:ascii="Calibri" w:eastAsia="Times New Roman" w:hAnsi="Calibri" w:cs="Calibri"/>
          <w:color w:val="3C3030"/>
        </w:rPr>
        <w:t xml:space="preserve">schools to </w:t>
      </w:r>
      <w:r w:rsidR="005F7AEA">
        <w:rPr>
          <w:rFonts w:ascii="Calibri" w:eastAsia="Times New Roman" w:hAnsi="Calibri" w:cs="Calibri"/>
          <w:color w:val="3C3030"/>
        </w:rPr>
        <w:t xml:space="preserve">require </w:t>
      </w:r>
      <w:r w:rsidR="000F0F4B">
        <w:rPr>
          <w:rFonts w:ascii="Calibri" w:eastAsia="Times New Roman" w:hAnsi="Calibri" w:cs="Calibri"/>
          <w:color w:val="3C3030"/>
        </w:rPr>
        <w:t>students</w:t>
      </w:r>
      <w:r w:rsidR="00A455B9">
        <w:rPr>
          <w:rFonts w:ascii="Calibri" w:eastAsia="Times New Roman" w:hAnsi="Calibri" w:cs="Calibri"/>
          <w:color w:val="3C3030"/>
        </w:rPr>
        <w:t xml:space="preserve"> and staff </w:t>
      </w:r>
      <w:r w:rsidR="007B6D98">
        <w:rPr>
          <w:rFonts w:ascii="Calibri" w:eastAsia="Times New Roman" w:hAnsi="Calibri" w:cs="Calibri"/>
          <w:color w:val="3C3030"/>
        </w:rPr>
        <w:t xml:space="preserve">to </w:t>
      </w:r>
      <w:r w:rsidR="007B6D98">
        <w:rPr>
          <w:rFonts w:ascii="Calibri" w:eastAsia="Times New Roman" w:hAnsi="Calibri" w:cs="Calibri"/>
          <w:color w:val="3C3030"/>
        </w:rPr>
        <w:t xml:space="preserve">shelter-in-place </w:t>
      </w:r>
      <w:r w:rsidR="00A455B9">
        <w:rPr>
          <w:rFonts w:ascii="Calibri" w:eastAsia="Times New Roman" w:hAnsi="Calibri" w:cs="Calibri"/>
          <w:color w:val="3C3030"/>
        </w:rPr>
        <w:t xml:space="preserve">during and immediately </w:t>
      </w:r>
      <w:r w:rsidR="007B6D98">
        <w:rPr>
          <w:rFonts w:ascii="Calibri" w:eastAsia="Times New Roman" w:hAnsi="Calibri" w:cs="Calibri"/>
          <w:color w:val="3C3030"/>
        </w:rPr>
        <w:t xml:space="preserve">after </w:t>
      </w:r>
      <w:r w:rsidR="00A455B9">
        <w:rPr>
          <w:rFonts w:ascii="Calibri" w:eastAsia="Times New Roman" w:hAnsi="Calibri" w:cs="Calibri"/>
          <w:color w:val="3C3030"/>
        </w:rPr>
        <w:t xml:space="preserve">an </w:t>
      </w:r>
      <w:r w:rsidR="007B6D98">
        <w:rPr>
          <w:rFonts w:ascii="Calibri" w:eastAsia="Times New Roman" w:hAnsi="Calibri" w:cs="Calibri"/>
          <w:color w:val="3C3030"/>
        </w:rPr>
        <w:t xml:space="preserve">emergency </w:t>
      </w:r>
      <w:r w:rsidR="00A455B9">
        <w:rPr>
          <w:rFonts w:ascii="Calibri" w:eastAsia="Times New Roman" w:hAnsi="Calibri" w:cs="Calibri"/>
          <w:color w:val="3C3030"/>
        </w:rPr>
        <w:t>event.</w:t>
      </w:r>
      <w:r w:rsidR="006F2E42">
        <w:rPr>
          <w:rFonts w:ascii="Calibri" w:eastAsia="Times New Roman" w:hAnsi="Calibri" w:cs="Calibri"/>
          <w:color w:val="3C3030"/>
        </w:rPr>
        <w:t xml:space="preserve"> </w:t>
      </w:r>
      <w:r w:rsidR="008901DB">
        <w:rPr>
          <w:rFonts w:ascii="Calibri" w:eastAsia="Times New Roman" w:hAnsi="Calibri" w:cs="Calibri"/>
          <w:color w:val="3C3030"/>
        </w:rPr>
        <w:t>Natural disasters with little advance warning such as tornadoes and eart</w:t>
      </w:r>
      <w:r w:rsidR="0084217B">
        <w:rPr>
          <w:rFonts w:ascii="Calibri" w:eastAsia="Times New Roman" w:hAnsi="Calibri" w:cs="Calibri"/>
          <w:color w:val="3C3030"/>
        </w:rPr>
        <w:t>h</w:t>
      </w:r>
      <w:r w:rsidR="008901DB">
        <w:rPr>
          <w:rFonts w:ascii="Calibri" w:eastAsia="Times New Roman" w:hAnsi="Calibri" w:cs="Calibri"/>
          <w:color w:val="3C3030"/>
        </w:rPr>
        <w:t xml:space="preserve">quakes </w:t>
      </w:r>
      <w:r w:rsidR="0084217B">
        <w:rPr>
          <w:rFonts w:ascii="Calibri" w:eastAsia="Times New Roman" w:hAnsi="Calibri" w:cs="Calibri"/>
          <w:color w:val="3C3030"/>
        </w:rPr>
        <w:t>may require persons in the school to take</w:t>
      </w:r>
      <w:r w:rsidR="005D5F4F">
        <w:rPr>
          <w:rFonts w:ascii="Calibri" w:eastAsia="Times New Roman" w:hAnsi="Calibri" w:cs="Calibri"/>
          <w:color w:val="3C3030"/>
        </w:rPr>
        <w:t xml:space="preserve"> shelter in designated areas or in classrooms and potentially remain at the school facility until cleared to leave by emergency response personnel. </w:t>
      </w:r>
      <w:r w:rsidR="00430C72">
        <w:rPr>
          <w:rFonts w:ascii="Calibri" w:eastAsia="Times New Roman" w:hAnsi="Calibri" w:cs="Calibri"/>
          <w:color w:val="3C3030"/>
        </w:rPr>
        <w:t xml:space="preserve">Similarly, active shooter </w:t>
      </w:r>
      <w:r w:rsidR="003A49E2">
        <w:rPr>
          <w:rFonts w:ascii="Calibri" w:eastAsia="Times New Roman" w:hAnsi="Calibri" w:cs="Calibri"/>
          <w:color w:val="3C3030"/>
        </w:rPr>
        <w:t xml:space="preserve">emergencies necessitate sheltering-in-place and remaining until </w:t>
      </w:r>
      <w:r w:rsidR="001F2479">
        <w:rPr>
          <w:rFonts w:ascii="Calibri" w:eastAsia="Times New Roman" w:hAnsi="Calibri" w:cs="Calibri"/>
          <w:color w:val="3C3030"/>
        </w:rPr>
        <w:t>school property and buildings are cleared by law enforcement.</w:t>
      </w:r>
      <w:r w:rsidR="007D0F8D">
        <w:rPr>
          <w:rFonts w:ascii="Calibri" w:eastAsia="Times New Roman" w:hAnsi="Calibri" w:cs="Calibri"/>
          <w:color w:val="3C3030"/>
        </w:rPr>
        <w:t xml:space="preserve"> </w:t>
      </w:r>
      <w:r w:rsidR="007D53E5">
        <w:rPr>
          <w:rFonts w:ascii="Calibri" w:eastAsia="Times New Roman" w:hAnsi="Calibri" w:cs="Calibri"/>
          <w:color w:val="3C3030"/>
        </w:rPr>
        <w:t>School officials, p</w:t>
      </w:r>
      <w:r w:rsidR="007D0F8D">
        <w:rPr>
          <w:rFonts w:ascii="Calibri" w:eastAsia="Times New Roman" w:hAnsi="Calibri" w:cs="Calibri"/>
          <w:color w:val="3C3030"/>
        </w:rPr>
        <w:t>ublic health agencies, emergency m</w:t>
      </w:r>
      <w:r w:rsidR="007D53E5">
        <w:rPr>
          <w:rFonts w:ascii="Calibri" w:eastAsia="Times New Roman" w:hAnsi="Calibri" w:cs="Calibri"/>
          <w:color w:val="3C3030"/>
        </w:rPr>
        <w:t>anagers</w:t>
      </w:r>
      <w:r w:rsidR="003F670F">
        <w:rPr>
          <w:rFonts w:ascii="Calibri" w:eastAsia="Times New Roman" w:hAnsi="Calibri" w:cs="Calibri"/>
          <w:color w:val="3C3030"/>
        </w:rPr>
        <w:t xml:space="preserve">, and law </w:t>
      </w:r>
      <w:r w:rsidR="003B5814">
        <w:rPr>
          <w:rFonts w:ascii="Calibri" w:eastAsia="Times New Roman" w:hAnsi="Calibri" w:cs="Calibri"/>
          <w:color w:val="3C3030"/>
        </w:rPr>
        <w:t>enforcement</w:t>
      </w:r>
      <w:r w:rsidR="007D53E5">
        <w:rPr>
          <w:rFonts w:ascii="Calibri" w:eastAsia="Times New Roman" w:hAnsi="Calibri" w:cs="Calibri"/>
          <w:color w:val="3C3030"/>
        </w:rPr>
        <w:t xml:space="preserve"> must all plan for and </w:t>
      </w:r>
      <w:r w:rsidR="00591041">
        <w:rPr>
          <w:rFonts w:ascii="Calibri" w:eastAsia="Times New Roman" w:hAnsi="Calibri" w:cs="Calibri"/>
          <w:color w:val="3C3030"/>
        </w:rPr>
        <w:t xml:space="preserve">undertake practice drills with students, staff, and governmental agency staff. </w:t>
      </w:r>
      <w:r w:rsidR="008F2C15">
        <w:rPr>
          <w:rFonts w:ascii="Calibri" w:eastAsia="Times New Roman" w:hAnsi="Calibri" w:cs="Calibri"/>
          <w:color w:val="3C3030"/>
        </w:rPr>
        <w:t>These plans and drills should also ide</w:t>
      </w:r>
      <w:r w:rsidR="005E2DA9">
        <w:rPr>
          <w:rFonts w:ascii="Calibri" w:eastAsia="Times New Roman" w:hAnsi="Calibri" w:cs="Calibri"/>
          <w:color w:val="3C3030"/>
        </w:rPr>
        <w:t xml:space="preserve">ntify the </w:t>
      </w:r>
      <w:r w:rsidR="002B6802">
        <w:rPr>
          <w:rFonts w:ascii="Calibri" w:eastAsia="Times New Roman" w:hAnsi="Calibri" w:cs="Calibri"/>
          <w:color w:val="3C3030"/>
        </w:rPr>
        <w:t xml:space="preserve">response steps required and </w:t>
      </w:r>
      <w:r w:rsidR="00E56B2B">
        <w:rPr>
          <w:rFonts w:ascii="Calibri" w:eastAsia="Times New Roman" w:hAnsi="Calibri" w:cs="Calibri"/>
          <w:color w:val="3C3030"/>
        </w:rPr>
        <w:t>any potential legal issues</w:t>
      </w:r>
      <w:r w:rsidR="000F619F">
        <w:rPr>
          <w:rFonts w:ascii="Calibri" w:eastAsia="Times New Roman" w:hAnsi="Calibri" w:cs="Calibri"/>
          <w:color w:val="3C3030"/>
        </w:rPr>
        <w:t xml:space="preserve"> that could arise in the situation. </w:t>
      </w:r>
      <w:r w:rsidR="004D254B">
        <w:rPr>
          <w:rFonts w:ascii="Calibri" w:eastAsia="Times New Roman" w:hAnsi="Calibri" w:cs="Calibri"/>
          <w:color w:val="3C3030"/>
        </w:rPr>
        <w:t>Anticipating pote</w:t>
      </w:r>
      <w:r w:rsidR="00D93320">
        <w:rPr>
          <w:rFonts w:ascii="Calibri" w:eastAsia="Times New Roman" w:hAnsi="Calibri" w:cs="Calibri"/>
          <w:color w:val="3C3030"/>
        </w:rPr>
        <w:t>ntial legal problems and identifying solutions in advance will help expedite the response.</w:t>
      </w:r>
    </w:p>
    <w:p w14:paraId="31403D5F" w14:textId="77777777" w:rsidR="00F53E23" w:rsidRDefault="00F53E23" w:rsidP="006528A7">
      <w:pPr>
        <w:pStyle w:val="norm15"/>
        <w:rPr>
          <w:rFonts w:ascii="Calibri" w:eastAsia="Times New Roman" w:hAnsi="Calibri" w:cs="Calibri"/>
          <w:color w:val="3C3030"/>
        </w:rPr>
      </w:pPr>
    </w:p>
    <w:p w14:paraId="5DBCE6BE" w14:textId="3A899CBD" w:rsidR="00A17F9C" w:rsidRDefault="00F53E23" w:rsidP="007F120D">
      <w:pPr>
        <w:pStyle w:val="15para"/>
      </w:pPr>
      <w:r>
        <w:rPr>
          <w:color w:val="3C3030"/>
        </w:rPr>
        <w:t xml:space="preserve">Another </w:t>
      </w:r>
      <w:r w:rsidR="00D70C8B">
        <w:rPr>
          <w:color w:val="3C3030"/>
        </w:rPr>
        <w:t>scenario in which sheltering in pla</w:t>
      </w:r>
      <w:r w:rsidR="00F70931">
        <w:rPr>
          <w:color w:val="3C3030"/>
        </w:rPr>
        <w:t>ce will be necessary is in the e</w:t>
      </w:r>
      <w:r w:rsidR="00377B33">
        <w:rPr>
          <w:color w:val="3C3030"/>
        </w:rPr>
        <w:t xml:space="preserve">vent </w:t>
      </w:r>
      <w:r w:rsidR="00F70931">
        <w:rPr>
          <w:color w:val="3C3030"/>
        </w:rPr>
        <w:t xml:space="preserve">of </w:t>
      </w:r>
      <w:r w:rsidR="00377B33">
        <w:rPr>
          <w:color w:val="3C3030"/>
        </w:rPr>
        <w:t xml:space="preserve">accidental or </w:t>
      </w:r>
      <w:r w:rsidR="00790CFF">
        <w:rPr>
          <w:color w:val="3C3030"/>
        </w:rPr>
        <w:t xml:space="preserve">intentional </w:t>
      </w:r>
      <w:r w:rsidR="00F81F98">
        <w:rPr>
          <w:color w:val="3C3030"/>
        </w:rPr>
        <w:t>detonation</w:t>
      </w:r>
      <w:r w:rsidR="0052684F">
        <w:rPr>
          <w:color w:val="3C3030"/>
        </w:rPr>
        <w:t xml:space="preserve"> or </w:t>
      </w:r>
      <w:r w:rsidR="006F324A">
        <w:rPr>
          <w:color w:val="3C3030"/>
        </w:rPr>
        <w:t xml:space="preserve">release of </w:t>
      </w:r>
      <w:r w:rsidR="00790CFF">
        <w:rPr>
          <w:color w:val="3C3030"/>
        </w:rPr>
        <w:t xml:space="preserve">radiological </w:t>
      </w:r>
      <w:r w:rsidR="006F324A">
        <w:rPr>
          <w:color w:val="3C3030"/>
        </w:rPr>
        <w:t xml:space="preserve">materials </w:t>
      </w:r>
      <w:r w:rsidR="002B6C5E">
        <w:rPr>
          <w:color w:val="3C3030"/>
        </w:rPr>
        <w:t xml:space="preserve">or </w:t>
      </w:r>
      <w:r w:rsidR="00A17F9C">
        <w:rPr>
          <w:color w:val="3C3030"/>
        </w:rPr>
        <w:t xml:space="preserve">biological agents </w:t>
      </w:r>
      <w:r w:rsidR="00487D58">
        <w:rPr>
          <w:color w:val="3C3030"/>
        </w:rPr>
        <w:t xml:space="preserve">within </w:t>
      </w:r>
      <w:r w:rsidR="007C7250">
        <w:rPr>
          <w:color w:val="3C3030"/>
        </w:rPr>
        <w:t>a specified vicinity of a school</w:t>
      </w:r>
      <w:r w:rsidR="00A17F9C">
        <w:rPr>
          <w:color w:val="3C3030"/>
        </w:rPr>
        <w:t>.</w:t>
      </w:r>
      <w:r w:rsidR="00BE5FF0">
        <w:t xml:space="preserve"> </w:t>
      </w:r>
      <w:r w:rsidR="006C5227">
        <w:t>Depending on the nature of the release</w:t>
      </w:r>
      <w:r w:rsidR="0052684F">
        <w:t xml:space="preserve"> or detonation, </w:t>
      </w:r>
      <w:r w:rsidR="003B615D">
        <w:t xml:space="preserve">physical </w:t>
      </w:r>
      <w:r w:rsidR="007A03FC">
        <w:t>and communications infrastructure</w:t>
      </w:r>
      <w:r w:rsidR="00B178B8">
        <w:t xml:space="preserve">s may </w:t>
      </w:r>
      <w:r w:rsidR="00B178B8" w:rsidRPr="007F120D">
        <w:t xml:space="preserve">be damaged. Thus, </w:t>
      </w:r>
      <w:r w:rsidR="009B53E5" w:rsidRPr="007F120D">
        <w:t>a STLT community may be isolated</w:t>
      </w:r>
      <w:r w:rsidR="00C652F2" w:rsidRPr="007F120D">
        <w:t xml:space="preserve"> in their response. Similarly, </w:t>
      </w:r>
      <w:r w:rsidR="00E04F79" w:rsidRPr="007F120D">
        <w:t>i</w:t>
      </w:r>
      <w:r w:rsidR="00E04F79" w:rsidRPr="007F120D">
        <w:t xml:space="preserve">n the hours </w:t>
      </w:r>
      <w:r w:rsidR="007F120D">
        <w:t>i</w:t>
      </w:r>
      <w:r w:rsidR="00E04F79" w:rsidRPr="007F120D">
        <w:t xml:space="preserve">mmediately after a radiation or biological agent </w:t>
      </w:r>
      <w:r w:rsidR="00CB748A" w:rsidRPr="007F120D">
        <w:t>event</w:t>
      </w:r>
      <w:r w:rsidR="00E04F79" w:rsidRPr="007F120D">
        <w:t>, emergency responders may not be able to respond to every emergency call</w:t>
      </w:r>
      <w:r w:rsidR="00CB748A" w:rsidRPr="007F120D">
        <w:t xml:space="preserve">, </w:t>
      </w:r>
      <w:r w:rsidR="008553BE" w:rsidRPr="007F120D">
        <w:t>necessitating that</w:t>
      </w:r>
      <w:r w:rsidR="00F03028" w:rsidRPr="007F120D">
        <w:t xml:space="preserve"> school officials manage the </w:t>
      </w:r>
      <w:r w:rsidR="00FA6517" w:rsidRPr="007F120D">
        <w:t>initial r</w:t>
      </w:r>
      <w:r w:rsidR="00F03028" w:rsidRPr="007F120D">
        <w:t xml:space="preserve">esponse themselves within their schools. If the radiological emergency is a nuclear detonation, the school’s protection of students’ and staff members’ health during the radioactive fallout stage is </w:t>
      </w:r>
      <w:r w:rsidR="00334E2B" w:rsidRPr="007F120D">
        <w:t>crucial</w:t>
      </w:r>
      <w:r w:rsidR="00F03028" w:rsidRPr="007F120D">
        <w:t>.</w:t>
      </w:r>
      <w:r w:rsidR="00334E2B" w:rsidRPr="003A6FBE">
        <w:rPr>
          <w:vertAlign w:val="superscript"/>
        </w:rPr>
        <w:footnoteReference w:id="5"/>
      </w:r>
      <w:r w:rsidR="00F03028" w:rsidRPr="007F120D">
        <w:t xml:space="preserve"> </w:t>
      </w:r>
      <w:r w:rsidR="00474195" w:rsidRPr="007F120D">
        <w:t xml:space="preserve">For schools situated in the </w:t>
      </w:r>
      <w:r w:rsidR="00F03028" w:rsidRPr="007F120D">
        <w:t>fallout zone, it m</w:t>
      </w:r>
      <w:r w:rsidR="00474195" w:rsidRPr="007F120D">
        <w:t xml:space="preserve">ay </w:t>
      </w:r>
      <w:r w:rsidR="00F03028" w:rsidRPr="007F120D">
        <w:t xml:space="preserve">be necessary to </w:t>
      </w:r>
      <w:r w:rsidR="00581067" w:rsidRPr="007F120D">
        <w:t xml:space="preserve">shelter in place </w:t>
      </w:r>
      <w:r w:rsidR="004C557D" w:rsidRPr="007F120D">
        <w:t xml:space="preserve">in the </w:t>
      </w:r>
      <w:r w:rsidR="00F03028" w:rsidRPr="007F120D">
        <w:t>school for up to 72 hours.</w:t>
      </w:r>
      <w:r w:rsidR="004C557D" w:rsidRPr="003A6FBE">
        <w:rPr>
          <w:vertAlign w:val="superscript"/>
        </w:rPr>
        <w:footnoteReference w:id="6"/>
      </w:r>
      <w:r w:rsidR="00F03028" w:rsidRPr="007F120D">
        <w:t xml:space="preserve"> </w:t>
      </w:r>
    </w:p>
    <w:p w14:paraId="692E5F3F" w14:textId="2F397410" w:rsidR="00530FF0" w:rsidRDefault="00530FF0" w:rsidP="006528A7">
      <w:pPr>
        <w:pStyle w:val="norm15"/>
        <w:rPr>
          <w:rFonts w:ascii="Calibri" w:eastAsia="Times New Roman" w:hAnsi="Calibri" w:cs="Calibri"/>
          <w:color w:val="3C3030"/>
        </w:rPr>
      </w:pPr>
    </w:p>
    <w:p w14:paraId="37A1E306" w14:textId="0526E485" w:rsidR="00042A7F" w:rsidRPr="002B02B7" w:rsidRDefault="00042A7F" w:rsidP="002B02B7">
      <w:pPr>
        <w:pStyle w:val="norm15"/>
        <w:rPr>
          <w:b/>
          <w:bCs/>
          <w:sz w:val="24"/>
          <w:szCs w:val="24"/>
        </w:rPr>
      </w:pPr>
      <w:r w:rsidRPr="002B02B7">
        <w:rPr>
          <w:b/>
          <w:bCs/>
          <w:sz w:val="24"/>
          <w:szCs w:val="24"/>
        </w:rPr>
        <w:lastRenderedPageBreak/>
        <w:t>Using Schools as Sites for Emergency Points of Dispensing</w:t>
      </w:r>
      <w:r w:rsidR="005B6802" w:rsidRPr="002B02B7">
        <w:rPr>
          <w:b/>
          <w:bCs/>
          <w:sz w:val="24"/>
          <w:szCs w:val="24"/>
        </w:rPr>
        <w:t xml:space="preserve"> and Vaccination</w:t>
      </w:r>
    </w:p>
    <w:p w14:paraId="67E3A2D3" w14:textId="5EAC2CBB" w:rsidR="003E5DDC" w:rsidRPr="0067225C" w:rsidRDefault="00887A02" w:rsidP="002B02B7">
      <w:pPr>
        <w:pStyle w:val="norm15"/>
        <w:rPr>
          <w:color w:val="000000" w:themeColor="text1"/>
        </w:rPr>
      </w:pPr>
      <w:r>
        <w:rPr>
          <w:color w:val="000000" w:themeColor="text1"/>
        </w:rPr>
        <w:t>Aside from a shelter</w:t>
      </w:r>
      <w:r w:rsidR="004F137E">
        <w:rPr>
          <w:color w:val="000000" w:themeColor="text1"/>
        </w:rPr>
        <w:t>-in-place scenario, school facilities are frequently identified as potential location</w:t>
      </w:r>
      <w:r w:rsidR="00D40A26">
        <w:rPr>
          <w:color w:val="000000" w:themeColor="text1"/>
        </w:rPr>
        <w:t>s</w:t>
      </w:r>
      <w:r w:rsidR="004F137E">
        <w:rPr>
          <w:color w:val="000000" w:themeColor="text1"/>
        </w:rPr>
        <w:t xml:space="preserve"> </w:t>
      </w:r>
      <w:r w:rsidR="001F116C" w:rsidRPr="00782E45">
        <w:rPr>
          <w:color w:val="000000" w:themeColor="text1"/>
        </w:rPr>
        <w:t xml:space="preserve">for </w:t>
      </w:r>
      <w:r w:rsidR="005B6802">
        <w:rPr>
          <w:color w:val="000000" w:themeColor="text1"/>
        </w:rPr>
        <w:t>emergency</w:t>
      </w:r>
      <w:r w:rsidR="004B216C">
        <w:rPr>
          <w:color w:val="000000" w:themeColor="text1"/>
        </w:rPr>
        <w:t xml:space="preserve"> </w:t>
      </w:r>
      <w:r w:rsidR="00C002E5">
        <w:rPr>
          <w:color w:val="000000" w:themeColor="text1"/>
        </w:rPr>
        <w:t xml:space="preserve">points of dispensing (PODs) for </w:t>
      </w:r>
      <w:r w:rsidR="00C07D3B">
        <w:rPr>
          <w:color w:val="000000" w:themeColor="text1"/>
        </w:rPr>
        <w:t xml:space="preserve">medical countermeasures </w:t>
      </w:r>
      <w:r w:rsidR="009A0B1C">
        <w:rPr>
          <w:color w:val="000000" w:themeColor="text1"/>
        </w:rPr>
        <w:t xml:space="preserve">and vaccination </w:t>
      </w:r>
      <w:r w:rsidR="00420FA2">
        <w:rPr>
          <w:color w:val="000000" w:themeColor="text1"/>
        </w:rPr>
        <w:t>during or in the aftermath of an</w:t>
      </w:r>
      <w:r w:rsidR="001F116C" w:rsidRPr="00782E45">
        <w:rPr>
          <w:color w:val="000000" w:themeColor="text1"/>
        </w:rPr>
        <w:t xml:space="preserve"> emergency events.</w:t>
      </w:r>
      <w:r w:rsidR="003E5DDC">
        <w:rPr>
          <w:color w:val="000000" w:themeColor="text1"/>
        </w:rPr>
        <w:t xml:space="preserve"> </w:t>
      </w:r>
      <w:r w:rsidR="003E5DDC" w:rsidRPr="00782E45">
        <w:rPr>
          <w:color w:val="000000" w:themeColor="text1"/>
        </w:rPr>
        <w:t xml:space="preserve">School facilities are the largest gathering space in some communities and therefore frequently used for </w:t>
      </w:r>
      <w:r w:rsidR="003E5DDC" w:rsidRPr="009B5E53">
        <w:rPr>
          <w:color w:val="000000" w:themeColor="text1"/>
        </w:rPr>
        <w:t>vaccination</w:t>
      </w:r>
      <w:r w:rsidR="003E5DDC" w:rsidRPr="00782E45">
        <w:rPr>
          <w:color w:val="000000" w:themeColor="text1"/>
        </w:rPr>
        <w:t xml:space="preserve"> clinics and other emergency response activities</w:t>
      </w:r>
      <w:r w:rsidR="009B5E53">
        <w:rPr>
          <w:color w:val="000000" w:themeColor="text1"/>
        </w:rPr>
        <w:t>.</w:t>
      </w:r>
      <w:r w:rsidR="009B5E53">
        <w:rPr>
          <w:rStyle w:val="FootnoteReference"/>
          <w:color w:val="000000" w:themeColor="text1"/>
        </w:rPr>
        <w:footnoteReference w:id="7"/>
      </w:r>
      <w:r w:rsidR="009B5E53">
        <w:rPr>
          <w:color w:val="000000" w:themeColor="text1"/>
        </w:rPr>
        <w:t xml:space="preserve"> </w:t>
      </w:r>
      <w:r w:rsidR="003E5DDC" w:rsidRPr="00782E45">
        <w:rPr>
          <w:color w:val="000000" w:themeColor="text1"/>
        </w:rPr>
        <w:t xml:space="preserve">The shared goal of public health and education authorities is to protect children and their communities from health threats. Yet, because of the unique nature of each state’s and locality’s laws governing health and education authorities, the legal requirements governing the issues discussed here will be different in each jurisdiction. Many, if not all, of these issues have been addressed in state and local emergency response or pandemic response plans and subsequent amendments. </w:t>
      </w:r>
    </w:p>
    <w:p w14:paraId="44DCF496" w14:textId="77777777" w:rsidR="001F116C" w:rsidRPr="00EC3ACD" w:rsidRDefault="001F116C" w:rsidP="002B02B7">
      <w:pPr>
        <w:pStyle w:val="norm15"/>
        <w:rPr>
          <w:color w:val="000000" w:themeColor="text1"/>
        </w:rPr>
      </w:pPr>
    </w:p>
    <w:p w14:paraId="6B9FF33C" w14:textId="77777777" w:rsidR="001F116C" w:rsidRPr="00F47C7E" w:rsidRDefault="001F116C" w:rsidP="002B02B7">
      <w:pPr>
        <w:pStyle w:val="norm15"/>
        <w:rPr>
          <w:b/>
          <w:bCs/>
          <w:sz w:val="24"/>
          <w:szCs w:val="24"/>
        </w:rPr>
      </w:pPr>
      <w:r w:rsidRPr="00F47C7E">
        <w:rPr>
          <w:b/>
          <w:bCs/>
          <w:sz w:val="24"/>
          <w:szCs w:val="24"/>
        </w:rPr>
        <w:t>Using a School Site</w:t>
      </w:r>
    </w:p>
    <w:p w14:paraId="72432F58" w14:textId="53B615E1" w:rsidR="001F116C" w:rsidRPr="007030A0" w:rsidRDefault="001F116C" w:rsidP="002B02B7">
      <w:pPr>
        <w:pStyle w:val="norm15"/>
        <w:rPr>
          <w:color w:val="000000" w:themeColor="text1"/>
          <w:vertAlign w:val="superscript"/>
        </w:rPr>
      </w:pPr>
      <w:r w:rsidRPr="00782E45">
        <w:rPr>
          <w:color w:val="000000" w:themeColor="text1"/>
        </w:rPr>
        <w:t xml:space="preserve">The decision to use a school as a site involves </w:t>
      </w:r>
      <w:proofErr w:type="gramStart"/>
      <w:r w:rsidRPr="00782E45">
        <w:rPr>
          <w:color w:val="000000" w:themeColor="text1"/>
        </w:rPr>
        <w:t>a number of</w:t>
      </w:r>
      <w:proofErr w:type="gramEnd"/>
      <w:r w:rsidRPr="00782E45">
        <w:rPr>
          <w:color w:val="000000" w:themeColor="text1"/>
        </w:rPr>
        <w:t xml:space="preserve"> considerations, including the legal authority and permissions required to use the site and liability and immunity concerns. Logistical considerations such as the suitability of the site to host the intended event are also important planning factors but beyond the scope of this document.</w:t>
      </w:r>
      <w:r w:rsidR="003A6B4F">
        <w:rPr>
          <w:rStyle w:val="FootnoteReference"/>
          <w:color w:val="000000" w:themeColor="text1"/>
        </w:rPr>
        <w:footnoteReference w:id="8"/>
      </w:r>
    </w:p>
    <w:p w14:paraId="167C2833" w14:textId="77777777" w:rsidR="001F116C" w:rsidRPr="0067225C" w:rsidRDefault="001F116C" w:rsidP="002B02B7">
      <w:pPr>
        <w:pStyle w:val="norm15"/>
        <w:rPr>
          <w:color w:val="000000" w:themeColor="text1"/>
        </w:rPr>
      </w:pPr>
    </w:p>
    <w:p w14:paraId="341EEF4A" w14:textId="77777777" w:rsidR="001F116C" w:rsidRPr="00692ACC" w:rsidRDefault="001F116C" w:rsidP="002B02B7">
      <w:pPr>
        <w:pStyle w:val="norm15"/>
        <w:rPr>
          <w:b/>
          <w:bCs/>
          <w:color w:val="000000" w:themeColor="text1"/>
        </w:rPr>
      </w:pPr>
      <w:r w:rsidRPr="00692ACC">
        <w:rPr>
          <w:b/>
          <w:bCs/>
          <w:color w:val="000000" w:themeColor="text1"/>
        </w:rPr>
        <w:t>Legal Authority</w:t>
      </w:r>
    </w:p>
    <w:p w14:paraId="134E8C5B" w14:textId="1F76C059" w:rsidR="001F116C" w:rsidRPr="00782E45" w:rsidRDefault="001F116C" w:rsidP="002B02B7">
      <w:pPr>
        <w:pStyle w:val="norm15"/>
        <w:rPr>
          <w:color w:val="000000" w:themeColor="text1"/>
        </w:rPr>
      </w:pPr>
      <w:r w:rsidRPr="00782E45">
        <w:rPr>
          <w:color w:val="000000" w:themeColor="text1"/>
        </w:rPr>
        <w:t xml:space="preserve">The planning decision to conduct </w:t>
      </w:r>
      <w:r w:rsidR="00EF4715">
        <w:rPr>
          <w:color w:val="000000" w:themeColor="text1"/>
        </w:rPr>
        <w:t xml:space="preserve">POD or </w:t>
      </w:r>
      <w:r w:rsidR="00731ED8">
        <w:rPr>
          <w:color w:val="000000" w:themeColor="text1"/>
        </w:rPr>
        <w:t xml:space="preserve">emergency </w:t>
      </w:r>
      <w:r w:rsidR="00EF4715">
        <w:rPr>
          <w:color w:val="000000" w:themeColor="text1"/>
        </w:rPr>
        <w:t>vaccination</w:t>
      </w:r>
      <w:r w:rsidRPr="00782E45">
        <w:rPr>
          <w:color w:val="000000" w:themeColor="text1"/>
        </w:rPr>
        <w:t xml:space="preserve"> activities at a school is generally a joint one between school and health officials; the legal and operational details to accomplish the plan must also be factored into the decision-making process. The nature of the school as publicly or privately owned affects the authority to use the site. In public schools, questions about the authority to use the school are </w:t>
      </w:r>
      <w:proofErr w:type="gramStart"/>
      <w:r w:rsidRPr="00782E45">
        <w:rPr>
          <w:color w:val="000000" w:themeColor="text1"/>
        </w:rPr>
        <w:t>fairly straightforward</w:t>
      </w:r>
      <w:proofErr w:type="gramEnd"/>
      <w:r w:rsidRPr="00782E45">
        <w:rPr>
          <w:color w:val="000000" w:themeColor="text1"/>
        </w:rPr>
        <w:t xml:space="preserve">. However, depending on state and local laws, authority to locate a </w:t>
      </w:r>
      <w:r w:rsidR="00731ED8">
        <w:rPr>
          <w:color w:val="000000" w:themeColor="text1"/>
        </w:rPr>
        <w:t xml:space="preserve">POD or emergency </w:t>
      </w:r>
      <w:r w:rsidRPr="00782E45">
        <w:rPr>
          <w:color w:val="000000" w:themeColor="text1"/>
        </w:rPr>
        <w:t xml:space="preserve">vaccination clinic at a school may rest with state or local education authorities or boards of education rather than health officials Staffing and the scope of persons served at the </w:t>
      </w:r>
      <w:r w:rsidR="00587D6B">
        <w:rPr>
          <w:color w:val="000000" w:themeColor="text1"/>
        </w:rPr>
        <w:t>site</w:t>
      </w:r>
      <w:r w:rsidRPr="00782E45">
        <w:rPr>
          <w:color w:val="000000" w:themeColor="text1"/>
        </w:rPr>
        <w:t xml:space="preserve"> (discussed </w:t>
      </w:r>
      <w:r w:rsidRPr="00782E45">
        <w:rPr>
          <w:color w:val="000000" w:themeColor="text1"/>
        </w:rPr>
        <w:lastRenderedPageBreak/>
        <w:t>below) are additional factors that influence the legal analysis.</w:t>
      </w:r>
      <w:r w:rsidR="00C76328">
        <w:rPr>
          <w:color w:val="000000" w:themeColor="text1"/>
        </w:rPr>
        <w:t xml:space="preserve"> </w:t>
      </w:r>
      <w:r w:rsidRPr="00782E45">
        <w:rPr>
          <w:color w:val="000000" w:themeColor="text1"/>
        </w:rPr>
        <w:t>Where a school is privately owned, the decision rests with the school administration or the school’s board; a public health agency may or may not be involved with the</w:t>
      </w:r>
      <w:r w:rsidR="00C76328">
        <w:rPr>
          <w:color w:val="000000" w:themeColor="text1"/>
        </w:rPr>
        <w:t xml:space="preserve"> site’s activities</w:t>
      </w:r>
      <w:r w:rsidRPr="00782E45">
        <w:rPr>
          <w:color w:val="000000" w:themeColor="text1"/>
        </w:rPr>
        <w:t xml:space="preserve">. As with public schools, factors influencing the legal analysis of authority and liability issues for </w:t>
      </w:r>
      <w:r w:rsidR="00DF2646">
        <w:rPr>
          <w:color w:val="000000" w:themeColor="text1"/>
        </w:rPr>
        <w:t>sites</w:t>
      </w:r>
      <w:r w:rsidRPr="00782E45">
        <w:rPr>
          <w:color w:val="000000" w:themeColor="text1"/>
        </w:rPr>
        <w:t xml:space="preserve"> at private schools include who staffs the </w:t>
      </w:r>
      <w:r w:rsidR="00DF2646">
        <w:rPr>
          <w:color w:val="000000" w:themeColor="text1"/>
        </w:rPr>
        <w:t>site</w:t>
      </w:r>
      <w:r w:rsidRPr="00782E45">
        <w:rPr>
          <w:color w:val="000000" w:themeColor="text1"/>
        </w:rPr>
        <w:t xml:space="preserve"> and the scope of persons served</w:t>
      </w:r>
      <w:r w:rsidR="00DF2646">
        <w:rPr>
          <w:color w:val="000000" w:themeColor="text1"/>
        </w:rPr>
        <w:t xml:space="preserve"> (i.e., students/staff</w:t>
      </w:r>
      <w:r w:rsidR="00B62626">
        <w:rPr>
          <w:color w:val="000000" w:themeColor="text1"/>
        </w:rPr>
        <w:t xml:space="preserve"> only or community at large).</w:t>
      </w:r>
    </w:p>
    <w:p w14:paraId="4FA916E9" w14:textId="77777777" w:rsidR="00587D6B" w:rsidRDefault="00587D6B" w:rsidP="002B02B7">
      <w:pPr>
        <w:pStyle w:val="norm15"/>
        <w:rPr>
          <w:color w:val="000000" w:themeColor="text1"/>
        </w:rPr>
      </w:pPr>
    </w:p>
    <w:p w14:paraId="476B4CFC" w14:textId="395C8FF3" w:rsidR="001F116C" w:rsidRPr="00782E45" w:rsidRDefault="001F116C" w:rsidP="002B02B7">
      <w:pPr>
        <w:pStyle w:val="norm15"/>
        <w:rPr>
          <w:color w:val="000000" w:themeColor="text1"/>
        </w:rPr>
      </w:pPr>
      <w:r w:rsidRPr="00782E45">
        <w:rPr>
          <w:color w:val="000000" w:themeColor="text1"/>
        </w:rPr>
        <w:t xml:space="preserve">A state or local declaration of emergency can also affect the legal authorities related to the siting (and other aspects) of a school-based </w:t>
      </w:r>
      <w:r w:rsidR="00B62626">
        <w:rPr>
          <w:color w:val="000000" w:themeColor="text1"/>
        </w:rPr>
        <w:t xml:space="preserve">POD or emergency </w:t>
      </w:r>
      <w:r w:rsidRPr="00782E45">
        <w:rPr>
          <w:color w:val="000000" w:themeColor="text1"/>
        </w:rPr>
        <w:t xml:space="preserve">vaccination clinic. An emergency declaration by a governor/mayor can provide public health officials with additional authorities as well as activate emergency response or pandemic plans. Thus, emergency plans could designate school facilities as vaccination and medication sites or mass care facilities and activate predetermined staffing and operations plans. Again, depending on a jurisdiction’s laws, emergency declarations may or may not authorize health officials to make decisions regarding education facilities; this authority may continue to reside with education officials or revert to the chief executive (e.g., governor, mayor). </w:t>
      </w:r>
    </w:p>
    <w:p w14:paraId="7A7535C9" w14:textId="77777777" w:rsidR="001F116C" w:rsidRPr="0067225C" w:rsidRDefault="001F116C" w:rsidP="002B02B7">
      <w:pPr>
        <w:pStyle w:val="norm15"/>
        <w:rPr>
          <w:color w:val="000000" w:themeColor="text1"/>
        </w:rPr>
      </w:pPr>
    </w:p>
    <w:p w14:paraId="7D9D62D7" w14:textId="77777777" w:rsidR="001F116C" w:rsidRPr="001208FC" w:rsidRDefault="001F116C" w:rsidP="002B02B7">
      <w:pPr>
        <w:pStyle w:val="norm15"/>
        <w:rPr>
          <w:b/>
          <w:bCs/>
          <w:color w:val="000000" w:themeColor="text1"/>
        </w:rPr>
      </w:pPr>
      <w:r w:rsidRPr="001208FC">
        <w:rPr>
          <w:b/>
          <w:bCs/>
          <w:color w:val="000000" w:themeColor="text1"/>
        </w:rPr>
        <w:t>Site Liability and Immunity Issues</w:t>
      </w:r>
    </w:p>
    <w:p w14:paraId="19E5D801" w14:textId="2845252C" w:rsidR="001F116C" w:rsidRDefault="001F116C" w:rsidP="002B02B7">
      <w:pPr>
        <w:pStyle w:val="norm15"/>
        <w:rPr>
          <w:color w:val="000000" w:themeColor="text1"/>
        </w:rPr>
      </w:pPr>
      <w:r w:rsidRPr="00782E45">
        <w:rPr>
          <w:color w:val="000000" w:themeColor="text1"/>
        </w:rPr>
        <w:t xml:space="preserve">The school hosting a </w:t>
      </w:r>
      <w:r w:rsidR="001208FC">
        <w:rPr>
          <w:color w:val="000000" w:themeColor="text1"/>
        </w:rPr>
        <w:t xml:space="preserve">POD or emergency </w:t>
      </w:r>
      <w:r w:rsidRPr="00782E45">
        <w:rPr>
          <w:color w:val="000000" w:themeColor="text1"/>
        </w:rPr>
        <w:t>vaccination clinic on site is subject to potential liabilities and may be eligible for certain immunities, depending on the nature of the facility (public vs. private), the scope of persons served (students only vs. general public), the persons staffing the clinic (public employees, school employees, volunteers, etc.), and whether or not an emergency declaration is in place.</w:t>
      </w:r>
    </w:p>
    <w:p w14:paraId="219C689F" w14:textId="77777777" w:rsidR="001F116C" w:rsidRPr="00782E45" w:rsidRDefault="001F116C" w:rsidP="002B02B7">
      <w:pPr>
        <w:pStyle w:val="norm15"/>
        <w:rPr>
          <w:color w:val="000000" w:themeColor="text1"/>
        </w:rPr>
      </w:pPr>
    </w:p>
    <w:p w14:paraId="08664F77" w14:textId="3DC23E45" w:rsidR="001F116C" w:rsidRPr="00A36151" w:rsidRDefault="001F116C" w:rsidP="002B02B7">
      <w:pPr>
        <w:pStyle w:val="norm15"/>
        <w:rPr>
          <w:b/>
          <w:bCs/>
          <w:sz w:val="24"/>
          <w:szCs w:val="24"/>
        </w:rPr>
      </w:pPr>
      <w:r w:rsidRPr="00A36151">
        <w:rPr>
          <w:b/>
          <w:bCs/>
          <w:sz w:val="24"/>
          <w:szCs w:val="24"/>
        </w:rPr>
        <w:t>Staffing the Site</w:t>
      </w:r>
    </w:p>
    <w:p w14:paraId="58034871" w14:textId="6E72AAC1" w:rsidR="001F116C" w:rsidRPr="003B5359" w:rsidRDefault="001F116C" w:rsidP="002B02B7">
      <w:pPr>
        <w:pStyle w:val="norm15"/>
        <w:rPr>
          <w:color w:val="000000" w:themeColor="text1"/>
        </w:rPr>
      </w:pPr>
      <w:r w:rsidRPr="00782E45">
        <w:rPr>
          <w:color w:val="000000" w:themeColor="text1"/>
        </w:rPr>
        <w:t xml:space="preserve">Determining the staffing requirements for </w:t>
      </w:r>
      <w:r w:rsidR="005E6AA0">
        <w:rPr>
          <w:color w:val="000000" w:themeColor="text1"/>
        </w:rPr>
        <w:t>site</w:t>
      </w:r>
      <w:r w:rsidRPr="00782E45">
        <w:rPr>
          <w:color w:val="000000" w:themeColor="text1"/>
        </w:rPr>
        <w:t xml:space="preserve"> activities will depend on the number and types of persons to be served</w:t>
      </w:r>
      <w:r w:rsidR="005E6AA0">
        <w:rPr>
          <w:color w:val="000000" w:themeColor="text1"/>
        </w:rPr>
        <w:t xml:space="preserve"> in the location</w:t>
      </w:r>
      <w:r w:rsidRPr="00782E45">
        <w:rPr>
          <w:color w:val="000000" w:themeColor="text1"/>
        </w:rPr>
        <w:t xml:space="preserve">. Depending on the size of the </w:t>
      </w:r>
      <w:r w:rsidR="00AB3E2F">
        <w:rPr>
          <w:color w:val="000000" w:themeColor="text1"/>
        </w:rPr>
        <w:t>school site</w:t>
      </w:r>
      <w:r w:rsidRPr="00782E45">
        <w:rPr>
          <w:color w:val="000000" w:themeColor="text1"/>
        </w:rPr>
        <w:t xml:space="preserve">, staffing </w:t>
      </w:r>
      <w:r w:rsidR="00AB3E2F">
        <w:rPr>
          <w:color w:val="000000" w:themeColor="text1"/>
        </w:rPr>
        <w:t>can</w:t>
      </w:r>
      <w:r w:rsidRPr="00782E45">
        <w:rPr>
          <w:color w:val="000000" w:themeColor="text1"/>
        </w:rPr>
        <w:t xml:space="preserve"> involve a mix of medical and nonmedical personnel from the individual school, school district, and public health agencies, as well as contractors and volunteers. These personnel will perform a variety of functions including greeting, registering, educating, and screening </w:t>
      </w:r>
      <w:r w:rsidR="00CB7897">
        <w:rPr>
          <w:color w:val="000000" w:themeColor="text1"/>
        </w:rPr>
        <w:t>attendees</w:t>
      </w:r>
      <w:r w:rsidRPr="00782E45">
        <w:rPr>
          <w:color w:val="000000" w:themeColor="text1"/>
        </w:rPr>
        <w:t>, administering</w:t>
      </w:r>
      <w:r w:rsidR="00CB7897">
        <w:rPr>
          <w:color w:val="000000" w:themeColor="text1"/>
        </w:rPr>
        <w:t xml:space="preserve"> c</w:t>
      </w:r>
      <w:r w:rsidR="007654D7">
        <w:rPr>
          <w:color w:val="000000" w:themeColor="text1"/>
        </w:rPr>
        <w:t xml:space="preserve">ountermeasure or </w:t>
      </w:r>
      <w:r w:rsidRPr="00782E45">
        <w:rPr>
          <w:color w:val="000000" w:themeColor="text1"/>
        </w:rPr>
        <w:t>vaccines, and providing security and emergency medical services as needed.</w:t>
      </w:r>
      <w:r w:rsidR="003B5359">
        <w:rPr>
          <w:rStyle w:val="FootnoteReference"/>
          <w:color w:val="000000" w:themeColor="text1"/>
        </w:rPr>
        <w:footnoteReference w:id="9"/>
      </w:r>
      <w:r w:rsidR="007654D7">
        <w:rPr>
          <w:color w:val="000000" w:themeColor="text1"/>
        </w:rPr>
        <w:t xml:space="preserve"> </w:t>
      </w:r>
      <w:r w:rsidRPr="00782E45">
        <w:rPr>
          <w:color w:val="000000" w:themeColor="text1"/>
        </w:rPr>
        <w:t xml:space="preserve">Clinics may also have staff </w:t>
      </w:r>
      <w:r w:rsidRPr="00782E45">
        <w:rPr>
          <w:color w:val="000000" w:themeColor="text1"/>
        </w:rPr>
        <w:lastRenderedPageBreak/>
        <w:t>who can act as translators for persons who are not fluent in English. Some schools or districts require by law or by policy that school personnel, contractors, volunteers, and other persons working on site undergo background checks.</w:t>
      </w:r>
      <w:r w:rsidR="003B5359">
        <w:rPr>
          <w:rStyle w:val="FootnoteReference"/>
          <w:color w:val="000000" w:themeColor="text1"/>
        </w:rPr>
        <w:footnoteReference w:id="10"/>
      </w:r>
      <w:r w:rsidR="003B5359">
        <w:rPr>
          <w:color w:val="000000" w:themeColor="text1"/>
          <w:bdr w:val="none" w:sz="0" w:space="0" w:color="auto" w:frame="1"/>
        </w:rPr>
        <w:t xml:space="preserve"> </w:t>
      </w:r>
      <w:r w:rsidRPr="00782E45">
        <w:rPr>
          <w:color w:val="000000" w:themeColor="text1"/>
        </w:rPr>
        <w:t xml:space="preserve">Finally, </w:t>
      </w:r>
      <w:r w:rsidR="007654D7">
        <w:rPr>
          <w:color w:val="000000" w:themeColor="text1"/>
        </w:rPr>
        <w:t>site</w:t>
      </w:r>
      <w:r w:rsidRPr="00782E45">
        <w:rPr>
          <w:color w:val="000000" w:themeColor="text1"/>
        </w:rPr>
        <w:t xml:space="preserve"> may require reference to the collective bargaining agreements of staff represented by unions. Changes in workers’ duties or the timing of the </w:t>
      </w:r>
      <w:r w:rsidR="007654D7">
        <w:rPr>
          <w:color w:val="000000" w:themeColor="text1"/>
        </w:rPr>
        <w:t>event</w:t>
      </w:r>
      <w:r w:rsidRPr="00782E45">
        <w:rPr>
          <w:color w:val="000000" w:themeColor="text1"/>
        </w:rPr>
        <w:t xml:space="preserve"> either during school hours or before or after school hours may affect work rules, compensation, or benefits.</w:t>
      </w:r>
      <w:r w:rsidR="003B5359">
        <w:rPr>
          <w:rStyle w:val="FootnoteReference"/>
          <w:color w:val="000000" w:themeColor="text1"/>
        </w:rPr>
        <w:footnoteReference w:id="11"/>
      </w:r>
    </w:p>
    <w:p w14:paraId="10FF0A72" w14:textId="77777777" w:rsidR="001F116C" w:rsidRPr="0067225C" w:rsidRDefault="001F116C" w:rsidP="002B02B7">
      <w:pPr>
        <w:pStyle w:val="norm15"/>
        <w:rPr>
          <w:color w:val="000000" w:themeColor="text1"/>
        </w:rPr>
      </w:pPr>
    </w:p>
    <w:p w14:paraId="23406067" w14:textId="77777777" w:rsidR="001F116C" w:rsidRPr="00CC294B" w:rsidRDefault="001F116C" w:rsidP="002B02B7">
      <w:pPr>
        <w:pStyle w:val="norm15"/>
        <w:rPr>
          <w:b/>
          <w:bCs/>
          <w:color w:val="000000" w:themeColor="text1"/>
          <w:sz w:val="24"/>
          <w:szCs w:val="24"/>
        </w:rPr>
      </w:pPr>
      <w:r w:rsidRPr="00CC294B">
        <w:rPr>
          <w:b/>
          <w:bCs/>
          <w:color w:val="000000" w:themeColor="text1"/>
          <w:sz w:val="24"/>
          <w:szCs w:val="24"/>
        </w:rPr>
        <w:t>Scope of Practice and Licensing</w:t>
      </w:r>
    </w:p>
    <w:p w14:paraId="77BF109A" w14:textId="5039F45C" w:rsidR="001F116C" w:rsidRPr="0067225C" w:rsidRDefault="001F116C" w:rsidP="002B02B7">
      <w:pPr>
        <w:pStyle w:val="norm15"/>
        <w:rPr>
          <w:color w:val="000000" w:themeColor="text1"/>
        </w:rPr>
      </w:pPr>
      <w:r w:rsidRPr="00782E45">
        <w:rPr>
          <w:color w:val="000000" w:themeColor="text1"/>
        </w:rPr>
        <w:t xml:space="preserve">Those staffing the </w:t>
      </w:r>
      <w:r w:rsidR="00CC294B">
        <w:rPr>
          <w:color w:val="000000" w:themeColor="text1"/>
        </w:rPr>
        <w:t>site</w:t>
      </w:r>
      <w:r w:rsidRPr="00782E45">
        <w:rPr>
          <w:color w:val="000000" w:themeColor="text1"/>
        </w:rPr>
        <w:t xml:space="preserve"> who are licensed healthcare professionals are subject to scope of practice requirements that govern the types of tasks they are permitted to perform during the clinic. If healthcare personnel engage in activities beyond those permitted to their profession (e.g., EMT, nurse, etc.), then they expose themselves to possible malpractice claims. Scope of practice issues are especially of concern during public health and other emergency events when the numbers of skilled health personnel may be in short supply relative to the demands of the event. Many states and localities have expanded the scope of practice during emergencies for some licensed health professions to bolster the number of health personnel available to respond. Where volunteers or contractors are licensed in another state, there may be differences in the allowed scope of practice; mutual aid agreements and contracts (discussed below) can be used to recognize and specify the scope of practice permitted to volunteers.</w:t>
      </w:r>
    </w:p>
    <w:p w14:paraId="77ECE532" w14:textId="77777777" w:rsidR="001F116C" w:rsidRPr="00782E45" w:rsidRDefault="001F116C" w:rsidP="002B02B7">
      <w:pPr>
        <w:pStyle w:val="norm15"/>
        <w:rPr>
          <w:color w:val="000000" w:themeColor="text1"/>
        </w:rPr>
      </w:pPr>
    </w:p>
    <w:p w14:paraId="562195BD" w14:textId="77777777" w:rsidR="001F116C" w:rsidRPr="00B8662F" w:rsidRDefault="001F116C" w:rsidP="002B02B7">
      <w:pPr>
        <w:pStyle w:val="norm15"/>
        <w:rPr>
          <w:b/>
          <w:bCs/>
          <w:color w:val="000000" w:themeColor="text1"/>
          <w:sz w:val="24"/>
          <w:szCs w:val="24"/>
        </w:rPr>
      </w:pPr>
      <w:r w:rsidRPr="00B8662F">
        <w:rPr>
          <w:b/>
          <w:bCs/>
          <w:color w:val="000000" w:themeColor="text1"/>
          <w:sz w:val="24"/>
          <w:szCs w:val="24"/>
        </w:rPr>
        <w:t>Staffing Liability and Immunity Issues</w:t>
      </w:r>
    </w:p>
    <w:p w14:paraId="617A671F" w14:textId="5108D22E" w:rsidR="001F116C" w:rsidRPr="00782E45" w:rsidRDefault="001F116C" w:rsidP="002B02B7">
      <w:pPr>
        <w:pStyle w:val="norm15"/>
        <w:rPr>
          <w:color w:val="000000" w:themeColor="text1"/>
        </w:rPr>
      </w:pPr>
      <w:r w:rsidRPr="00782E45">
        <w:rPr>
          <w:color w:val="000000" w:themeColor="text1"/>
        </w:rPr>
        <w:t>Persons staffing</w:t>
      </w:r>
      <w:r w:rsidR="00B8662F">
        <w:rPr>
          <w:color w:val="000000" w:themeColor="text1"/>
        </w:rPr>
        <w:t xml:space="preserve"> POD sites and emergency</w:t>
      </w:r>
      <w:r w:rsidRPr="00782E45">
        <w:rPr>
          <w:color w:val="000000" w:themeColor="text1"/>
        </w:rPr>
        <w:t xml:space="preserve"> vaccination clinics or otherwise involved in emergency response activities frequently voice concerns about potential liabilities for them and their organizations arising from their participation in an event or response. Potential liabilities include, among others, malpractice, negligence, premise liability, and other forms of tort liability. However, many liability concerns have </w:t>
      </w:r>
      <w:r w:rsidR="003D2D91">
        <w:rPr>
          <w:color w:val="000000" w:themeColor="text1"/>
        </w:rPr>
        <w:t xml:space="preserve">now </w:t>
      </w:r>
      <w:r w:rsidRPr="00782E45">
        <w:rPr>
          <w:color w:val="000000" w:themeColor="text1"/>
        </w:rPr>
        <w:t xml:space="preserve">been addressed in a range of state and federal laws. These laws provide liability protections to reflect the nature of emergency response activities, including, but not limited to, the use of volunteers and persons responding across state lines. An emergency declaration by a governor may </w:t>
      </w:r>
      <w:r w:rsidRPr="00782E45">
        <w:rPr>
          <w:color w:val="000000" w:themeColor="text1"/>
        </w:rPr>
        <w:lastRenderedPageBreak/>
        <w:t xml:space="preserve">activate additional legal protections for persons involved in responding to an emergency event. The following list highlights some of the liability protections </w:t>
      </w:r>
      <w:r w:rsidR="00BB6358" w:rsidRPr="00782E45">
        <w:rPr>
          <w:color w:val="000000" w:themeColor="text1"/>
        </w:rPr>
        <w:t>available but</w:t>
      </w:r>
      <w:r w:rsidRPr="00782E45">
        <w:rPr>
          <w:color w:val="000000" w:themeColor="text1"/>
        </w:rPr>
        <w:t xml:space="preserve"> is not an exhaustive list.</w:t>
      </w:r>
    </w:p>
    <w:p w14:paraId="3289C31A" w14:textId="77777777" w:rsidR="00BB6358" w:rsidRDefault="00BB6358" w:rsidP="002B02B7">
      <w:pPr>
        <w:pStyle w:val="norm15"/>
        <w:rPr>
          <w:i/>
          <w:iCs/>
          <w:color w:val="000000" w:themeColor="text1"/>
          <w:bdr w:val="none" w:sz="0" w:space="0" w:color="auto" w:frame="1"/>
        </w:rPr>
      </w:pPr>
    </w:p>
    <w:p w14:paraId="2FD30CF2" w14:textId="5A741656" w:rsidR="001F116C" w:rsidRPr="00BB6358" w:rsidRDefault="001F116C" w:rsidP="002B02B7">
      <w:pPr>
        <w:pStyle w:val="norm15"/>
        <w:rPr>
          <w:b/>
          <w:bCs/>
          <w:color w:val="000000" w:themeColor="text1"/>
        </w:rPr>
      </w:pPr>
      <w:r w:rsidRPr="00BB6358">
        <w:rPr>
          <w:b/>
          <w:bCs/>
          <w:i/>
          <w:iCs/>
          <w:color w:val="000000" w:themeColor="text1"/>
          <w:bdr w:val="none" w:sz="0" w:space="0" w:color="auto" w:frame="1"/>
        </w:rPr>
        <w:t>Governmental Immunity</w:t>
      </w:r>
    </w:p>
    <w:p w14:paraId="4EA45CFB" w14:textId="6A0E7876" w:rsidR="001F116C" w:rsidRDefault="001F116C" w:rsidP="002B02B7">
      <w:pPr>
        <w:pStyle w:val="norm15"/>
        <w:rPr>
          <w:color w:val="000000" w:themeColor="text1"/>
        </w:rPr>
      </w:pPr>
      <w:r w:rsidRPr="00782E45">
        <w:rPr>
          <w:color w:val="000000" w:themeColor="text1"/>
        </w:rPr>
        <w:t xml:space="preserve">Governmental or sovereign immunity is a traditional legal theory of immunity that holds that a government or its employees cannot be sued for injuries to others that occurred </w:t>
      </w:r>
      <w:proofErr w:type="gramStart"/>
      <w:r w:rsidRPr="00782E45">
        <w:rPr>
          <w:color w:val="000000" w:themeColor="text1"/>
        </w:rPr>
        <w:t>in the course of</w:t>
      </w:r>
      <w:proofErr w:type="gramEnd"/>
      <w:r w:rsidRPr="00782E45">
        <w:rPr>
          <w:color w:val="000000" w:themeColor="text1"/>
        </w:rPr>
        <w:t xml:space="preserve"> official duties. Governments can waive governmental immunity through tort claims acts to allow injured parties to seek compensation in certain circumstances, such as when the government is acting like a private citizen or when an employee engages in willful, wanton, or criminal behavior. Governmental immunity laws can vary by state and locality as to the types of protections available and the persons and activities covered. Public school, health agency staff, and other public employees, as well as contractors and volunteers made temporary government employees, may be covered under a theory of governmental immunity absent any disqualifying activity like gross or willful negligence.</w:t>
      </w:r>
    </w:p>
    <w:p w14:paraId="483033AA" w14:textId="77777777" w:rsidR="00BB6358" w:rsidRPr="00782E45" w:rsidRDefault="00BB6358" w:rsidP="002B02B7">
      <w:pPr>
        <w:pStyle w:val="norm15"/>
        <w:rPr>
          <w:color w:val="000000" w:themeColor="text1"/>
        </w:rPr>
      </w:pPr>
    </w:p>
    <w:p w14:paraId="128FE473" w14:textId="77777777" w:rsidR="001F116C" w:rsidRPr="00BB6358" w:rsidRDefault="001F116C" w:rsidP="002B02B7">
      <w:pPr>
        <w:pStyle w:val="norm15"/>
        <w:rPr>
          <w:b/>
          <w:bCs/>
          <w:color w:val="000000" w:themeColor="text1"/>
        </w:rPr>
      </w:pPr>
      <w:r w:rsidRPr="00BB6358">
        <w:rPr>
          <w:b/>
          <w:bCs/>
          <w:i/>
          <w:iCs/>
          <w:color w:val="000000" w:themeColor="text1"/>
          <w:bdr w:val="none" w:sz="0" w:space="0" w:color="auto" w:frame="1"/>
        </w:rPr>
        <w:t>Volunteer Protection Laws</w:t>
      </w:r>
    </w:p>
    <w:p w14:paraId="353BCC65" w14:textId="39528AD0" w:rsidR="001F116C" w:rsidRPr="00F031A4" w:rsidRDefault="001F116C" w:rsidP="002B02B7">
      <w:pPr>
        <w:pStyle w:val="norm15"/>
        <w:rPr>
          <w:color w:val="000000" w:themeColor="text1"/>
        </w:rPr>
      </w:pPr>
      <w:r w:rsidRPr="00782E45">
        <w:rPr>
          <w:color w:val="000000" w:themeColor="text1"/>
        </w:rPr>
        <w:t>Federal and state laws can provide immunity protections for volunteers, yet these laws can differ as to the scope of persons and activities covered. The Federal Volunteer Protection Act (VPA) provides immunity from ordinary negligence to volunteers of nonprofit organizations or governmental entities.</w:t>
      </w:r>
      <w:r w:rsidR="003B5359">
        <w:rPr>
          <w:rStyle w:val="FootnoteReference"/>
          <w:color w:val="000000" w:themeColor="text1"/>
        </w:rPr>
        <w:footnoteReference w:id="12"/>
      </w:r>
      <w:r w:rsidR="00EA1B5A">
        <w:rPr>
          <w:color w:val="000000" w:themeColor="text1"/>
          <w:sz w:val="16"/>
          <w:szCs w:val="14"/>
          <w:bdr w:val="none" w:sz="0" w:space="0" w:color="auto" w:frame="1"/>
        </w:rPr>
        <w:t xml:space="preserve"> </w:t>
      </w:r>
      <w:r w:rsidRPr="00782E45">
        <w:rPr>
          <w:color w:val="000000" w:themeColor="text1"/>
        </w:rPr>
        <w:t>It does not cover gross negligence, willful misconduct, recklessness, or acts committed by the volunteer while intoxicated or operating a motor vehicle. It does not cover organizational entities of any type or persons volunteering at private businesses. The VPA does not require a declared emergency for its protections to apply.</w:t>
      </w:r>
    </w:p>
    <w:p w14:paraId="521D1682" w14:textId="77777777" w:rsidR="001F116C" w:rsidRPr="00782E45" w:rsidRDefault="001F116C" w:rsidP="002B02B7">
      <w:pPr>
        <w:pStyle w:val="norm15"/>
        <w:rPr>
          <w:color w:val="000000" w:themeColor="text1"/>
        </w:rPr>
      </w:pPr>
    </w:p>
    <w:p w14:paraId="40F54E92" w14:textId="77777777" w:rsidR="001F116C" w:rsidRPr="00BB6358" w:rsidRDefault="001F116C" w:rsidP="002B02B7">
      <w:pPr>
        <w:pStyle w:val="norm15"/>
        <w:rPr>
          <w:b/>
          <w:bCs/>
          <w:color w:val="000000" w:themeColor="text1"/>
        </w:rPr>
      </w:pPr>
      <w:r w:rsidRPr="00BB6358">
        <w:rPr>
          <w:b/>
          <w:bCs/>
          <w:i/>
          <w:iCs/>
          <w:color w:val="000000" w:themeColor="text1"/>
          <w:bdr w:val="none" w:sz="0" w:space="0" w:color="auto" w:frame="1"/>
        </w:rPr>
        <w:t>Mutual Aid Agreements</w:t>
      </w:r>
    </w:p>
    <w:p w14:paraId="1DD40C9C" w14:textId="2A83FAF1" w:rsidR="001F116C" w:rsidRPr="007550D4" w:rsidRDefault="001F116C" w:rsidP="002B02B7">
      <w:pPr>
        <w:pStyle w:val="norm15"/>
        <w:rPr>
          <w:color w:val="000000" w:themeColor="text1"/>
          <w:szCs w:val="20"/>
          <w:bdr w:val="none" w:sz="0" w:space="0" w:color="auto" w:frame="1"/>
        </w:rPr>
      </w:pPr>
      <w:r w:rsidRPr="00782E45">
        <w:rPr>
          <w:color w:val="000000" w:themeColor="text1"/>
        </w:rPr>
        <w:t xml:space="preserve">Mutual aid agreements provide an efficient mechanism by which localities, states, tribes, and the federal government provide personnel and aid before, during, and after an emergency event. Mutual aid agreements expedite response by establishing protocols for requesting and </w:t>
      </w:r>
      <w:proofErr w:type="gramStart"/>
      <w:r w:rsidRPr="00782E45">
        <w:rPr>
          <w:color w:val="000000" w:themeColor="text1"/>
        </w:rPr>
        <w:t>providing assistance</w:t>
      </w:r>
      <w:proofErr w:type="gramEnd"/>
      <w:r w:rsidRPr="00782E45">
        <w:rPr>
          <w:color w:val="000000" w:themeColor="text1"/>
        </w:rPr>
        <w:t xml:space="preserve"> and determining policies and procedures for reimbursement and compensation in advance, thereby eliminating or lessening the extent to which these issues must be negotiated with each new event. The</w:t>
      </w:r>
      <w:r w:rsidR="008E6887">
        <w:rPr>
          <w:color w:val="000000" w:themeColor="text1"/>
        </w:rPr>
        <w:t xml:space="preserve"> </w:t>
      </w:r>
      <w:r w:rsidRPr="008E6887">
        <w:rPr>
          <w:color w:val="000000" w:themeColor="text1"/>
          <w:bdr w:val="none" w:sz="0" w:space="0" w:color="auto" w:frame="1"/>
        </w:rPr>
        <w:t>Emergency Management Assistance Compact (EMAC)</w:t>
      </w:r>
      <w:r w:rsidR="008E6887" w:rsidRPr="008E6887">
        <w:rPr>
          <w:color w:val="000000" w:themeColor="text1"/>
          <w:bdr w:val="none" w:sz="0" w:space="0" w:color="auto" w:frame="1"/>
        </w:rPr>
        <w:t xml:space="preserve"> </w:t>
      </w:r>
      <w:r w:rsidRPr="008E6887">
        <w:rPr>
          <w:color w:val="000000" w:themeColor="text1"/>
        </w:rPr>
        <w:t xml:space="preserve">is </w:t>
      </w:r>
      <w:r w:rsidRPr="00782E45">
        <w:rPr>
          <w:color w:val="000000" w:themeColor="text1"/>
        </w:rPr>
        <w:t xml:space="preserve">a type of interstate mutual aid agreement that </w:t>
      </w:r>
      <w:r w:rsidRPr="00782E45">
        <w:rPr>
          <w:color w:val="000000" w:themeColor="text1"/>
        </w:rPr>
        <w:lastRenderedPageBreak/>
        <w:t>provides an organized structure through which a state can request aid.</w:t>
      </w:r>
      <w:r w:rsidR="00FB1FC3">
        <w:rPr>
          <w:rStyle w:val="FootnoteReference"/>
          <w:color w:val="000000" w:themeColor="text1"/>
        </w:rPr>
        <w:footnoteReference w:id="13"/>
      </w:r>
      <w:r w:rsidR="00FB1FC3">
        <w:rPr>
          <w:color w:val="000000" w:themeColor="text1"/>
          <w:sz w:val="16"/>
          <w:szCs w:val="14"/>
          <w:bdr w:val="none" w:sz="0" w:space="0" w:color="auto" w:frame="1"/>
        </w:rPr>
        <w:t xml:space="preserve"> </w:t>
      </w:r>
      <w:r w:rsidRPr="00782E45">
        <w:rPr>
          <w:color w:val="000000" w:themeColor="text1"/>
        </w:rPr>
        <w:t>It establishes that the requesting state is responsible for reimbursing the assisting state for any expenses incurred and addresses liability, compensation, and licensing issues for personnel deployed pursuant to an EMAC request. EMAC is the most widely adopted mutual aid arrangement in the United States; it has been adopted by all states, the District of Columbia, and some territories.</w:t>
      </w:r>
      <w:r w:rsidR="007550D4">
        <w:rPr>
          <w:rStyle w:val="FootnoteReference"/>
          <w:color w:val="000000" w:themeColor="text1"/>
        </w:rPr>
        <w:footnoteReference w:id="14"/>
      </w:r>
    </w:p>
    <w:p w14:paraId="6AF480C8" w14:textId="77777777" w:rsidR="001F116C" w:rsidRPr="00782E45" w:rsidRDefault="001F116C" w:rsidP="002B02B7">
      <w:pPr>
        <w:pStyle w:val="norm15"/>
        <w:rPr>
          <w:color w:val="000000" w:themeColor="text1"/>
        </w:rPr>
      </w:pPr>
    </w:p>
    <w:p w14:paraId="40FD56C4" w14:textId="77777777" w:rsidR="001F116C" w:rsidRPr="00BB6358" w:rsidRDefault="001F116C" w:rsidP="002B02B7">
      <w:pPr>
        <w:pStyle w:val="norm15"/>
        <w:rPr>
          <w:b/>
          <w:bCs/>
          <w:color w:val="000000" w:themeColor="text1"/>
        </w:rPr>
      </w:pPr>
      <w:r w:rsidRPr="00BB6358">
        <w:rPr>
          <w:b/>
          <w:bCs/>
          <w:i/>
          <w:iCs/>
          <w:color w:val="000000" w:themeColor="text1"/>
          <w:bdr w:val="none" w:sz="0" w:space="0" w:color="auto" w:frame="1"/>
        </w:rPr>
        <w:t>Public Readiness and Emergency Preparedness Act (PREP Act)</w:t>
      </w:r>
    </w:p>
    <w:p w14:paraId="51F67C70" w14:textId="614D61A9" w:rsidR="001F116C" w:rsidRPr="001E44CD" w:rsidRDefault="001F116C" w:rsidP="002B02B7">
      <w:pPr>
        <w:pStyle w:val="norm15"/>
        <w:rPr>
          <w:color w:val="000000" w:themeColor="text1"/>
          <w:bdr w:val="none" w:sz="0" w:space="0" w:color="auto" w:frame="1"/>
        </w:rPr>
      </w:pPr>
      <w:r w:rsidRPr="00782E45">
        <w:rPr>
          <w:color w:val="000000" w:themeColor="text1"/>
        </w:rPr>
        <w:t>The</w:t>
      </w:r>
      <w:r w:rsidR="009F3DA6">
        <w:rPr>
          <w:color w:val="000000" w:themeColor="text1"/>
        </w:rPr>
        <w:t xml:space="preserve"> </w:t>
      </w:r>
      <w:r w:rsidRPr="009F3DA6">
        <w:rPr>
          <w:color w:val="000000" w:themeColor="text1"/>
          <w:bdr w:val="none" w:sz="0" w:space="0" w:color="auto" w:frame="1"/>
        </w:rPr>
        <w:t>PREP Act</w:t>
      </w:r>
      <w:r w:rsidR="009F3DA6">
        <w:rPr>
          <w:color w:val="000000" w:themeColor="text1"/>
        </w:rPr>
        <w:t xml:space="preserve"> </w:t>
      </w:r>
      <w:r w:rsidRPr="009F3DA6">
        <w:rPr>
          <w:color w:val="000000" w:themeColor="text1"/>
        </w:rPr>
        <w:t xml:space="preserve">authorizes </w:t>
      </w:r>
      <w:r w:rsidRPr="00782E45">
        <w:rPr>
          <w:color w:val="000000" w:themeColor="text1"/>
        </w:rPr>
        <w:t>the U.S. Secretary of Health and Human Services to issue a declaration that provides immunity from tort liability for claims of loss caused by countermeasures against diseases or other threats of public health emergencies.</w:t>
      </w:r>
      <w:r w:rsidR="00A410C7">
        <w:rPr>
          <w:rStyle w:val="FootnoteReference"/>
          <w:color w:val="000000" w:themeColor="text1"/>
        </w:rPr>
        <w:footnoteReference w:id="15"/>
      </w:r>
      <w:r w:rsidR="00A410C7">
        <w:rPr>
          <w:color w:val="000000" w:themeColor="text1"/>
          <w:bdr w:val="none" w:sz="0" w:space="0" w:color="auto" w:frame="1"/>
        </w:rPr>
        <w:t xml:space="preserve"> </w:t>
      </w:r>
      <w:r w:rsidRPr="00782E45">
        <w:rPr>
          <w:color w:val="000000" w:themeColor="text1"/>
        </w:rPr>
        <w:t>The act covers persons and entities involved in the manufacture, testing, distribution, administration, and use of covered countermeasures.</w:t>
      </w:r>
      <w:r w:rsidR="001E44CD">
        <w:rPr>
          <w:rStyle w:val="FootnoteReference"/>
          <w:color w:val="000000" w:themeColor="text1"/>
        </w:rPr>
        <w:footnoteReference w:id="16"/>
      </w:r>
      <w:r w:rsidR="001E44CD">
        <w:rPr>
          <w:color w:val="000000" w:themeColor="text1"/>
        </w:rPr>
        <w:t xml:space="preserve"> </w:t>
      </w:r>
      <w:r w:rsidRPr="00782E45">
        <w:rPr>
          <w:color w:val="000000" w:themeColor="text1"/>
        </w:rPr>
        <w:t xml:space="preserve">PREP Act coverage is only available where there has been a declaration by the HHS Secretary; if such a declaration has not been issued, then activities at </w:t>
      </w:r>
      <w:r w:rsidR="00F405A6">
        <w:rPr>
          <w:color w:val="000000" w:themeColor="text1"/>
        </w:rPr>
        <w:t xml:space="preserve">POD/emergency vaccination </w:t>
      </w:r>
      <w:r w:rsidRPr="00782E45">
        <w:rPr>
          <w:color w:val="000000" w:themeColor="text1"/>
        </w:rPr>
        <w:t xml:space="preserve">site would not be covered by the PREP Act, although other state or federal liability protections may still apply. The PREP Act was used to provide liability protections during the 2009-2010 H1N1 influenza pandemic for vaccines and antivirals. Staff involved in the planning and implementation </w:t>
      </w:r>
      <w:r w:rsidR="00F1498F">
        <w:rPr>
          <w:color w:val="000000" w:themeColor="text1"/>
        </w:rPr>
        <w:t xml:space="preserve">these types of </w:t>
      </w:r>
      <w:r w:rsidRPr="00782E45">
        <w:rPr>
          <w:color w:val="000000" w:themeColor="text1"/>
        </w:rPr>
        <w:t>activities for covered countermeasures would likely be covered under the PREP Act.</w:t>
      </w:r>
      <w:r w:rsidR="001E44CD">
        <w:rPr>
          <w:rStyle w:val="FootnoteReference"/>
          <w:color w:val="000000" w:themeColor="text1"/>
        </w:rPr>
        <w:footnoteReference w:id="17"/>
      </w:r>
    </w:p>
    <w:p w14:paraId="7810A95A" w14:textId="77777777" w:rsidR="001F116C" w:rsidRPr="00782E45" w:rsidRDefault="001F116C" w:rsidP="002B02B7">
      <w:pPr>
        <w:pStyle w:val="norm15"/>
        <w:rPr>
          <w:color w:val="000000" w:themeColor="text1"/>
        </w:rPr>
      </w:pPr>
    </w:p>
    <w:p w14:paraId="323DEBA4" w14:textId="26EC4FE1" w:rsidR="001F116C" w:rsidRPr="00782E45" w:rsidRDefault="001F116C" w:rsidP="002B02B7">
      <w:pPr>
        <w:pStyle w:val="norm15"/>
        <w:rPr>
          <w:color w:val="000000" w:themeColor="text1"/>
        </w:rPr>
      </w:pPr>
      <w:r w:rsidRPr="00782E45">
        <w:rPr>
          <w:color w:val="000000" w:themeColor="text1"/>
        </w:rPr>
        <w:t xml:space="preserve">Most states have </w:t>
      </w:r>
      <w:r w:rsidR="00D97CB0">
        <w:rPr>
          <w:color w:val="000000" w:themeColor="text1"/>
        </w:rPr>
        <w:t>legal</w:t>
      </w:r>
      <w:r w:rsidRPr="00782E45">
        <w:rPr>
          <w:color w:val="000000" w:themeColor="text1"/>
        </w:rPr>
        <w:t xml:space="preserve"> protections for persons volunteering or otherwise involved in emergency preparation or response activities. Taken together, state and federal liability protections can help to assure staff involved in </w:t>
      </w:r>
      <w:r w:rsidR="009E660C">
        <w:rPr>
          <w:color w:val="000000" w:themeColor="text1"/>
        </w:rPr>
        <w:t xml:space="preserve">PODS and emergency </w:t>
      </w:r>
      <w:r w:rsidRPr="00782E45">
        <w:rPr>
          <w:color w:val="000000" w:themeColor="text1"/>
        </w:rPr>
        <w:t xml:space="preserve">vaccination clinics that their participation should not give rise to liability </w:t>
      </w:r>
      <w:proofErr w:type="gramStart"/>
      <w:r w:rsidRPr="00782E45">
        <w:rPr>
          <w:color w:val="000000" w:themeColor="text1"/>
        </w:rPr>
        <w:t>as long as</w:t>
      </w:r>
      <w:proofErr w:type="gramEnd"/>
      <w:r w:rsidRPr="00782E45">
        <w:rPr>
          <w:color w:val="000000" w:themeColor="text1"/>
        </w:rPr>
        <w:t xml:space="preserve"> they meet the conditions for protection outlined in the laws. Liability protections can depend on the nature of the services provided by the person (volunteer vs. paid employee), whether a federal or state emergency declaration has been issued, and the extent of protections provided by any applicable laws or programs.</w:t>
      </w:r>
    </w:p>
    <w:p w14:paraId="0C85B57E" w14:textId="77777777" w:rsidR="001F116C" w:rsidRDefault="001F116C" w:rsidP="002B02B7">
      <w:pPr>
        <w:pStyle w:val="norm15"/>
        <w:rPr>
          <w:color w:val="000000" w:themeColor="text1"/>
        </w:rPr>
      </w:pPr>
    </w:p>
    <w:p w14:paraId="00905E1F" w14:textId="77777777" w:rsidR="001F116C" w:rsidRPr="00BB6358" w:rsidRDefault="001F116C" w:rsidP="002B02B7">
      <w:pPr>
        <w:pStyle w:val="norm15"/>
        <w:rPr>
          <w:b/>
          <w:bCs/>
          <w:sz w:val="24"/>
          <w:szCs w:val="24"/>
        </w:rPr>
      </w:pPr>
      <w:r w:rsidRPr="00BB6358">
        <w:rPr>
          <w:b/>
          <w:bCs/>
          <w:sz w:val="24"/>
          <w:szCs w:val="24"/>
        </w:rPr>
        <w:t>Persons Served at the Site</w:t>
      </w:r>
    </w:p>
    <w:p w14:paraId="4A8E9AE8" w14:textId="0FA2454C" w:rsidR="001F116C" w:rsidRDefault="001F116C" w:rsidP="002B02B7">
      <w:pPr>
        <w:pStyle w:val="norm15"/>
        <w:rPr>
          <w:color w:val="000000" w:themeColor="text1"/>
        </w:rPr>
      </w:pPr>
      <w:r w:rsidRPr="00782E45">
        <w:rPr>
          <w:color w:val="000000" w:themeColor="text1"/>
        </w:rPr>
        <w:t xml:space="preserve">The scope of persons to be served at the </w:t>
      </w:r>
      <w:r w:rsidR="00BD12B9">
        <w:rPr>
          <w:color w:val="000000" w:themeColor="text1"/>
        </w:rPr>
        <w:t>POD/</w:t>
      </w:r>
      <w:r w:rsidR="009504BE">
        <w:rPr>
          <w:color w:val="000000" w:themeColor="text1"/>
        </w:rPr>
        <w:t>emergency vaccination</w:t>
      </w:r>
      <w:r w:rsidRPr="00782E45">
        <w:rPr>
          <w:color w:val="000000" w:themeColor="text1"/>
        </w:rPr>
        <w:t xml:space="preserve"> site poses a range of differing legal and logistical issues. The school site may be used to </w:t>
      </w:r>
      <w:r w:rsidR="009504BE">
        <w:rPr>
          <w:color w:val="000000" w:themeColor="text1"/>
        </w:rPr>
        <w:t>serv</w:t>
      </w:r>
      <w:r w:rsidR="005C7F70">
        <w:rPr>
          <w:color w:val="000000" w:themeColor="text1"/>
        </w:rPr>
        <w:t>e</w:t>
      </w:r>
      <w:r w:rsidRPr="00782E45">
        <w:rPr>
          <w:color w:val="000000" w:themeColor="text1"/>
        </w:rPr>
        <w:t xml:space="preserve"> only the students in attendance at that school. Additionally, the site could also serve students at neighboring schools, home-schooled children, school staff, students’ younger siblings and other family members, and other members of the community, regardless of age.</w:t>
      </w:r>
      <w:r w:rsidR="001E44CD">
        <w:rPr>
          <w:rStyle w:val="FootnoteReference"/>
          <w:color w:val="000000" w:themeColor="text1"/>
        </w:rPr>
        <w:footnoteReference w:id="18"/>
      </w:r>
      <w:r w:rsidR="001E44CD">
        <w:rPr>
          <w:color w:val="000000" w:themeColor="text1"/>
          <w:bdr w:val="none" w:sz="0" w:space="0" w:color="auto" w:frame="1"/>
        </w:rPr>
        <w:t xml:space="preserve"> </w:t>
      </w:r>
      <w:r w:rsidRPr="00782E45">
        <w:rPr>
          <w:color w:val="000000" w:themeColor="text1"/>
        </w:rPr>
        <w:t>Expanding the scope of persons served at a site broadens the number and types of persons to whom the school, health agency, and others staffing the event are potentially liable, although the grounds for liability—such as malpractice, negligence, or premises liability—will generally be the same regardless of the scope of persons served. As discussed in the Staffing section above, the site and persons involved may be covered under governmental immunity, volunteer protection, or other state and federal laws.</w:t>
      </w:r>
    </w:p>
    <w:p w14:paraId="5BD988B3" w14:textId="77777777" w:rsidR="001F116C" w:rsidRDefault="001F116C" w:rsidP="002B02B7">
      <w:pPr>
        <w:pStyle w:val="norm15"/>
        <w:rPr>
          <w:color w:val="000000" w:themeColor="text1"/>
        </w:rPr>
      </w:pPr>
    </w:p>
    <w:p w14:paraId="0FF3A50B" w14:textId="77777777" w:rsidR="001F116C" w:rsidRPr="007A0ECF" w:rsidRDefault="001F116C" w:rsidP="002B02B7">
      <w:pPr>
        <w:pStyle w:val="norm15"/>
        <w:rPr>
          <w:b/>
          <w:bCs/>
          <w:sz w:val="24"/>
          <w:szCs w:val="24"/>
        </w:rPr>
      </w:pPr>
      <w:r w:rsidRPr="007A0ECF">
        <w:rPr>
          <w:b/>
          <w:bCs/>
          <w:sz w:val="24"/>
          <w:szCs w:val="24"/>
        </w:rPr>
        <w:t>Consents</w:t>
      </w:r>
    </w:p>
    <w:p w14:paraId="002345F8" w14:textId="0EA56FD6" w:rsidR="001F116C" w:rsidRPr="00F031A4" w:rsidRDefault="001F116C" w:rsidP="002B02B7">
      <w:pPr>
        <w:pStyle w:val="norm15"/>
        <w:rPr>
          <w:color w:val="000000" w:themeColor="text1"/>
        </w:rPr>
      </w:pPr>
      <w:r w:rsidRPr="00782E45">
        <w:rPr>
          <w:color w:val="000000" w:themeColor="text1"/>
        </w:rPr>
        <w:t xml:space="preserve">Generally, parents or guardians provide written consent to vaccinate </w:t>
      </w:r>
      <w:r w:rsidR="006368B5">
        <w:rPr>
          <w:color w:val="000000" w:themeColor="text1"/>
        </w:rPr>
        <w:t xml:space="preserve">or </w:t>
      </w:r>
      <w:r w:rsidR="00982A03">
        <w:rPr>
          <w:color w:val="000000" w:themeColor="text1"/>
        </w:rPr>
        <w:t xml:space="preserve">to administer drugs to </w:t>
      </w:r>
      <w:r w:rsidRPr="00782E45">
        <w:rPr>
          <w:color w:val="000000" w:themeColor="text1"/>
        </w:rPr>
        <w:t>a minor student, although some jurisdictions allow certain circumstances in which minor children can consent to themselves.</w:t>
      </w:r>
      <w:r w:rsidR="001E44CD">
        <w:rPr>
          <w:rStyle w:val="FootnoteReference"/>
          <w:color w:val="000000" w:themeColor="text1"/>
        </w:rPr>
        <w:footnoteReference w:id="19"/>
      </w:r>
      <w:r w:rsidR="001E44CD">
        <w:rPr>
          <w:color w:val="000000" w:themeColor="text1"/>
          <w:szCs w:val="20"/>
          <w:bdr w:val="none" w:sz="0" w:space="0" w:color="auto" w:frame="1"/>
        </w:rPr>
        <w:t xml:space="preserve"> </w:t>
      </w:r>
      <w:r w:rsidRPr="00782E45">
        <w:rPr>
          <w:color w:val="000000" w:themeColor="text1"/>
        </w:rPr>
        <w:t>Students who are 18 years or older and all adults must also provide written consent to be vaccinated</w:t>
      </w:r>
      <w:r w:rsidR="00982A03">
        <w:rPr>
          <w:color w:val="000000" w:themeColor="text1"/>
        </w:rPr>
        <w:t xml:space="preserve"> or </w:t>
      </w:r>
      <w:r w:rsidR="00852440">
        <w:rPr>
          <w:color w:val="000000" w:themeColor="text1"/>
        </w:rPr>
        <w:t>receive medical countermeasures</w:t>
      </w:r>
      <w:r w:rsidRPr="00782E45">
        <w:rPr>
          <w:color w:val="000000" w:themeColor="text1"/>
        </w:rPr>
        <w:t>.</w:t>
      </w:r>
      <w:r w:rsidR="00616F09">
        <w:rPr>
          <w:color w:val="000000" w:themeColor="text1"/>
        </w:rPr>
        <w:t xml:space="preserve"> </w:t>
      </w:r>
      <w:r w:rsidR="00122035">
        <w:rPr>
          <w:color w:val="000000" w:themeColor="text1"/>
        </w:rPr>
        <w:t>In emergency situations, such as in</w:t>
      </w:r>
      <w:r w:rsidR="0056359C">
        <w:rPr>
          <w:color w:val="000000" w:themeColor="text1"/>
        </w:rPr>
        <w:t xml:space="preserve"> the </w:t>
      </w:r>
      <w:r w:rsidR="00684843">
        <w:rPr>
          <w:color w:val="000000" w:themeColor="text1"/>
        </w:rPr>
        <w:t xml:space="preserve">immediate </w:t>
      </w:r>
      <w:r w:rsidR="0056359C">
        <w:rPr>
          <w:color w:val="000000" w:themeColor="text1"/>
        </w:rPr>
        <w:t xml:space="preserve">aftermath of a radiological event in which the timely administration of </w:t>
      </w:r>
      <w:r w:rsidR="00684843">
        <w:rPr>
          <w:color w:val="000000" w:themeColor="text1"/>
        </w:rPr>
        <w:t>p</w:t>
      </w:r>
      <w:r w:rsidR="00684843" w:rsidRPr="00684843">
        <w:rPr>
          <w:color w:val="000000" w:themeColor="text1"/>
        </w:rPr>
        <w:t>otassium iodide (KI)</w:t>
      </w:r>
      <w:r w:rsidR="00684843">
        <w:rPr>
          <w:color w:val="000000" w:themeColor="text1"/>
        </w:rPr>
        <w:t xml:space="preserve"> protects</w:t>
      </w:r>
      <w:r w:rsidR="004B628F">
        <w:rPr>
          <w:color w:val="000000" w:themeColor="text1"/>
        </w:rPr>
        <w:t xml:space="preserve"> against the absorption of </w:t>
      </w:r>
      <w:r w:rsidR="007E464C">
        <w:rPr>
          <w:color w:val="000000" w:themeColor="text1"/>
        </w:rPr>
        <w:t>radiation into the thyroid</w:t>
      </w:r>
      <w:r w:rsidR="00FC4617">
        <w:rPr>
          <w:color w:val="000000" w:themeColor="text1"/>
        </w:rPr>
        <w:t>, school staff may be required to make a decision to administer the</w:t>
      </w:r>
      <w:r w:rsidR="00A27DD1">
        <w:rPr>
          <w:color w:val="000000" w:themeColor="text1"/>
        </w:rPr>
        <w:t xml:space="preserve"> drug without prior consent</w:t>
      </w:r>
      <w:r w:rsidR="007A12E8">
        <w:rPr>
          <w:color w:val="000000" w:themeColor="text1"/>
        </w:rPr>
        <w:t xml:space="preserve"> in order to protect the health of the child.</w:t>
      </w:r>
      <w:r w:rsidR="00DB0AEF">
        <w:rPr>
          <w:color w:val="000000" w:themeColor="text1"/>
        </w:rPr>
        <w:t xml:space="preserve"> While </w:t>
      </w:r>
      <w:r w:rsidR="004F5BBD">
        <w:rPr>
          <w:color w:val="000000" w:themeColor="text1"/>
        </w:rPr>
        <w:t xml:space="preserve">seeking </w:t>
      </w:r>
      <w:r w:rsidR="00DB0AEF">
        <w:rPr>
          <w:color w:val="000000" w:themeColor="text1"/>
        </w:rPr>
        <w:t xml:space="preserve">written consent or specifically requiring </w:t>
      </w:r>
      <w:r w:rsidR="007A454D">
        <w:rPr>
          <w:color w:val="000000" w:themeColor="text1"/>
        </w:rPr>
        <w:t xml:space="preserve">parents to opt out of KI administration </w:t>
      </w:r>
      <w:r w:rsidR="004F5BBD">
        <w:rPr>
          <w:color w:val="000000" w:themeColor="text1"/>
        </w:rPr>
        <w:t xml:space="preserve">in advance </w:t>
      </w:r>
      <w:r w:rsidR="004F31BA">
        <w:rPr>
          <w:color w:val="000000" w:themeColor="text1"/>
        </w:rPr>
        <w:t xml:space="preserve">of an event </w:t>
      </w:r>
      <w:r w:rsidR="004F5BBD">
        <w:rPr>
          <w:color w:val="000000" w:themeColor="text1"/>
        </w:rPr>
        <w:t xml:space="preserve">is </w:t>
      </w:r>
      <w:r w:rsidR="003C5404">
        <w:rPr>
          <w:color w:val="000000" w:themeColor="text1"/>
        </w:rPr>
        <w:t>the common practice in potentially effected schools</w:t>
      </w:r>
      <w:r w:rsidR="004F31BA">
        <w:rPr>
          <w:color w:val="000000" w:themeColor="text1"/>
        </w:rPr>
        <w:t xml:space="preserve">, </w:t>
      </w:r>
      <w:r w:rsidR="00D76486">
        <w:rPr>
          <w:color w:val="000000" w:themeColor="text1"/>
        </w:rPr>
        <w:t xml:space="preserve">state law may also provide legal authority to </w:t>
      </w:r>
      <w:r w:rsidR="0057634B">
        <w:rPr>
          <w:color w:val="000000" w:themeColor="text1"/>
        </w:rPr>
        <w:t xml:space="preserve">school staff to </w:t>
      </w:r>
      <w:r w:rsidR="00D76486">
        <w:rPr>
          <w:color w:val="000000" w:themeColor="text1"/>
        </w:rPr>
        <w:t>administer life</w:t>
      </w:r>
      <w:r w:rsidR="0057634B">
        <w:rPr>
          <w:color w:val="000000" w:themeColor="text1"/>
        </w:rPr>
        <w:t>-</w:t>
      </w:r>
      <w:r w:rsidR="00D76486">
        <w:rPr>
          <w:color w:val="000000" w:themeColor="text1"/>
        </w:rPr>
        <w:t>saving treatment and drug</w:t>
      </w:r>
      <w:r w:rsidR="0057634B">
        <w:rPr>
          <w:color w:val="000000" w:themeColor="text1"/>
        </w:rPr>
        <w:t>s</w:t>
      </w:r>
      <w:r w:rsidR="00BA497E">
        <w:rPr>
          <w:color w:val="000000" w:themeColor="text1"/>
        </w:rPr>
        <w:t xml:space="preserve"> in an emergency without a parent’s consent.</w:t>
      </w:r>
    </w:p>
    <w:sectPr w:rsidR="001F116C" w:rsidRPr="00F031A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1B7E2" w14:textId="77777777" w:rsidR="00EE0363" w:rsidRDefault="00EE0363" w:rsidP="006528A7">
      <w:r>
        <w:separator/>
      </w:r>
    </w:p>
  </w:endnote>
  <w:endnote w:type="continuationSeparator" w:id="0">
    <w:p w14:paraId="1A95DA00" w14:textId="77777777" w:rsidR="00EE0363" w:rsidRDefault="00EE0363" w:rsidP="00652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194653"/>
      <w:docPartObj>
        <w:docPartGallery w:val="Page Numbers (Bottom of Page)"/>
        <w:docPartUnique/>
      </w:docPartObj>
    </w:sdtPr>
    <w:sdtEndPr>
      <w:rPr>
        <w:noProof/>
      </w:rPr>
    </w:sdtEndPr>
    <w:sdtContent>
      <w:p w14:paraId="693176C4" w14:textId="7C2F733F" w:rsidR="006528A7" w:rsidRDefault="006528A7" w:rsidP="006528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0A9E2" w14:textId="77777777" w:rsidR="00EE0363" w:rsidRDefault="00EE0363" w:rsidP="006528A7">
      <w:r>
        <w:separator/>
      </w:r>
    </w:p>
  </w:footnote>
  <w:footnote w:type="continuationSeparator" w:id="0">
    <w:p w14:paraId="4D0481C3" w14:textId="77777777" w:rsidR="00EE0363" w:rsidRDefault="00EE0363" w:rsidP="006528A7">
      <w:r>
        <w:continuationSeparator/>
      </w:r>
    </w:p>
  </w:footnote>
  <w:footnote w:id="1">
    <w:p w14:paraId="4EEC6F9A" w14:textId="320C7BFA" w:rsidR="00A9512B" w:rsidRDefault="00A9512B">
      <w:pPr>
        <w:pStyle w:val="FootnoteText"/>
      </w:pPr>
      <w:r>
        <w:rPr>
          <w:rStyle w:val="FootnoteReference"/>
        </w:rPr>
        <w:footnoteRef/>
      </w:r>
      <w:r>
        <w:t xml:space="preserve"> </w:t>
      </w:r>
      <w:r w:rsidRPr="00A9512B">
        <w:t xml:space="preserve">Hodge J et al. Legal Preparedness for School Closures in Response to Pandemic Influenza and Other Emergencies. April 2008. </w:t>
      </w:r>
      <w:r w:rsidR="001B502A">
        <w:t xml:space="preserve">Retrieved from </w:t>
      </w:r>
      <w:hyperlink r:id="rId1" w:history="1">
        <w:r w:rsidR="00800767">
          <w:rPr>
            <w:rStyle w:val="Hyperlink"/>
          </w:rPr>
          <w:t>https://www.pps.net/cms/lib/OR01913224/Centricity/Domain/70/pandemic/schoolclosures.pdf</w:t>
        </w:r>
      </w:hyperlink>
      <w:r w:rsidRPr="00A9512B">
        <w:t>.</w:t>
      </w:r>
    </w:p>
  </w:footnote>
  <w:footnote w:id="2">
    <w:p w14:paraId="39FBDB6E" w14:textId="15E37220" w:rsidR="00A9512B" w:rsidRDefault="00A9512B">
      <w:pPr>
        <w:pStyle w:val="FootnoteText"/>
      </w:pPr>
      <w:r>
        <w:rPr>
          <w:rStyle w:val="FootnoteReference"/>
        </w:rPr>
        <w:footnoteRef/>
      </w:r>
      <w:r>
        <w:t xml:space="preserve"> </w:t>
      </w:r>
      <w:r w:rsidR="0054690F" w:rsidRPr="00A9512B">
        <w:t xml:space="preserve">Hodge J et al. Legal Preparedness for School Closures in Response to Pandemic Influenza and Other Emergencies. April 2008. </w:t>
      </w:r>
      <w:r w:rsidR="0054690F">
        <w:t xml:space="preserve">Retrieved from </w:t>
      </w:r>
      <w:hyperlink r:id="rId2" w:history="1">
        <w:r w:rsidR="0054690F">
          <w:rPr>
            <w:rStyle w:val="Hyperlink"/>
          </w:rPr>
          <w:t>https://www.pps.net/cms/lib/OR01913224/Centricity/Domain/70/pandemic/schoolclosures.pdf</w:t>
        </w:r>
      </w:hyperlink>
      <w:r w:rsidR="0054690F" w:rsidRPr="00A9512B">
        <w:t>.</w:t>
      </w:r>
    </w:p>
  </w:footnote>
  <w:footnote w:id="3">
    <w:p w14:paraId="7F1A5E1F" w14:textId="35A1BF0B" w:rsidR="00700E56" w:rsidRDefault="006912D3">
      <w:pPr>
        <w:pStyle w:val="FootnoteText"/>
      </w:pPr>
      <w:r>
        <w:rPr>
          <w:rStyle w:val="FootnoteReference"/>
        </w:rPr>
        <w:footnoteRef/>
      </w:r>
      <w:r w:rsidR="00700E56">
        <w:t xml:space="preserve"> </w:t>
      </w:r>
      <w:r w:rsidR="0054690F" w:rsidRPr="00A9512B">
        <w:t xml:space="preserve">Hodge J et al. Legal Preparedness for School Closures in Response to Pandemic Influenza and Other Emergencies. April 2008. </w:t>
      </w:r>
      <w:r w:rsidR="0054690F">
        <w:t xml:space="preserve">Retrieved from </w:t>
      </w:r>
      <w:hyperlink r:id="rId3" w:history="1">
        <w:r w:rsidR="0054690F">
          <w:rPr>
            <w:rStyle w:val="Hyperlink"/>
          </w:rPr>
          <w:t>https://www.pps.net/cms/lib/OR01913224/Centricity/Domain/70/pandemic/schoolclosures.pdf</w:t>
        </w:r>
      </w:hyperlink>
      <w:r w:rsidR="0054690F" w:rsidRPr="00A9512B">
        <w:t>.</w:t>
      </w:r>
    </w:p>
  </w:footnote>
  <w:footnote w:id="4">
    <w:p w14:paraId="3E12060A" w14:textId="1C7B26DB" w:rsidR="006912D3" w:rsidRDefault="006912D3">
      <w:pPr>
        <w:pStyle w:val="FootnoteText"/>
      </w:pPr>
      <w:r>
        <w:rPr>
          <w:rStyle w:val="FootnoteReference"/>
        </w:rPr>
        <w:footnoteRef/>
      </w:r>
      <w:r>
        <w:t xml:space="preserve"> </w:t>
      </w:r>
      <w:r w:rsidR="0054690F" w:rsidRPr="00A9512B">
        <w:t xml:space="preserve">Hodge J et al. Legal Preparedness for School Closures in Response to Pandemic Influenza and Other Emergencies. April 2008. </w:t>
      </w:r>
      <w:r w:rsidR="0054690F">
        <w:t xml:space="preserve">Retrieved from </w:t>
      </w:r>
      <w:hyperlink r:id="rId4" w:history="1">
        <w:r w:rsidR="0054690F">
          <w:rPr>
            <w:rStyle w:val="Hyperlink"/>
          </w:rPr>
          <w:t>https://www.pps.net/cms/lib/OR01913224/Centricity/Domain/70/pandemic/schoolclosures.pdf</w:t>
        </w:r>
      </w:hyperlink>
      <w:r w:rsidR="0054690F" w:rsidRPr="00A9512B">
        <w:t>.</w:t>
      </w:r>
    </w:p>
  </w:footnote>
  <w:footnote w:id="5">
    <w:p w14:paraId="36A665C5" w14:textId="46D7700E" w:rsidR="00334E2B" w:rsidRDefault="00334E2B">
      <w:pPr>
        <w:pStyle w:val="FootnoteText"/>
      </w:pPr>
      <w:r>
        <w:rPr>
          <w:rStyle w:val="FootnoteReference"/>
        </w:rPr>
        <w:footnoteRef/>
      </w:r>
      <w:r>
        <w:t xml:space="preserve"> </w:t>
      </w:r>
      <w:r w:rsidR="00D545DD">
        <w:t xml:space="preserve">CDC. Public Health Law Program. </w:t>
      </w:r>
      <w:r w:rsidR="00D545DD">
        <w:t>Radiological Emergency Preparedness and Response: Educational Facilities Preparedness and Legal Study</w:t>
      </w:r>
      <w:r w:rsidR="00D545DD">
        <w:t xml:space="preserve">. </w:t>
      </w:r>
      <w:r w:rsidR="00AB0318" w:rsidRPr="00AB0318">
        <w:t>September 15, 2016</w:t>
      </w:r>
      <w:r w:rsidR="00734E55">
        <w:t xml:space="preserve">. Retrieved from </w:t>
      </w:r>
      <w:hyperlink r:id="rId5" w:history="1">
        <w:r w:rsidR="00BE1234">
          <w:rPr>
            <w:rStyle w:val="Hyperlink"/>
          </w:rPr>
          <w:t>https://www.cdc.gov/phlp/docs/emergency-radiological.pdf</w:t>
        </w:r>
      </w:hyperlink>
      <w:r w:rsidR="00BE1234">
        <w:t>.</w:t>
      </w:r>
    </w:p>
  </w:footnote>
  <w:footnote w:id="6">
    <w:p w14:paraId="28DD352C" w14:textId="6F66C0ED" w:rsidR="004C557D" w:rsidRDefault="004C557D">
      <w:pPr>
        <w:pStyle w:val="FootnoteText"/>
      </w:pPr>
      <w:r>
        <w:rPr>
          <w:rStyle w:val="FootnoteReference"/>
        </w:rPr>
        <w:footnoteRef/>
      </w:r>
      <w:r>
        <w:t xml:space="preserve"> </w:t>
      </w:r>
      <w:r w:rsidR="00BE1234">
        <w:t xml:space="preserve">CDC. Public Health Law Program. Radiological Emergency Preparedness and Response: Educational Facilities Preparedness and Legal Study. </w:t>
      </w:r>
      <w:r w:rsidR="00AB0318" w:rsidRPr="00AB0318">
        <w:t>September 15, 2016</w:t>
      </w:r>
      <w:r w:rsidR="00BE1234">
        <w:t xml:space="preserve">. Retrieved from </w:t>
      </w:r>
      <w:hyperlink r:id="rId6" w:history="1">
        <w:r w:rsidR="00BE1234">
          <w:rPr>
            <w:rStyle w:val="Hyperlink"/>
          </w:rPr>
          <w:t>https://www.cdc.gov/phlp/docs/emergency-radiological.pdf</w:t>
        </w:r>
      </w:hyperlink>
      <w:r w:rsidR="00BE1234">
        <w:t>.</w:t>
      </w:r>
    </w:p>
  </w:footnote>
  <w:footnote w:id="7">
    <w:p w14:paraId="0E3CF94C" w14:textId="4ED1FE83" w:rsidR="009B5E53" w:rsidRDefault="009B5E53">
      <w:pPr>
        <w:pStyle w:val="FootnoteText"/>
      </w:pPr>
      <w:r>
        <w:rPr>
          <w:rStyle w:val="FootnoteReference"/>
        </w:rPr>
        <w:footnoteRef/>
      </w:r>
      <w:r>
        <w:t xml:space="preserve"> </w:t>
      </w:r>
      <w:r w:rsidR="00473FE0" w:rsidRPr="00473FE0">
        <w:t xml:space="preserve">U.S. Centers for Disease Control and Prevention. 2009 H1N1 Influenza School-located Vaccination: Information for Planners. </w:t>
      </w:r>
      <w:r w:rsidR="008531BB">
        <w:t xml:space="preserve">Webpage updated </w:t>
      </w:r>
      <w:r w:rsidR="009C485D">
        <w:t>November 3, 2009</w:t>
      </w:r>
      <w:r w:rsidR="00473FE0" w:rsidRPr="00473FE0">
        <w:t xml:space="preserve">. </w:t>
      </w:r>
      <w:r w:rsidR="002A0416">
        <w:t xml:space="preserve">Retrieved from </w:t>
      </w:r>
      <w:hyperlink r:id="rId7" w:history="1">
        <w:r w:rsidR="002A0416">
          <w:rPr>
            <w:rStyle w:val="Hyperlink"/>
          </w:rPr>
          <w:t>https://www.cdc.gov/h1n1flu/vaccination/slv/planners.htm</w:t>
        </w:r>
      </w:hyperlink>
      <w:r w:rsidR="002A0416">
        <w:t>.</w:t>
      </w:r>
      <w:r w:rsidR="00C1400A">
        <w:t xml:space="preserve"> </w:t>
      </w:r>
    </w:p>
  </w:footnote>
  <w:footnote w:id="8">
    <w:p w14:paraId="45789D2D" w14:textId="3F0E5AD0" w:rsidR="003A6B4F" w:rsidRDefault="003A6B4F">
      <w:pPr>
        <w:pStyle w:val="FootnoteText"/>
      </w:pPr>
      <w:r>
        <w:rPr>
          <w:rStyle w:val="FootnoteReference"/>
        </w:rPr>
        <w:footnoteRef/>
      </w:r>
      <w:r>
        <w:t xml:space="preserve"> </w:t>
      </w:r>
      <w:r w:rsidR="00CF4DBE" w:rsidRPr="00473FE0">
        <w:t xml:space="preserve">U.S. Centers for Disease Control and Prevention. 2009 H1N1 Influenza School-located Vaccination: Information for Planners. </w:t>
      </w:r>
      <w:r w:rsidR="00CF4DBE">
        <w:t>Webpage updated November 3, 2009</w:t>
      </w:r>
      <w:r w:rsidR="00CF4DBE" w:rsidRPr="00473FE0">
        <w:t xml:space="preserve">. </w:t>
      </w:r>
      <w:r w:rsidR="00CF4DBE">
        <w:t xml:space="preserve">Retrieved from </w:t>
      </w:r>
      <w:hyperlink r:id="rId8" w:history="1">
        <w:r w:rsidR="00CF4DBE">
          <w:rPr>
            <w:rStyle w:val="Hyperlink"/>
          </w:rPr>
          <w:t>https://www.cdc.gov/h1n1flu/vaccination/slv/planners.htm</w:t>
        </w:r>
      </w:hyperlink>
      <w:r w:rsidR="00CF4DBE">
        <w:t xml:space="preserve">. </w:t>
      </w:r>
      <w:r w:rsidR="00B87138" w:rsidRPr="00B87138">
        <w:rPr>
          <w:i/>
          <w:iCs/>
        </w:rPr>
        <w:t xml:space="preserve">See also </w:t>
      </w:r>
      <w:r w:rsidR="00B87138" w:rsidRPr="00B87138">
        <w:t xml:space="preserve">U.S. Centers for Disease Control and Prevention. CDC Guidelines for Large-Scale Influenza Vaccination Clinic Planning. Webpage updated </w:t>
      </w:r>
      <w:r w:rsidR="008E1D0A">
        <w:t>December 16, 2015</w:t>
      </w:r>
      <w:r w:rsidR="00B87138" w:rsidRPr="00B87138">
        <w:t xml:space="preserve">. </w:t>
      </w:r>
      <w:r w:rsidR="00E5508A">
        <w:t xml:space="preserve">Retrieved from </w:t>
      </w:r>
      <w:hyperlink r:id="rId9" w:history="1">
        <w:r w:rsidR="00E5508A">
          <w:rPr>
            <w:rStyle w:val="Hyperlink"/>
          </w:rPr>
          <w:t>https://www.cdc.gov/flu/professionals/vaccination/vax_clinic.htm</w:t>
        </w:r>
      </w:hyperlink>
      <w:r w:rsidR="00ED44CF">
        <w:t xml:space="preserve">. </w:t>
      </w:r>
      <w:r w:rsidR="007030A0" w:rsidRPr="007030A0">
        <w:t xml:space="preserve">U.S. Dept. of Education. “H1N1 Flu Information” </w:t>
      </w:r>
      <w:r w:rsidR="00610C58">
        <w:t>W</w:t>
      </w:r>
      <w:r w:rsidR="007030A0" w:rsidRPr="007030A0">
        <w:t>ebpage</w:t>
      </w:r>
      <w:r w:rsidR="00610C58">
        <w:t xml:space="preserve"> updated May 10, 2012</w:t>
      </w:r>
      <w:r w:rsidR="007030A0" w:rsidRPr="007030A0">
        <w:t xml:space="preserve">. Available at </w:t>
      </w:r>
      <w:hyperlink r:id="rId10" w:history="1">
        <w:r w:rsidR="001D7AA0" w:rsidRPr="00421B62">
          <w:rPr>
            <w:rStyle w:val="Hyperlink"/>
          </w:rPr>
          <w:t>http://www2.ed.gov/admins/lead/safety/emergencyplan/pande</w:t>
        </w:r>
        <w:r w:rsidR="001D7AA0" w:rsidRPr="00421B62">
          <w:rPr>
            <w:rStyle w:val="Hyperlink"/>
          </w:rPr>
          <w:t>m</w:t>
        </w:r>
        <w:r w:rsidR="001D7AA0" w:rsidRPr="00421B62">
          <w:rPr>
            <w:rStyle w:val="Hyperlink"/>
          </w:rPr>
          <w:t>ic/index.html</w:t>
        </w:r>
      </w:hyperlink>
      <w:r w:rsidR="007030A0" w:rsidRPr="007030A0">
        <w:t>.</w:t>
      </w:r>
      <w:r w:rsidR="001D7AA0">
        <w:t xml:space="preserve"> </w:t>
      </w:r>
    </w:p>
  </w:footnote>
  <w:footnote w:id="9">
    <w:p w14:paraId="5AE3CD93" w14:textId="7501613C" w:rsidR="003B5359" w:rsidRDefault="003B5359">
      <w:pPr>
        <w:pStyle w:val="FootnoteText"/>
      </w:pPr>
      <w:r>
        <w:rPr>
          <w:rStyle w:val="FootnoteReference"/>
        </w:rPr>
        <w:footnoteRef/>
      </w:r>
      <w:r>
        <w:t xml:space="preserve"> </w:t>
      </w:r>
      <w:r w:rsidR="00D62395" w:rsidRPr="00473FE0">
        <w:t xml:space="preserve">U.S. Centers for Disease Control and Prevention. 2009 H1N1 Influenza School-located Vaccination: Information for Planners. </w:t>
      </w:r>
      <w:r w:rsidR="00D62395">
        <w:t>Webpage updated November 3, 2009</w:t>
      </w:r>
      <w:r w:rsidR="00D62395" w:rsidRPr="00473FE0">
        <w:t xml:space="preserve">. </w:t>
      </w:r>
      <w:r w:rsidR="00D62395">
        <w:t xml:space="preserve">Retrieved from </w:t>
      </w:r>
      <w:hyperlink r:id="rId11" w:history="1">
        <w:r w:rsidR="00D62395">
          <w:rPr>
            <w:rStyle w:val="Hyperlink"/>
          </w:rPr>
          <w:t>https://www.cdc.gov/h1n1flu/vaccination/slv/planners.htm</w:t>
        </w:r>
      </w:hyperlink>
      <w:r w:rsidR="00D62395">
        <w:t>.</w:t>
      </w:r>
    </w:p>
  </w:footnote>
  <w:footnote w:id="10">
    <w:p w14:paraId="38746742" w14:textId="7539FA4C" w:rsidR="003B5359" w:rsidRDefault="003B5359">
      <w:pPr>
        <w:pStyle w:val="FootnoteText"/>
      </w:pPr>
      <w:r>
        <w:rPr>
          <w:rStyle w:val="FootnoteReference"/>
        </w:rPr>
        <w:footnoteRef/>
      </w:r>
      <w:r>
        <w:t xml:space="preserve"> </w:t>
      </w:r>
      <w:r w:rsidR="00D62395" w:rsidRPr="00473FE0">
        <w:t xml:space="preserve">U.S. Centers for Disease Control and Prevention. 2009 H1N1 Influenza School-located Vaccination: Information for Planners. </w:t>
      </w:r>
      <w:r w:rsidR="00D62395">
        <w:t>Webpage updated November 3, 2009</w:t>
      </w:r>
      <w:r w:rsidR="00D62395" w:rsidRPr="00473FE0">
        <w:t xml:space="preserve">. </w:t>
      </w:r>
      <w:r w:rsidR="00D62395">
        <w:t xml:space="preserve">Retrieved from </w:t>
      </w:r>
      <w:hyperlink r:id="rId12" w:history="1">
        <w:r w:rsidR="00D62395">
          <w:rPr>
            <w:rStyle w:val="Hyperlink"/>
          </w:rPr>
          <w:t>https://www.cdc.gov/h1n1flu/vaccination/slv/planners.htm</w:t>
        </w:r>
      </w:hyperlink>
      <w:r w:rsidR="00D62395">
        <w:t>.</w:t>
      </w:r>
    </w:p>
  </w:footnote>
  <w:footnote w:id="11">
    <w:p w14:paraId="400DAAA5" w14:textId="6D057E95" w:rsidR="003B5359" w:rsidRDefault="003B5359">
      <w:pPr>
        <w:pStyle w:val="FootnoteText"/>
      </w:pPr>
      <w:r>
        <w:rPr>
          <w:rStyle w:val="FootnoteReference"/>
        </w:rPr>
        <w:footnoteRef/>
      </w:r>
      <w:r>
        <w:t xml:space="preserve"> </w:t>
      </w:r>
      <w:r w:rsidR="00D62395" w:rsidRPr="00473FE0">
        <w:t xml:space="preserve">U.S. Centers for Disease Control and Prevention. 2009 H1N1 Influenza School-located Vaccination: Information for Planners. </w:t>
      </w:r>
      <w:r w:rsidR="00D62395">
        <w:t>Webpage updated November 3, 2009</w:t>
      </w:r>
      <w:r w:rsidR="00D62395" w:rsidRPr="00473FE0">
        <w:t xml:space="preserve">. </w:t>
      </w:r>
      <w:r w:rsidR="00D62395">
        <w:t xml:space="preserve">Retrieved from </w:t>
      </w:r>
      <w:hyperlink r:id="rId13" w:history="1">
        <w:r w:rsidR="00D62395">
          <w:rPr>
            <w:rStyle w:val="Hyperlink"/>
          </w:rPr>
          <w:t>https://www.cdc.gov/h1n1flu/vaccination/slv/planners.htm</w:t>
        </w:r>
      </w:hyperlink>
      <w:r w:rsidR="00D62395">
        <w:t>.</w:t>
      </w:r>
    </w:p>
  </w:footnote>
  <w:footnote w:id="12">
    <w:p w14:paraId="3DDB2F52" w14:textId="70CF27DF" w:rsidR="003B5359" w:rsidRDefault="003B5359">
      <w:pPr>
        <w:pStyle w:val="FootnoteText"/>
      </w:pPr>
      <w:r>
        <w:rPr>
          <w:rStyle w:val="FootnoteReference"/>
        </w:rPr>
        <w:footnoteRef/>
      </w:r>
      <w:r>
        <w:t xml:space="preserve"> </w:t>
      </w:r>
      <w:r w:rsidRPr="003B5359">
        <w:t>Volunteer Protection Act of 1997. Pub. L. 105-19. Codified at 42 U.S.C. 14501-05.</w:t>
      </w:r>
    </w:p>
  </w:footnote>
  <w:footnote w:id="13">
    <w:p w14:paraId="4456C0BF" w14:textId="73E4D2A2" w:rsidR="00FB1FC3" w:rsidRDefault="00FB1FC3">
      <w:pPr>
        <w:pStyle w:val="FootnoteText"/>
      </w:pPr>
      <w:r>
        <w:rPr>
          <w:rStyle w:val="FootnoteReference"/>
        </w:rPr>
        <w:footnoteRef/>
      </w:r>
      <w:r>
        <w:t xml:space="preserve"> </w:t>
      </w:r>
      <w:r w:rsidRPr="00FB1FC3">
        <w:t>Emergency Management Assistance Compact</w:t>
      </w:r>
      <w:r w:rsidR="0007256C">
        <w:t xml:space="preserve">. </w:t>
      </w:r>
      <w:r w:rsidR="00D15704">
        <w:t xml:space="preserve">Retrieved from </w:t>
      </w:r>
      <w:hyperlink r:id="rId14" w:history="1">
        <w:r w:rsidR="00CD568A" w:rsidRPr="00421B62">
          <w:rPr>
            <w:rStyle w:val="Hyperlink"/>
          </w:rPr>
          <w:t>www.emac</w:t>
        </w:r>
        <w:r w:rsidR="00CD568A" w:rsidRPr="00421B62">
          <w:rPr>
            <w:rStyle w:val="Hyperlink"/>
          </w:rPr>
          <w:t>w</w:t>
        </w:r>
        <w:r w:rsidR="00CD568A" w:rsidRPr="00421B62">
          <w:rPr>
            <w:rStyle w:val="Hyperlink"/>
          </w:rPr>
          <w:t>eb.org</w:t>
        </w:r>
      </w:hyperlink>
      <w:r w:rsidRPr="00FB1FC3">
        <w:t>.</w:t>
      </w:r>
    </w:p>
  </w:footnote>
  <w:footnote w:id="14">
    <w:p w14:paraId="243EC7BE" w14:textId="53CABC4A" w:rsidR="007550D4" w:rsidRDefault="007550D4">
      <w:pPr>
        <w:pStyle w:val="FootnoteText"/>
      </w:pPr>
      <w:r>
        <w:rPr>
          <w:rStyle w:val="FootnoteReference"/>
        </w:rPr>
        <w:footnoteRef/>
      </w:r>
      <w:r>
        <w:t xml:space="preserve"> </w:t>
      </w:r>
      <w:r w:rsidR="009A093F" w:rsidRPr="00FB1FC3">
        <w:t>Emergency Management Assistance Compact</w:t>
      </w:r>
      <w:r w:rsidR="009A093F">
        <w:t xml:space="preserve">. Retrieved from </w:t>
      </w:r>
      <w:hyperlink r:id="rId15" w:history="1">
        <w:r w:rsidR="009A093F" w:rsidRPr="00421B62">
          <w:rPr>
            <w:rStyle w:val="Hyperlink"/>
          </w:rPr>
          <w:t>www.emacweb.org</w:t>
        </w:r>
      </w:hyperlink>
      <w:r w:rsidR="009A093F" w:rsidRPr="00FB1FC3">
        <w:t>.</w:t>
      </w:r>
    </w:p>
  </w:footnote>
  <w:footnote w:id="15">
    <w:p w14:paraId="59C5511D" w14:textId="28CE186D" w:rsidR="00A410C7" w:rsidRDefault="00A410C7">
      <w:pPr>
        <w:pStyle w:val="FootnoteText"/>
      </w:pPr>
      <w:r>
        <w:rPr>
          <w:rStyle w:val="FootnoteReference"/>
        </w:rPr>
        <w:footnoteRef/>
      </w:r>
      <w:r>
        <w:t xml:space="preserve"> </w:t>
      </w:r>
      <w:r w:rsidRPr="00A410C7">
        <w:t xml:space="preserve">Project </w:t>
      </w:r>
      <w:proofErr w:type="spellStart"/>
      <w:r w:rsidRPr="00A410C7">
        <w:t>BioShield</w:t>
      </w:r>
      <w:proofErr w:type="spellEnd"/>
      <w:r w:rsidRPr="00A410C7">
        <w:t xml:space="preserve"> Act of 2004. Pub. L. No. 108-276.</w:t>
      </w:r>
      <w:r>
        <w:t xml:space="preserve"> </w:t>
      </w:r>
      <w:r w:rsidR="001E44CD" w:rsidRPr="001E44CD">
        <w:rPr>
          <w:i/>
          <w:iCs/>
        </w:rPr>
        <w:t>See also</w:t>
      </w:r>
      <w:r w:rsidR="001E44CD">
        <w:t xml:space="preserve"> </w:t>
      </w:r>
      <w:r w:rsidR="001E44CD" w:rsidRPr="00782E45">
        <w:rPr>
          <w:color w:val="000000" w:themeColor="text1"/>
        </w:rPr>
        <w:t>Public Readiness and Emergency Preparedness Response Act of 2005. Pub. L. No. 109-148. Codified in the Public Health Service Act at 42 U.S.C. §§ 247d-6d, 247d-6e.</w:t>
      </w:r>
    </w:p>
  </w:footnote>
  <w:footnote w:id="16">
    <w:p w14:paraId="20A802F4" w14:textId="2C4C0704" w:rsidR="001E44CD" w:rsidRDefault="001E44CD">
      <w:pPr>
        <w:pStyle w:val="FootnoteText"/>
      </w:pPr>
      <w:r>
        <w:rPr>
          <w:rStyle w:val="FootnoteReference"/>
        </w:rPr>
        <w:footnoteRef/>
      </w:r>
      <w:r>
        <w:t xml:space="preserve"> </w:t>
      </w:r>
      <w:r w:rsidRPr="001E44CD">
        <w:t>Public Readiness and Emergency Preparedness Response Act of 2005. Pub. L. No. 109-148. Codified in the Public Health Service Act at 42 U.S.C. §§ 247d-6d, 247d-6e.</w:t>
      </w:r>
    </w:p>
  </w:footnote>
  <w:footnote w:id="17">
    <w:p w14:paraId="70A88B59" w14:textId="0C727C38" w:rsidR="001E44CD" w:rsidRDefault="001E44CD">
      <w:pPr>
        <w:pStyle w:val="FootnoteText"/>
      </w:pPr>
      <w:r>
        <w:rPr>
          <w:rStyle w:val="FootnoteReference"/>
        </w:rPr>
        <w:footnoteRef/>
      </w:r>
      <w:r>
        <w:t xml:space="preserve"> </w:t>
      </w:r>
      <w:r w:rsidR="00003CBD" w:rsidRPr="00473FE0">
        <w:t xml:space="preserve">U.S. Centers for Disease Control and Prevention. 2009 H1N1 Influenza School-located Vaccination: Information for Planners. </w:t>
      </w:r>
      <w:r w:rsidR="00003CBD">
        <w:t>Webpage updated November 3, 2009</w:t>
      </w:r>
      <w:r w:rsidR="00003CBD" w:rsidRPr="00473FE0">
        <w:t xml:space="preserve">. </w:t>
      </w:r>
      <w:r w:rsidR="00003CBD">
        <w:t xml:space="preserve">Retrieved from </w:t>
      </w:r>
      <w:hyperlink r:id="rId16" w:history="1">
        <w:r w:rsidR="00003CBD">
          <w:rPr>
            <w:rStyle w:val="Hyperlink"/>
          </w:rPr>
          <w:t>https://www.cdc.gov/h1n1flu/vaccination/slv/planners.htm</w:t>
        </w:r>
      </w:hyperlink>
      <w:r w:rsidR="00003CBD">
        <w:t>.</w:t>
      </w:r>
    </w:p>
  </w:footnote>
  <w:footnote w:id="18">
    <w:p w14:paraId="5F493725" w14:textId="1584B287" w:rsidR="001E44CD" w:rsidRDefault="001E44CD">
      <w:pPr>
        <w:pStyle w:val="FootnoteText"/>
      </w:pPr>
      <w:r>
        <w:rPr>
          <w:rStyle w:val="FootnoteReference"/>
        </w:rPr>
        <w:footnoteRef/>
      </w:r>
      <w:r>
        <w:t xml:space="preserve"> </w:t>
      </w:r>
      <w:r w:rsidR="00211351" w:rsidRPr="00473FE0">
        <w:t xml:space="preserve">U.S. Centers for Disease Control and Prevention. 2009 H1N1 Influenza School-located Vaccination: Information for Planners. </w:t>
      </w:r>
      <w:r w:rsidR="00211351">
        <w:t>Webpage updated November 3, 2009</w:t>
      </w:r>
      <w:r w:rsidR="00211351" w:rsidRPr="00473FE0">
        <w:t xml:space="preserve">. </w:t>
      </w:r>
      <w:r w:rsidR="00211351">
        <w:t xml:space="preserve">Retrieved from </w:t>
      </w:r>
      <w:hyperlink r:id="rId17" w:history="1">
        <w:r w:rsidR="00211351">
          <w:rPr>
            <w:rStyle w:val="Hyperlink"/>
          </w:rPr>
          <w:t>https://www.cdc.gov/h1n1flu/vaccination/slv/planners.htm</w:t>
        </w:r>
      </w:hyperlink>
      <w:r w:rsidR="00211351">
        <w:t>.</w:t>
      </w:r>
    </w:p>
  </w:footnote>
  <w:footnote w:id="19">
    <w:p w14:paraId="7BC022A1" w14:textId="0604A0F9" w:rsidR="001E44CD" w:rsidRDefault="001E44CD">
      <w:pPr>
        <w:pStyle w:val="FootnoteText"/>
      </w:pPr>
      <w:r>
        <w:rPr>
          <w:rStyle w:val="FootnoteReference"/>
        </w:rPr>
        <w:footnoteRef/>
      </w:r>
      <w:r>
        <w:t xml:space="preserve"> </w:t>
      </w:r>
      <w:r w:rsidR="00211351" w:rsidRPr="00473FE0">
        <w:t xml:space="preserve">U.S. Centers for Disease Control and Prevention. 2009 H1N1 Influenza School-located Vaccination: Information for Planners. </w:t>
      </w:r>
      <w:r w:rsidR="00211351">
        <w:t>Webpage updated November 3, 2009</w:t>
      </w:r>
      <w:r w:rsidR="00211351" w:rsidRPr="00473FE0">
        <w:t xml:space="preserve">. </w:t>
      </w:r>
      <w:r w:rsidR="00211351">
        <w:t xml:space="preserve">Retrieved from </w:t>
      </w:r>
      <w:hyperlink r:id="rId18" w:history="1">
        <w:r w:rsidR="00211351">
          <w:rPr>
            <w:rStyle w:val="Hyperlink"/>
          </w:rPr>
          <w:t>https://www.cdc.gov/h1n1flu/vaccination/slv/planners.htm</w:t>
        </w:r>
      </w:hyperlink>
      <w:r w:rsidR="0021135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DD21F" w14:textId="61C4BE67" w:rsidR="006528A7" w:rsidRPr="00240175" w:rsidRDefault="00240175" w:rsidP="00240175">
    <w:pPr>
      <w:pStyle w:val="Header"/>
      <w:jc w:val="center"/>
      <w:rPr>
        <w:b/>
        <w:bCs/>
      </w:rPr>
    </w:pPr>
    <w:r w:rsidRPr="00240175">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C229F"/>
    <w:multiLevelType w:val="hybridMultilevel"/>
    <w:tmpl w:val="D5301A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12D6858"/>
    <w:multiLevelType w:val="hybridMultilevel"/>
    <w:tmpl w:val="A530BD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3340563F"/>
    <w:multiLevelType w:val="hybridMultilevel"/>
    <w:tmpl w:val="1DC8D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E20A8C"/>
    <w:multiLevelType w:val="hybridMultilevel"/>
    <w:tmpl w:val="B96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B421FC"/>
    <w:multiLevelType w:val="hybridMultilevel"/>
    <w:tmpl w:val="E1FC37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6BA13DDD"/>
    <w:multiLevelType w:val="hybridMultilevel"/>
    <w:tmpl w:val="1A72F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1C72F3B"/>
    <w:multiLevelType w:val="multilevel"/>
    <w:tmpl w:val="66821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A7"/>
    <w:rsid w:val="00000F62"/>
    <w:rsid w:val="00003CBD"/>
    <w:rsid w:val="00025C8F"/>
    <w:rsid w:val="00042A7F"/>
    <w:rsid w:val="00045490"/>
    <w:rsid w:val="000463E0"/>
    <w:rsid w:val="0007256C"/>
    <w:rsid w:val="000B0759"/>
    <w:rsid w:val="000B511B"/>
    <w:rsid w:val="000F0F4B"/>
    <w:rsid w:val="000F619F"/>
    <w:rsid w:val="001208FC"/>
    <w:rsid w:val="00122035"/>
    <w:rsid w:val="00142191"/>
    <w:rsid w:val="00151278"/>
    <w:rsid w:val="001B502A"/>
    <w:rsid w:val="001B681B"/>
    <w:rsid w:val="001D7AA0"/>
    <w:rsid w:val="001E19EE"/>
    <w:rsid w:val="001E44CD"/>
    <w:rsid w:val="001F116C"/>
    <w:rsid w:val="001F2479"/>
    <w:rsid w:val="001F77FD"/>
    <w:rsid w:val="00211351"/>
    <w:rsid w:val="00216BAF"/>
    <w:rsid w:val="00221A5A"/>
    <w:rsid w:val="00240175"/>
    <w:rsid w:val="00264672"/>
    <w:rsid w:val="002737E6"/>
    <w:rsid w:val="00287071"/>
    <w:rsid w:val="0029472A"/>
    <w:rsid w:val="002A0416"/>
    <w:rsid w:val="002B02B7"/>
    <w:rsid w:val="002B6802"/>
    <w:rsid w:val="002B6C5E"/>
    <w:rsid w:val="002C1A10"/>
    <w:rsid w:val="002C5D46"/>
    <w:rsid w:val="002E7776"/>
    <w:rsid w:val="002F0BB8"/>
    <w:rsid w:val="002F607E"/>
    <w:rsid w:val="003010F3"/>
    <w:rsid w:val="0031028D"/>
    <w:rsid w:val="00334E2B"/>
    <w:rsid w:val="00341E4E"/>
    <w:rsid w:val="00342959"/>
    <w:rsid w:val="00350C27"/>
    <w:rsid w:val="003655F4"/>
    <w:rsid w:val="00377B33"/>
    <w:rsid w:val="003948E0"/>
    <w:rsid w:val="00395DDB"/>
    <w:rsid w:val="003A49E2"/>
    <w:rsid w:val="003A6B4F"/>
    <w:rsid w:val="003A6FBE"/>
    <w:rsid w:val="003B5359"/>
    <w:rsid w:val="003B5814"/>
    <w:rsid w:val="003B602A"/>
    <w:rsid w:val="003B615D"/>
    <w:rsid w:val="003B66DE"/>
    <w:rsid w:val="003C5404"/>
    <w:rsid w:val="003D2D91"/>
    <w:rsid w:val="003E5DDC"/>
    <w:rsid w:val="003F670F"/>
    <w:rsid w:val="00420FA2"/>
    <w:rsid w:val="00430C72"/>
    <w:rsid w:val="004652EF"/>
    <w:rsid w:val="00465C56"/>
    <w:rsid w:val="00465E81"/>
    <w:rsid w:val="004707BA"/>
    <w:rsid w:val="00473FE0"/>
    <w:rsid w:val="00474195"/>
    <w:rsid w:val="00476446"/>
    <w:rsid w:val="00487D58"/>
    <w:rsid w:val="004A297F"/>
    <w:rsid w:val="004B216C"/>
    <w:rsid w:val="004B628F"/>
    <w:rsid w:val="004C557D"/>
    <w:rsid w:val="004C7A6C"/>
    <w:rsid w:val="004D254B"/>
    <w:rsid w:val="004D5285"/>
    <w:rsid w:val="004F137E"/>
    <w:rsid w:val="004F31BA"/>
    <w:rsid w:val="004F5BBD"/>
    <w:rsid w:val="0052684F"/>
    <w:rsid w:val="00530DA3"/>
    <w:rsid w:val="00530FF0"/>
    <w:rsid w:val="00533199"/>
    <w:rsid w:val="0054690F"/>
    <w:rsid w:val="00555BB8"/>
    <w:rsid w:val="00562FA4"/>
    <w:rsid w:val="0056359C"/>
    <w:rsid w:val="0057634B"/>
    <w:rsid w:val="0058065B"/>
    <w:rsid w:val="00581067"/>
    <w:rsid w:val="00587D6B"/>
    <w:rsid w:val="00591041"/>
    <w:rsid w:val="005B1540"/>
    <w:rsid w:val="005B2890"/>
    <w:rsid w:val="005B6802"/>
    <w:rsid w:val="005C1B6C"/>
    <w:rsid w:val="005C7F70"/>
    <w:rsid w:val="005D5F4F"/>
    <w:rsid w:val="005E2DA9"/>
    <w:rsid w:val="005E6AA0"/>
    <w:rsid w:val="005F20E2"/>
    <w:rsid w:val="005F7AEA"/>
    <w:rsid w:val="00610C58"/>
    <w:rsid w:val="00616F09"/>
    <w:rsid w:val="00635413"/>
    <w:rsid w:val="006368B5"/>
    <w:rsid w:val="006528A7"/>
    <w:rsid w:val="00684843"/>
    <w:rsid w:val="006912D3"/>
    <w:rsid w:val="00692ACC"/>
    <w:rsid w:val="006C5227"/>
    <w:rsid w:val="006E0773"/>
    <w:rsid w:val="006F2E42"/>
    <w:rsid w:val="006F31E9"/>
    <w:rsid w:val="006F324A"/>
    <w:rsid w:val="00700E56"/>
    <w:rsid w:val="007030A0"/>
    <w:rsid w:val="0071225D"/>
    <w:rsid w:val="00731ED8"/>
    <w:rsid w:val="00734E55"/>
    <w:rsid w:val="007550D4"/>
    <w:rsid w:val="007654D7"/>
    <w:rsid w:val="0077218B"/>
    <w:rsid w:val="007763D7"/>
    <w:rsid w:val="00790CFF"/>
    <w:rsid w:val="007A03FC"/>
    <w:rsid w:val="007A0ECF"/>
    <w:rsid w:val="007A12E8"/>
    <w:rsid w:val="007A454D"/>
    <w:rsid w:val="007B6D98"/>
    <w:rsid w:val="007C7250"/>
    <w:rsid w:val="007D0F8D"/>
    <w:rsid w:val="007D3A4B"/>
    <w:rsid w:val="007D53E5"/>
    <w:rsid w:val="007E464C"/>
    <w:rsid w:val="007E4FEB"/>
    <w:rsid w:val="007F120D"/>
    <w:rsid w:val="00800767"/>
    <w:rsid w:val="00803CF7"/>
    <w:rsid w:val="008068C8"/>
    <w:rsid w:val="00815CD1"/>
    <w:rsid w:val="0084217B"/>
    <w:rsid w:val="00843D5F"/>
    <w:rsid w:val="00852440"/>
    <w:rsid w:val="008531BB"/>
    <w:rsid w:val="008553BE"/>
    <w:rsid w:val="00857335"/>
    <w:rsid w:val="00866ABE"/>
    <w:rsid w:val="00877CBA"/>
    <w:rsid w:val="00883CE9"/>
    <w:rsid w:val="00887A02"/>
    <w:rsid w:val="008901DB"/>
    <w:rsid w:val="0089511A"/>
    <w:rsid w:val="008D6CC9"/>
    <w:rsid w:val="008E1D0A"/>
    <w:rsid w:val="008E6887"/>
    <w:rsid w:val="008F2C15"/>
    <w:rsid w:val="00914E04"/>
    <w:rsid w:val="00916DC2"/>
    <w:rsid w:val="009504BE"/>
    <w:rsid w:val="00982A03"/>
    <w:rsid w:val="009A093F"/>
    <w:rsid w:val="009A0B1C"/>
    <w:rsid w:val="009B53E5"/>
    <w:rsid w:val="009B5E53"/>
    <w:rsid w:val="009C485D"/>
    <w:rsid w:val="009E660C"/>
    <w:rsid w:val="009E7712"/>
    <w:rsid w:val="009F3DA6"/>
    <w:rsid w:val="009F4F9D"/>
    <w:rsid w:val="00A1496A"/>
    <w:rsid w:val="00A17F9C"/>
    <w:rsid w:val="00A27DD1"/>
    <w:rsid w:val="00A36151"/>
    <w:rsid w:val="00A36DC8"/>
    <w:rsid w:val="00A410C7"/>
    <w:rsid w:val="00A455B9"/>
    <w:rsid w:val="00A9512B"/>
    <w:rsid w:val="00A97BBF"/>
    <w:rsid w:val="00AA3B7E"/>
    <w:rsid w:val="00AB0318"/>
    <w:rsid w:val="00AB3E2F"/>
    <w:rsid w:val="00AC09CF"/>
    <w:rsid w:val="00AD7C82"/>
    <w:rsid w:val="00AE7C97"/>
    <w:rsid w:val="00AF1120"/>
    <w:rsid w:val="00B0399C"/>
    <w:rsid w:val="00B05F01"/>
    <w:rsid w:val="00B178B8"/>
    <w:rsid w:val="00B35791"/>
    <w:rsid w:val="00B37451"/>
    <w:rsid w:val="00B46F75"/>
    <w:rsid w:val="00B62626"/>
    <w:rsid w:val="00B75B7F"/>
    <w:rsid w:val="00B8662F"/>
    <w:rsid w:val="00B868DF"/>
    <w:rsid w:val="00B87138"/>
    <w:rsid w:val="00B90E15"/>
    <w:rsid w:val="00BA4373"/>
    <w:rsid w:val="00BA497E"/>
    <w:rsid w:val="00BB6358"/>
    <w:rsid w:val="00BB6F62"/>
    <w:rsid w:val="00BD12B9"/>
    <w:rsid w:val="00BE1234"/>
    <w:rsid w:val="00BE5FF0"/>
    <w:rsid w:val="00BE6F23"/>
    <w:rsid w:val="00BF229E"/>
    <w:rsid w:val="00BF5240"/>
    <w:rsid w:val="00C002E5"/>
    <w:rsid w:val="00C007B4"/>
    <w:rsid w:val="00C07D3B"/>
    <w:rsid w:val="00C1400A"/>
    <w:rsid w:val="00C22389"/>
    <w:rsid w:val="00C279C0"/>
    <w:rsid w:val="00C27F7D"/>
    <w:rsid w:val="00C53C9D"/>
    <w:rsid w:val="00C57E1A"/>
    <w:rsid w:val="00C652F2"/>
    <w:rsid w:val="00C6709D"/>
    <w:rsid w:val="00C677D6"/>
    <w:rsid w:val="00C76328"/>
    <w:rsid w:val="00CB748A"/>
    <w:rsid w:val="00CB7897"/>
    <w:rsid w:val="00CC294B"/>
    <w:rsid w:val="00CD568A"/>
    <w:rsid w:val="00CF4DBE"/>
    <w:rsid w:val="00D15704"/>
    <w:rsid w:val="00D17935"/>
    <w:rsid w:val="00D22CC2"/>
    <w:rsid w:val="00D35C9B"/>
    <w:rsid w:val="00D363FF"/>
    <w:rsid w:val="00D366A6"/>
    <w:rsid w:val="00D40A26"/>
    <w:rsid w:val="00D545DD"/>
    <w:rsid w:val="00D62395"/>
    <w:rsid w:val="00D70C8B"/>
    <w:rsid w:val="00D76486"/>
    <w:rsid w:val="00D766FB"/>
    <w:rsid w:val="00D80762"/>
    <w:rsid w:val="00D911CC"/>
    <w:rsid w:val="00D91E0D"/>
    <w:rsid w:val="00D93320"/>
    <w:rsid w:val="00D97CB0"/>
    <w:rsid w:val="00DB0AEF"/>
    <w:rsid w:val="00DC03F6"/>
    <w:rsid w:val="00DE6532"/>
    <w:rsid w:val="00DF2646"/>
    <w:rsid w:val="00E04F79"/>
    <w:rsid w:val="00E36D41"/>
    <w:rsid w:val="00E5508A"/>
    <w:rsid w:val="00E56B2B"/>
    <w:rsid w:val="00E853EA"/>
    <w:rsid w:val="00E94EFF"/>
    <w:rsid w:val="00EA1B5A"/>
    <w:rsid w:val="00EC23CB"/>
    <w:rsid w:val="00EC3ACD"/>
    <w:rsid w:val="00EC3B3D"/>
    <w:rsid w:val="00ED44CF"/>
    <w:rsid w:val="00EE0363"/>
    <w:rsid w:val="00EE095D"/>
    <w:rsid w:val="00EF4715"/>
    <w:rsid w:val="00F03028"/>
    <w:rsid w:val="00F1498F"/>
    <w:rsid w:val="00F405A6"/>
    <w:rsid w:val="00F47C7E"/>
    <w:rsid w:val="00F53E23"/>
    <w:rsid w:val="00F70931"/>
    <w:rsid w:val="00F81F98"/>
    <w:rsid w:val="00F82805"/>
    <w:rsid w:val="00F91388"/>
    <w:rsid w:val="00FA5E78"/>
    <w:rsid w:val="00FA6517"/>
    <w:rsid w:val="00FB1FC3"/>
    <w:rsid w:val="00FB4457"/>
    <w:rsid w:val="00FC4617"/>
    <w:rsid w:val="00FC4CBE"/>
    <w:rsid w:val="00FF0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22A8"/>
  <w15:chartTrackingRefBased/>
  <w15:docId w15:val="{66885828-8279-466F-90BE-F5222144B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15">
    <w:name w:val="norm 1.5"/>
    <w:basedOn w:val="Normal"/>
    <w:qFormat/>
    <w:rsid w:val="00C007B4"/>
    <w:pPr>
      <w:spacing w:line="360" w:lineRule="auto"/>
    </w:pPr>
  </w:style>
  <w:style w:type="paragraph" w:customStyle="1" w:styleId="15para">
    <w:name w:val="1.5 para"/>
    <w:basedOn w:val="Normal"/>
    <w:qFormat/>
    <w:rsid w:val="00D766FB"/>
    <w:pPr>
      <w:spacing w:line="360" w:lineRule="auto"/>
    </w:pPr>
    <w:rPr>
      <w:rFonts w:ascii="Calibri" w:eastAsia="Times New Roman" w:hAnsi="Calibri" w:cs="Calibri"/>
      <w:szCs w:val="20"/>
    </w:rPr>
  </w:style>
  <w:style w:type="paragraph" w:styleId="Header">
    <w:name w:val="header"/>
    <w:basedOn w:val="Normal"/>
    <w:link w:val="HeaderChar"/>
    <w:uiPriority w:val="99"/>
    <w:unhideWhenUsed/>
    <w:rsid w:val="006528A7"/>
    <w:pPr>
      <w:tabs>
        <w:tab w:val="center" w:pos="4680"/>
        <w:tab w:val="right" w:pos="9360"/>
      </w:tabs>
    </w:pPr>
  </w:style>
  <w:style w:type="character" w:customStyle="1" w:styleId="HeaderChar">
    <w:name w:val="Header Char"/>
    <w:basedOn w:val="DefaultParagraphFont"/>
    <w:link w:val="Header"/>
    <w:uiPriority w:val="99"/>
    <w:rsid w:val="006528A7"/>
  </w:style>
  <w:style w:type="paragraph" w:styleId="Footer">
    <w:name w:val="footer"/>
    <w:basedOn w:val="Normal"/>
    <w:link w:val="FooterChar"/>
    <w:uiPriority w:val="99"/>
    <w:unhideWhenUsed/>
    <w:rsid w:val="006528A7"/>
    <w:pPr>
      <w:tabs>
        <w:tab w:val="center" w:pos="4680"/>
        <w:tab w:val="right" w:pos="9360"/>
      </w:tabs>
    </w:pPr>
  </w:style>
  <w:style w:type="character" w:customStyle="1" w:styleId="FooterChar">
    <w:name w:val="Footer Char"/>
    <w:basedOn w:val="DefaultParagraphFont"/>
    <w:link w:val="Footer"/>
    <w:uiPriority w:val="99"/>
    <w:rsid w:val="006528A7"/>
  </w:style>
  <w:style w:type="paragraph" w:styleId="ListParagraph">
    <w:name w:val="List Paragraph"/>
    <w:basedOn w:val="Normal"/>
    <w:uiPriority w:val="34"/>
    <w:qFormat/>
    <w:rsid w:val="001F116C"/>
    <w:pPr>
      <w:ind w:left="720"/>
      <w:contextualSpacing/>
    </w:pPr>
  </w:style>
  <w:style w:type="paragraph" w:styleId="FootnoteText">
    <w:name w:val="footnote text"/>
    <w:basedOn w:val="Normal"/>
    <w:link w:val="FootnoteTextChar"/>
    <w:uiPriority w:val="99"/>
    <w:semiHidden/>
    <w:unhideWhenUsed/>
    <w:rsid w:val="00334E2B"/>
    <w:rPr>
      <w:sz w:val="20"/>
      <w:szCs w:val="20"/>
    </w:rPr>
  </w:style>
  <w:style w:type="character" w:customStyle="1" w:styleId="FootnoteTextChar">
    <w:name w:val="Footnote Text Char"/>
    <w:basedOn w:val="DefaultParagraphFont"/>
    <w:link w:val="FootnoteText"/>
    <w:uiPriority w:val="99"/>
    <w:semiHidden/>
    <w:rsid w:val="00334E2B"/>
    <w:rPr>
      <w:sz w:val="20"/>
      <w:szCs w:val="20"/>
    </w:rPr>
  </w:style>
  <w:style w:type="character" w:styleId="FootnoteReference">
    <w:name w:val="footnote reference"/>
    <w:basedOn w:val="DefaultParagraphFont"/>
    <w:uiPriority w:val="99"/>
    <w:semiHidden/>
    <w:unhideWhenUsed/>
    <w:rsid w:val="00334E2B"/>
    <w:rPr>
      <w:vertAlign w:val="superscript"/>
    </w:rPr>
  </w:style>
  <w:style w:type="character" w:styleId="Hyperlink">
    <w:name w:val="Hyperlink"/>
    <w:basedOn w:val="DefaultParagraphFont"/>
    <w:uiPriority w:val="99"/>
    <w:unhideWhenUsed/>
    <w:rsid w:val="00BE1234"/>
    <w:rPr>
      <w:color w:val="0000FF"/>
      <w:u w:val="single"/>
    </w:rPr>
  </w:style>
  <w:style w:type="character" w:styleId="UnresolvedMention">
    <w:name w:val="Unresolved Mention"/>
    <w:basedOn w:val="DefaultParagraphFont"/>
    <w:uiPriority w:val="99"/>
    <w:semiHidden/>
    <w:unhideWhenUsed/>
    <w:rsid w:val="00AD7C82"/>
    <w:rPr>
      <w:color w:val="605E5C"/>
      <w:shd w:val="clear" w:color="auto" w:fill="E1DFDD"/>
    </w:rPr>
  </w:style>
  <w:style w:type="character" w:styleId="FollowedHyperlink">
    <w:name w:val="FollowedHyperlink"/>
    <w:basedOn w:val="DefaultParagraphFont"/>
    <w:uiPriority w:val="99"/>
    <w:semiHidden/>
    <w:unhideWhenUsed/>
    <w:rsid w:val="00AD7C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96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dc.gov/h1n1flu/vaccination/slv/planners.htm" TargetMode="External"/><Relationship Id="rId13" Type="http://schemas.openxmlformats.org/officeDocument/2006/relationships/hyperlink" Target="https://www.cdc.gov/h1n1flu/vaccination/slv/planners.htm" TargetMode="External"/><Relationship Id="rId18" Type="http://schemas.openxmlformats.org/officeDocument/2006/relationships/hyperlink" Target="https://www.cdc.gov/h1n1flu/vaccination/slv/planners.htm" TargetMode="External"/><Relationship Id="rId3" Type="http://schemas.openxmlformats.org/officeDocument/2006/relationships/hyperlink" Target="https://www.pps.net/cms/lib/OR01913224/Centricity/Domain/70/pandemic/schoolclosures.pdf" TargetMode="External"/><Relationship Id="rId7" Type="http://schemas.openxmlformats.org/officeDocument/2006/relationships/hyperlink" Target="https://www.cdc.gov/h1n1flu/vaccination/slv/planners.htm" TargetMode="External"/><Relationship Id="rId12" Type="http://schemas.openxmlformats.org/officeDocument/2006/relationships/hyperlink" Target="https://www.cdc.gov/h1n1flu/vaccination/slv/planners.htm" TargetMode="External"/><Relationship Id="rId17" Type="http://schemas.openxmlformats.org/officeDocument/2006/relationships/hyperlink" Target="https://www.cdc.gov/h1n1flu/vaccination/slv/planners.htm" TargetMode="External"/><Relationship Id="rId2" Type="http://schemas.openxmlformats.org/officeDocument/2006/relationships/hyperlink" Target="https://www.pps.net/cms/lib/OR01913224/Centricity/Domain/70/pandemic/schoolclosures.pdf" TargetMode="External"/><Relationship Id="rId16" Type="http://schemas.openxmlformats.org/officeDocument/2006/relationships/hyperlink" Target="https://www.cdc.gov/h1n1flu/vaccination/slv/planners.htm" TargetMode="External"/><Relationship Id="rId1" Type="http://schemas.openxmlformats.org/officeDocument/2006/relationships/hyperlink" Target="https://www.pps.net/cms/lib/OR01913224/Centricity/Domain/70/pandemic/schoolclosures.pdf" TargetMode="External"/><Relationship Id="rId6" Type="http://schemas.openxmlformats.org/officeDocument/2006/relationships/hyperlink" Target="https://www.cdc.gov/phlp/docs/emergency-radiological.pdf" TargetMode="External"/><Relationship Id="rId11" Type="http://schemas.openxmlformats.org/officeDocument/2006/relationships/hyperlink" Target="https://www.cdc.gov/h1n1flu/vaccination/slv/planners.htm" TargetMode="External"/><Relationship Id="rId5" Type="http://schemas.openxmlformats.org/officeDocument/2006/relationships/hyperlink" Target="https://www.cdc.gov/phlp/docs/emergency-radiological.pdf" TargetMode="External"/><Relationship Id="rId15" Type="http://schemas.openxmlformats.org/officeDocument/2006/relationships/hyperlink" Target="http://www.emacweb.org" TargetMode="External"/><Relationship Id="rId10" Type="http://schemas.openxmlformats.org/officeDocument/2006/relationships/hyperlink" Target="http://www2.ed.gov/admins/lead/safety/emergencyplan/pandemic/index.html" TargetMode="External"/><Relationship Id="rId4" Type="http://schemas.openxmlformats.org/officeDocument/2006/relationships/hyperlink" Target="https://www.pps.net/cms/lib/OR01913224/Centricity/Domain/70/pandemic/schoolclosures.pdf" TargetMode="External"/><Relationship Id="rId9" Type="http://schemas.openxmlformats.org/officeDocument/2006/relationships/hyperlink" Target="https://www.cdc.gov/flu/professionals/vaccination/vax_clinic.htm" TargetMode="External"/><Relationship Id="rId14" Type="http://schemas.openxmlformats.org/officeDocument/2006/relationships/hyperlink" Target="http://www.emacwe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964</TotalTime>
  <Pages>11</Pages>
  <Words>3660</Words>
  <Characters>20864</Characters>
  <Application>Microsoft Office Word</Application>
  <DocSecurity>0</DocSecurity>
  <Lines>173</Lines>
  <Paragraphs>48</Paragraphs>
  <ScaleCrop>false</ScaleCrop>
  <Company/>
  <LinksUpToDate>false</LinksUpToDate>
  <CharactersWithSpaces>24476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277</cp:revision>
  <dcterms:created xsi:type="dcterms:W3CDTF">2020-03-16T00:34:00Z</dcterms:created>
  <dcterms:modified xsi:type="dcterms:W3CDTF">2020-03-16T16:39:00Z</dcterms:modified>
</cp:coreProperties>
</file>