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D23E5" w14:textId="104FB1C6" w:rsidR="00A74CF9" w:rsidRDefault="00A74CF9" w:rsidP="002F5E52">
      <w:pPr>
        <w:spacing w:after="120"/>
        <w:jc w:val="center"/>
        <w:rPr>
          <w:rFonts w:eastAsia="Times New Roman" w:cstheme="minorHAnsi"/>
          <w:b/>
          <w:bCs/>
          <w:color w:val="333333"/>
          <w:spacing w:val="15"/>
          <w:kern w:val="36"/>
          <w:sz w:val="24"/>
          <w:szCs w:val="24"/>
        </w:rPr>
      </w:pPr>
      <w:r w:rsidRPr="00A74CF9">
        <w:rPr>
          <w:rFonts w:eastAsia="Times New Roman" w:cstheme="minorHAnsi"/>
          <w:b/>
          <w:bCs/>
          <w:color w:val="333333"/>
          <w:spacing w:val="15"/>
          <w:kern w:val="36"/>
          <w:sz w:val="24"/>
          <w:szCs w:val="24"/>
        </w:rPr>
        <w:t xml:space="preserve">PUBLIC HEALTH ACCESS TO STUDENT HEALTH DATA: </w:t>
      </w:r>
    </w:p>
    <w:p w14:paraId="6D632A03" w14:textId="77777777" w:rsidR="00A74CF9" w:rsidRDefault="00A74CF9" w:rsidP="002F5E52">
      <w:pPr>
        <w:jc w:val="center"/>
        <w:rPr>
          <w:rFonts w:eastAsia="Times New Roman" w:cstheme="minorHAnsi"/>
          <w:b/>
          <w:bCs/>
          <w:color w:val="333333"/>
          <w:spacing w:val="15"/>
          <w:kern w:val="36"/>
          <w:sz w:val="24"/>
          <w:szCs w:val="24"/>
        </w:rPr>
      </w:pPr>
      <w:r w:rsidRPr="00A74CF9">
        <w:rPr>
          <w:rFonts w:eastAsia="Times New Roman" w:cstheme="minorHAnsi"/>
          <w:b/>
          <w:bCs/>
          <w:color w:val="333333"/>
          <w:spacing w:val="15"/>
          <w:kern w:val="36"/>
          <w:sz w:val="24"/>
          <w:szCs w:val="24"/>
        </w:rPr>
        <w:t xml:space="preserve">AUTHORITIES AND LIMITATIONS IN SHARING INFORMATION BETWEEN </w:t>
      </w:r>
    </w:p>
    <w:p w14:paraId="2D2BD403" w14:textId="6286EDF1" w:rsidR="00F23BDC" w:rsidRPr="00A74CF9" w:rsidRDefault="00A74CF9" w:rsidP="002F5E52">
      <w:pPr>
        <w:jc w:val="center"/>
        <w:rPr>
          <w:rFonts w:eastAsia="Times New Roman" w:cstheme="minorHAnsi"/>
          <w:b/>
          <w:bCs/>
          <w:color w:val="333333"/>
          <w:spacing w:val="15"/>
          <w:kern w:val="36"/>
          <w:sz w:val="24"/>
          <w:szCs w:val="24"/>
        </w:rPr>
      </w:pPr>
      <w:r w:rsidRPr="00A74CF9">
        <w:rPr>
          <w:rFonts w:eastAsia="Times New Roman" w:cstheme="minorHAnsi"/>
          <w:b/>
          <w:bCs/>
          <w:color w:val="333333"/>
          <w:spacing w:val="15"/>
          <w:kern w:val="36"/>
          <w:sz w:val="24"/>
          <w:szCs w:val="24"/>
        </w:rPr>
        <w:t>SCHOOLS AND PUBLIC HEALTH AGENCIES</w:t>
      </w:r>
    </w:p>
    <w:p w14:paraId="793A800F" w14:textId="77777777" w:rsidR="006F26FB" w:rsidRDefault="006F26FB" w:rsidP="00CB0F79">
      <w:pPr>
        <w:spacing w:line="360" w:lineRule="auto"/>
        <w:rPr>
          <w:rFonts w:eastAsia="Times New Roman" w:cstheme="minorHAnsi"/>
          <w:b/>
          <w:bCs/>
          <w:color w:val="3C3030"/>
          <w:sz w:val="24"/>
          <w:szCs w:val="24"/>
        </w:rPr>
      </w:pPr>
    </w:p>
    <w:p w14:paraId="62A76C2D" w14:textId="77777777" w:rsidR="00CB0F79" w:rsidRDefault="006F26FB" w:rsidP="00CB0F79">
      <w:pPr>
        <w:spacing w:line="360" w:lineRule="auto"/>
        <w:rPr>
          <w:rFonts w:eastAsia="Times New Roman" w:cstheme="minorHAnsi"/>
          <w:b/>
          <w:bCs/>
          <w:color w:val="3C3030"/>
          <w:sz w:val="24"/>
          <w:szCs w:val="24"/>
        </w:rPr>
      </w:pPr>
      <w:r w:rsidRPr="006F26FB">
        <w:rPr>
          <w:rFonts w:eastAsia="Times New Roman" w:cstheme="minorHAnsi"/>
          <w:b/>
          <w:bCs/>
          <w:color w:val="3C3030"/>
          <w:sz w:val="24"/>
          <w:szCs w:val="24"/>
        </w:rPr>
        <w:t>Overview</w:t>
      </w:r>
    </w:p>
    <w:p w14:paraId="13436065" w14:textId="0FE1C0A0" w:rsidR="00F23BDC" w:rsidRPr="00CB0F79" w:rsidRDefault="00F23BDC" w:rsidP="00CB0F79">
      <w:pPr>
        <w:spacing w:line="360" w:lineRule="auto"/>
        <w:rPr>
          <w:rFonts w:eastAsia="Times New Roman" w:cstheme="minorHAnsi"/>
          <w:b/>
          <w:bCs/>
          <w:color w:val="3C3030"/>
          <w:sz w:val="24"/>
          <w:szCs w:val="24"/>
        </w:rPr>
      </w:pPr>
      <w:r w:rsidRPr="00F23BDC">
        <w:t xml:space="preserve">The ability of public health officials to access health and other relevant data from schools and education agencies has been an ongoing challenge. In daily public health responsibilities, as well as in emergencies, federal education privacy requirements have limited or blocked public health agencies’ access to data in areas such as immunization, mental health, injury, and absentee records. Public health officials must understand their legal authorities and limitations in acquiring and using data from education entities. This issue brief examines the interplay of federal laws related to privacy and disclosure of student health information, and various approaches for obtaining student health information. The term “school” is used in this issue brief to collectively refer to elementary, secondary (high school), and post-secondary (college) institutions, unless otherwise specified. The term “education agencies” generally refers to state education agencies and local school districts, unless otherwise noted. </w:t>
      </w:r>
    </w:p>
    <w:p w14:paraId="5499A601" w14:textId="77777777" w:rsidR="00B40683" w:rsidRPr="00B40683" w:rsidRDefault="00B40683" w:rsidP="00CB0F79">
      <w:pPr>
        <w:spacing w:line="360" w:lineRule="auto"/>
        <w:rPr>
          <w:rFonts w:eastAsia="Times New Roman" w:cstheme="minorHAnsi"/>
          <w:b/>
          <w:bCs/>
          <w:color w:val="000000" w:themeColor="text1"/>
          <w:sz w:val="28"/>
          <w:szCs w:val="24"/>
        </w:rPr>
      </w:pPr>
    </w:p>
    <w:p w14:paraId="5FF16D39" w14:textId="77777777" w:rsidR="00CB0F79" w:rsidRDefault="00F23BDC" w:rsidP="00CB0F79">
      <w:pPr>
        <w:spacing w:line="360" w:lineRule="auto"/>
        <w:rPr>
          <w:rFonts w:eastAsia="Times New Roman" w:cstheme="minorHAnsi"/>
          <w:b/>
          <w:bCs/>
          <w:color w:val="3C3030"/>
          <w:sz w:val="24"/>
          <w:szCs w:val="24"/>
        </w:rPr>
      </w:pPr>
      <w:r w:rsidRPr="00F23BDC">
        <w:rPr>
          <w:rFonts w:eastAsia="Times New Roman" w:cstheme="minorHAnsi"/>
          <w:b/>
          <w:bCs/>
          <w:color w:val="3C3030"/>
          <w:sz w:val="24"/>
          <w:szCs w:val="24"/>
        </w:rPr>
        <w:t xml:space="preserve">Public Health Data Needs </w:t>
      </w:r>
      <w:r w:rsidR="00B40683" w:rsidRPr="00F23BDC">
        <w:rPr>
          <w:rFonts w:eastAsia="Times New Roman" w:cstheme="minorHAnsi"/>
          <w:b/>
          <w:bCs/>
          <w:color w:val="3C3030"/>
          <w:sz w:val="24"/>
          <w:szCs w:val="24"/>
        </w:rPr>
        <w:t>from</w:t>
      </w:r>
      <w:r w:rsidRPr="00F23BDC">
        <w:rPr>
          <w:rFonts w:eastAsia="Times New Roman" w:cstheme="minorHAnsi"/>
          <w:b/>
          <w:bCs/>
          <w:color w:val="3C3030"/>
          <w:sz w:val="24"/>
          <w:szCs w:val="24"/>
        </w:rPr>
        <w:t xml:space="preserve"> Schools</w:t>
      </w:r>
    </w:p>
    <w:p w14:paraId="68F196CE" w14:textId="175C2167" w:rsidR="00CB0F79" w:rsidRDefault="00F23BDC" w:rsidP="00CB0F79">
      <w:pPr>
        <w:spacing w:line="360" w:lineRule="auto"/>
      </w:pPr>
      <w:r w:rsidRPr="00F23BDC">
        <w:t>Public health focuses on developing, implementing, and evaluating population-based strategies addressing diseases and other threats to health in the general population and in subgroups of the population. Children and adolescents are important population subgroups; the ability of public health officials to regularly access data about them is a key factor in creating effective public health programs affecting these groups.</w:t>
      </w:r>
      <w:r w:rsidR="00A34B18">
        <w:rPr>
          <w:rStyle w:val="FootnoteReference"/>
        </w:rPr>
        <w:footnoteReference w:id="1"/>
      </w:r>
      <w:r w:rsidRPr="00F23BDC">
        <w:t xml:space="preserve"> Schools serve as a centralized location for current and long-term data about school-aged populations.</w:t>
      </w:r>
    </w:p>
    <w:p w14:paraId="24BC65E4" w14:textId="77777777" w:rsidR="00CB0F79" w:rsidRDefault="00CB0F79" w:rsidP="00CB0F79">
      <w:pPr>
        <w:spacing w:line="360" w:lineRule="auto"/>
      </w:pPr>
    </w:p>
    <w:p w14:paraId="28EFA3E1" w14:textId="159F89B7" w:rsidR="00F23BDC" w:rsidRPr="00CB0F79" w:rsidRDefault="00F23BDC" w:rsidP="00CB0F79">
      <w:pPr>
        <w:spacing w:line="360" w:lineRule="auto"/>
        <w:rPr>
          <w:rFonts w:eastAsia="Times New Roman" w:cstheme="minorHAnsi"/>
          <w:b/>
          <w:bCs/>
          <w:color w:val="3C3030"/>
          <w:sz w:val="24"/>
          <w:szCs w:val="24"/>
        </w:rPr>
      </w:pPr>
      <w:r w:rsidRPr="00F23BDC">
        <w:t>Data from schools can help public health agencies conduct surveillance, intervention, and prevention activities. Examples of the types of activities public health agencies undertake with school-based data include</w:t>
      </w:r>
      <w:r w:rsidR="00D25819">
        <w:rPr>
          <w:rStyle w:val="FootnoteReference"/>
        </w:rPr>
        <w:footnoteReference w:id="2"/>
      </w:r>
      <w:r w:rsidRPr="00F23BDC">
        <w:t>:</w:t>
      </w:r>
    </w:p>
    <w:p w14:paraId="0C6EBACB" w14:textId="211BD031" w:rsidR="00F23BDC" w:rsidRPr="00D038B8" w:rsidRDefault="00F23BDC" w:rsidP="00CB0F79">
      <w:pPr>
        <w:pStyle w:val="ListParagraph"/>
        <w:numPr>
          <w:ilvl w:val="0"/>
          <w:numId w:val="7"/>
        </w:numPr>
        <w:spacing w:after="120" w:line="360" w:lineRule="auto"/>
        <w:contextualSpacing w:val="0"/>
        <w:textAlignment w:val="baseline"/>
        <w:rPr>
          <w:rFonts w:eastAsia="Times New Roman" w:cstheme="minorHAnsi"/>
          <w:color w:val="000000" w:themeColor="text1"/>
        </w:rPr>
      </w:pPr>
      <w:r w:rsidRPr="00D038B8">
        <w:rPr>
          <w:rFonts w:eastAsia="Times New Roman" w:cstheme="minorHAnsi"/>
          <w:color w:val="000000" w:themeColor="text1"/>
        </w:rPr>
        <w:lastRenderedPageBreak/>
        <w:t>Identifying outbreaks of infectious diseases and other health conditions, such as H1N1, staph infections, or community acquired methicillin-resistant Staphylococcus aureus (MRSA) infections.</w:t>
      </w:r>
    </w:p>
    <w:p w14:paraId="0F00BF3D" w14:textId="42A51EDC" w:rsidR="00F23BDC" w:rsidRPr="00D038B8" w:rsidRDefault="00F23BDC" w:rsidP="00CB0F79">
      <w:pPr>
        <w:pStyle w:val="ListParagraph"/>
        <w:numPr>
          <w:ilvl w:val="0"/>
          <w:numId w:val="7"/>
        </w:numPr>
        <w:spacing w:after="120" w:line="360" w:lineRule="auto"/>
        <w:contextualSpacing w:val="0"/>
        <w:textAlignment w:val="baseline"/>
        <w:rPr>
          <w:rFonts w:eastAsia="Times New Roman" w:cstheme="minorHAnsi"/>
          <w:color w:val="000000" w:themeColor="text1"/>
        </w:rPr>
      </w:pPr>
      <w:r w:rsidRPr="00D038B8">
        <w:rPr>
          <w:rFonts w:eastAsia="Times New Roman" w:cstheme="minorHAnsi"/>
          <w:color w:val="000000" w:themeColor="text1"/>
        </w:rPr>
        <w:t>Tracking immunization coverage to prevent outbreaks of infectious diseases like mumps or measles.</w:t>
      </w:r>
    </w:p>
    <w:p w14:paraId="2AB53132" w14:textId="539DB49D" w:rsidR="00F23BDC" w:rsidRPr="00D038B8" w:rsidRDefault="00F23BDC" w:rsidP="00CB0F79">
      <w:pPr>
        <w:pStyle w:val="ListParagraph"/>
        <w:numPr>
          <w:ilvl w:val="0"/>
          <w:numId w:val="7"/>
        </w:numPr>
        <w:spacing w:after="120" w:line="360" w:lineRule="auto"/>
        <w:contextualSpacing w:val="0"/>
        <w:textAlignment w:val="baseline"/>
        <w:rPr>
          <w:rFonts w:eastAsia="Times New Roman" w:cstheme="minorHAnsi"/>
          <w:color w:val="000000" w:themeColor="text1"/>
        </w:rPr>
      </w:pPr>
      <w:r w:rsidRPr="00D038B8">
        <w:rPr>
          <w:rFonts w:eastAsia="Times New Roman" w:cstheme="minorHAnsi"/>
          <w:color w:val="000000" w:themeColor="text1"/>
        </w:rPr>
        <w:t>Identifying trends in chronic and environmental diseases, including the prevalence of asthma, autism, and developmental disabilities.</w:t>
      </w:r>
    </w:p>
    <w:p w14:paraId="042D2130" w14:textId="6426CAF1" w:rsidR="00F23BDC" w:rsidRPr="00D038B8" w:rsidRDefault="00F23BDC" w:rsidP="00CB0F79">
      <w:pPr>
        <w:pStyle w:val="ListParagraph"/>
        <w:numPr>
          <w:ilvl w:val="0"/>
          <w:numId w:val="7"/>
        </w:numPr>
        <w:spacing w:after="120" w:line="360" w:lineRule="auto"/>
        <w:contextualSpacing w:val="0"/>
        <w:textAlignment w:val="baseline"/>
        <w:rPr>
          <w:rFonts w:eastAsia="Times New Roman" w:cstheme="minorHAnsi"/>
          <w:color w:val="000000" w:themeColor="text1"/>
        </w:rPr>
      </w:pPr>
      <w:r w:rsidRPr="00D038B8">
        <w:rPr>
          <w:rFonts w:eastAsia="Times New Roman" w:cstheme="minorHAnsi"/>
          <w:color w:val="000000" w:themeColor="text1"/>
        </w:rPr>
        <w:t>Finding trends in injuries among students and evaluating effectiveness of injury-prevention activities.</w:t>
      </w:r>
    </w:p>
    <w:p w14:paraId="525ECFA1" w14:textId="60B7B831" w:rsidR="00F23BDC" w:rsidRPr="00D038B8" w:rsidRDefault="00F23BDC" w:rsidP="00CB0F79">
      <w:pPr>
        <w:pStyle w:val="ListParagraph"/>
        <w:numPr>
          <w:ilvl w:val="0"/>
          <w:numId w:val="7"/>
        </w:numPr>
        <w:spacing w:after="120" w:line="360" w:lineRule="auto"/>
        <w:contextualSpacing w:val="0"/>
        <w:textAlignment w:val="baseline"/>
        <w:rPr>
          <w:rFonts w:eastAsia="Times New Roman" w:cstheme="minorHAnsi"/>
          <w:color w:val="000000" w:themeColor="text1"/>
        </w:rPr>
      </w:pPr>
      <w:r w:rsidRPr="00D038B8">
        <w:rPr>
          <w:rFonts w:eastAsia="Times New Roman" w:cstheme="minorHAnsi"/>
          <w:color w:val="000000" w:themeColor="text1"/>
        </w:rPr>
        <w:t>Tracking overall health status, rates of overweight and obesity, and prevalence of diabetes and other diet-related conditions.</w:t>
      </w:r>
    </w:p>
    <w:p w14:paraId="1A503F3D" w14:textId="03222644" w:rsidR="00F23BDC" w:rsidRPr="00D038B8" w:rsidRDefault="00F23BDC" w:rsidP="00CB0F79">
      <w:pPr>
        <w:pStyle w:val="ListParagraph"/>
        <w:numPr>
          <w:ilvl w:val="0"/>
          <w:numId w:val="7"/>
        </w:numPr>
        <w:spacing w:after="120" w:line="360" w:lineRule="auto"/>
        <w:contextualSpacing w:val="0"/>
        <w:textAlignment w:val="baseline"/>
        <w:rPr>
          <w:rFonts w:eastAsia="Times New Roman" w:cstheme="minorHAnsi"/>
          <w:color w:val="000000" w:themeColor="text1"/>
        </w:rPr>
      </w:pPr>
      <w:r w:rsidRPr="00D038B8">
        <w:rPr>
          <w:rFonts w:eastAsia="Times New Roman" w:cstheme="minorHAnsi"/>
          <w:color w:val="000000" w:themeColor="text1"/>
        </w:rPr>
        <w:t>Identifying and analyzing environmental exposures related to health concerns, such as exposure to lead or other toxic substances.</w:t>
      </w:r>
    </w:p>
    <w:p w14:paraId="7184C64E" w14:textId="77777777" w:rsidR="00CB0F79" w:rsidRDefault="00F23BDC" w:rsidP="00CB0F79">
      <w:pPr>
        <w:pStyle w:val="ListParagraph"/>
        <w:numPr>
          <w:ilvl w:val="0"/>
          <w:numId w:val="7"/>
        </w:numPr>
        <w:spacing w:line="360" w:lineRule="auto"/>
        <w:contextualSpacing w:val="0"/>
        <w:textAlignment w:val="baseline"/>
        <w:rPr>
          <w:rFonts w:eastAsia="Times New Roman" w:cstheme="minorHAnsi"/>
          <w:color w:val="000000" w:themeColor="text1"/>
        </w:rPr>
      </w:pPr>
      <w:r w:rsidRPr="00D038B8">
        <w:rPr>
          <w:rFonts w:eastAsia="Times New Roman" w:cstheme="minorHAnsi"/>
          <w:color w:val="000000" w:themeColor="text1"/>
        </w:rPr>
        <w:t>Monitoring for environmental and infectious disease outbreaks in the aftermath of natural disasters and other emergencies.</w:t>
      </w:r>
    </w:p>
    <w:p w14:paraId="33D329D9" w14:textId="77777777" w:rsidR="00CB0F79" w:rsidRDefault="00CB0F79" w:rsidP="00CB0F79">
      <w:pPr>
        <w:spacing w:line="360" w:lineRule="auto"/>
        <w:textAlignment w:val="baseline"/>
      </w:pPr>
    </w:p>
    <w:p w14:paraId="37202A35" w14:textId="05A5D5D0" w:rsidR="00CB0F79" w:rsidRPr="0064296A" w:rsidRDefault="00F23BDC" w:rsidP="00025F7A">
      <w:pPr>
        <w:spacing w:line="360" w:lineRule="auto"/>
        <w:textAlignment w:val="baseline"/>
      </w:pPr>
      <w:r w:rsidRPr="00F23BDC">
        <w:t>School-based data also helps in identifying specific needs, targeting health promotion and disease prevention activities, evaluating the effectiveness of public health programs, and tracking long-term health outcomes.</w:t>
      </w:r>
      <w:r w:rsidR="0064296A">
        <w:rPr>
          <w:rStyle w:val="FootnoteReference"/>
        </w:rPr>
        <w:footnoteReference w:id="3"/>
      </w:r>
    </w:p>
    <w:p w14:paraId="64598B05" w14:textId="77777777" w:rsidR="00CB0F79" w:rsidRDefault="00CB0F79" w:rsidP="00025F7A">
      <w:pPr>
        <w:spacing w:line="360" w:lineRule="auto"/>
        <w:textAlignment w:val="baseline"/>
      </w:pPr>
    </w:p>
    <w:p w14:paraId="173E3817" w14:textId="6C038579" w:rsidR="00B40683" w:rsidRDefault="00F23BDC" w:rsidP="00025F7A">
      <w:pPr>
        <w:spacing w:line="360" w:lineRule="auto"/>
        <w:textAlignment w:val="baseline"/>
      </w:pPr>
      <w:r w:rsidRPr="00F23BDC">
        <w:t>Public health agencies view schools and education agencies as important partners in protecting children and adolescents from health threats. Sharing data between schools and public health agencies may, in some instances, be the only realistic and reliable method for getting the information necessary to conduct public health activities, such as tracking immunization rates.</w:t>
      </w:r>
      <w:r w:rsidR="00F41FB9">
        <w:rPr>
          <w:rStyle w:val="FootnoteReference"/>
        </w:rPr>
        <w:footnoteReference w:id="4"/>
      </w:r>
      <w:r w:rsidR="00F41FB9">
        <w:rPr>
          <w:bdr w:val="none" w:sz="0" w:space="0" w:color="auto" w:frame="1"/>
        </w:rPr>
        <w:t xml:space="preserve"> </w:t>
      </w:r>
      <w:r w:rsidRPr="00F23BDC">
        <w:t xml:space="preserve">However, as will be discussed </w:t>
      </w:r>
      <w:r w:rsidRPr="00F23BDC">
        <w:lastRenderedPageBreak/>
        <w:t>below, federal privacy protections for student education records have caused difficulties for public health efforts to conduct mandated and discretionary federal and state public health activities.</w:t>
      </w:r>
    </w:p>
    <w:p w14:paraId="53CBA3BF" w14:textId="77777777" w:rsidR="00CB0F79" w:rsidRPr="00CB0F79" w:rsidRDefault="00CB0F79" w:rsidP="00025F7A">
      <w:pPr>
        <w:spacing w:line="360" w:lineRule="auto"/>
        <w:textAlignment w:val="baseline"/>
        <w:rPr>
          <w:rFonts w:eastAsia="Times New Roman" w:cstheme="minorHAnsi"/>
          <w:color w:val="000000" w:themeColor="text1"/>
        </w:rPr>
      </w:pPr>
    </w:p>
    <w:p w14:paraId="48FA5CA7" w14:textId="77777777" w:rsidR="00CB0F79" w:rsidRDefault="00F23BDC" w:rsidP="00CB0F79">
      <w:pPr>
        <w:spacing w:line="360" w:lineRule="auto"/>
        <w:rPr>
          <w:rFonts w:eastAsia="Times New Roman" w:cstheme="minorHAnsi"/>
          <w:b/>
          <w:bCs/>
          <w:color w:val="3C3030"/>
          <w:sz w:val="24"/>
          <w:szCs w:val="24"/>
        </w:rPr>
      </w:pPr>
      <w:r w:rsidRPr="00F23BDC">
        <w:rPr>
          <w:rFonts w:eastAsia="Times New Roman" w:cstheme="minorHAnsi"/>
          <w:b/>
          <w:bCs/>
          <w:color w:val="3C3030"/>
          <w:sz w:val="24"/>
          <w:szCs w:val="24"/>
        </w:rPr>
        <w:t>Federal Laws Governing Health Information Privacy and Disclosure</w:t>
      </w:r>
    </w:p>
    <w:p w14:paraId="55701269" w14:textId="55C9670B" w:rsidR="00F23BDC" w:rsidRPr="00EE7C5D" w:rsidRDefault="00F23BDC" w:rsidP="00EE7C5D">
      <w:pPr>
        <w:spacing w:line="360" w:lineRule="auto"/>
        <w:rPr>
          <w:rFonts w:eastAsia="Times New Roman" w:cstheme="minorHAnsi"/>
          <w:color w:val="000000" w:themeColor="text1"/>
          <w:szCs w:val="20"/>
        </w:rPr>
      </w:pPr>
      <w:r w:rsidRPr="00F23BDC">
        <w:rPr>
          <w:rFonts w:eastAsia="Times New Roman" w:cstheme="minorHAnsi"/>
          <w:color w:val="000000" w:themeColor="text1"/>
          <w:szCs w:val="20"/>
        </w:rPr>
        <w:t>Two federal laws figure prominently in the discussion of public health access to school data—the Family Educational Rights and Privacy Act (FERPA)</w:t>
      </w:r>
      <w:r w:rsidR="00416956">
        <w:rPr>
          <w:rStyle w:val="FootnoteReference"/>
          <w:rFonts w:eastAsia="Times New Roman" w:cstheme="minorHAnsi"/>
          <w:color w:val="000000" w:themeColor="text1"/>
          <w:szCs w:val="20"/>
        </w:rPr>
        <w:footnoteReference w:id="5"/>
      </w:r>
      <w:r w:rsidRPr="00F23BDC">
        <w:rPr>
          <w:rFonts w:eastAsia="Times New Roman" w:cstheme="minorHAnsi"/>
          <w:color w:val="000000" w:themeColor="text1"/>
          <w:szCs w:val="20"/>
        </w:rPr>
        <w:t xml:space="preserve"> and the Health Insurance Portability and Accountability Act (HIPAA)</w:t>
      </w:r>
      <w:r w:rsidR="00416956">
        <w:rPr>
          <w:rStyle w:val="FootnoteReference"/>
          <w:rFonts w:eastAsia="Times New Roman" w:cstheme="minorHAnsi"/>
          <w:color w:val="000000" w:themeColor="text1"/>
          <w:szCs w:val="20"/>
        </w:rPr>
        <w:footnoteReference w:id="6"/>
      </w:r>
      <w:r w:rsidRPr="00F23BDC">
        <w:rPr>
          <w:rFonts w:eastAsia="Times New Roman" w:cstheme="minorHAnsi"/>
          <w:color w:val="000000" w:themeColor="text1"/>
          <w:szCs w:val="20"/>
        </w:rPr>
        <w:t>. This section describes these laws as they relate to privacy and disclosure of student health and other records. HIPAA’s Privacy Rule</w:t>
      </w:r>
      <w:r w:rsidR="008D0ABB">
        <w:rPr>
          <w:rStyle w:val="FootnoteReference"/>
          <w:rFonts w:eastAsia="Times New Roman" w:cstheme="minorHAnsi"/>
          <w:color w:val="000000" w:themeColor="text1"/>
          <w:szCs w:val="20"/>
        </w:rPr>
        <w:footnoteReference w:id="7"/>
      </w:r>
      <w:r w:rsidRPr="00F23BDC">
        <w:rPr>
          <w:rFonts w:eastAsia="Times New Roman" w:cstheme="minorHAnsi"/>
          <w:color w:val="000000" w:themeColor="text1"/>
          <w:szCs w:val="20"/>
        </w:rPr>
        <w:t xml:space="preserve"> specifically excludes student education records covered under FERPA from coverage under the Privacy Rule. Thus, FERPA governs student health information that falls within the purview of that act; other health-related records outside of FERPA are governed by HIPAA and any applicable state laws.</w:t>
      </w:r>
    </w:p>
    <w:p w14:paraId="27725FB1" w14:textId="77777777" w:rsidR="007D4CFD" w:rsidRPr="00EE7C5D" w:rsidRDefault="007D4CFD" w:rsidP="00EE7C5D">
      <w:pPr>
        <w:spacing w:line="360" w:lineRule="auto"/>
        <w:rPr>
          <w:rFonts w:eastAsia="Times New Roman" w:cstheme="minorHAnsi"/>
          <w:color w:val="3C3030"/>
          <w:sz w:val="24"/>
          <w:szCs w:val="24"/>
        </w:rPr>
      </w:pPr>
    </w:p>
    <w:p w14:paraId="7F9A276D" w14:textId="77777777" w:rsidR="00CC6EA6" w:rsidRDefault="00F23BDC" w:rsidP="00CC6EA6">
      <w:pPr>
        <w:spacing w:line="360" w:lineRule="auto"/>
        <w:rPr>
          <w:rFonts w:eastAsia="Times New Roman" w:cstheme="minorHAnsi"/>
          <w:b/>
          <w:bCs/>
          <w:color w:val="000000" w:themeColor="text1"/>
          <w:szCs w:val="20"/>
        </w:rPr>
      </w:pPr>
      <w:r w:rsidRPr="00F23BDC">
        <w:rPr>
          <w:rFonts w:eastAsia="Times New Roman" w:cstheme="minorHAnsi"/>
          <w:b/>
          <w:bCs/>
          <w:color w:val="000000" w:themeColor="text1"/>
          <w:szCs w:val="20"/>
        </w:rPr>
        <w:t>Family Educational Rights and Privacy Act</w:t>
      </w:r>
    </w:p>
    <w:p w14:paraId="0F6EE2BB" w14:textId="269123E2" w:rsidR="002D54BA" w:rsidRDefault="00F23BDC" w:rsidP="00CC6EA6">
      <w:pPr>
        <w:spacing w:line="360" w:lineRule="auto"/>
        <w:rPr>
          <w:rFonts w:eastAsia="Times New Roman" w:cstheme="minorHAnsi"/>
          <w:color w:val="000000" w:themeColor="text1"/>
          <w:sz w:val="16"/>
          <w:szCs w:val="14"/>
          <w:bdr w:val="none" w:sz="0" w:space="0" w:color="auto" w:frame="1"/>
        </w:rPr>
      </w:pPr>
      <w:r w:rsidRPr="00F23BDC">
        <w:rPr>
          <w:rFonts w:eastAsia="Times New Roman" w:cstheme="minorHAnsi"/>
          <w:color w:val="000000" w:themeColor="text1"/>
          <w:szCs w:val="20"/>
        </w:rPr>
        <w:t>The Family Educational Rights and Privacy Act (FERPA)</w:t>
      </w:r>
      <w:r w:rsidR="00F47ADD">
        <w:rPr>
          <w:rFonts w:eastAsia="Times New Roman" w:cstheme="minorHAnsi"/>
          <w:color w:val="000000" w:themeColor="text1"/>
          <w:szCs w:val="20"/>
        </w:rPr>
        <w:t xml:space="preserve"> </w:t>
      </w:r>
      <w:r w:rsidRPr="00F23BDC">
        <w:rPr>
          <w:rFonts w:eastAsia="Times New Roman" w:cstheme="minorHAnsi"/>
          <w:color w:val="000000" w:themeColor="text1"/>
          <w:szCs w:val="20"/>
        </w:rPr>
        <w:t>is a federal law intended to protect the privacy of student education records while allowing students and parents greater access to the records.</w:t>
      </w:r>
      <w:r w:rsidR="005A2E81">
        <w:rPr>
          <w:rStyle w:val="FootnoteReference"/>
          <w:rFonts w:eastAsia="Times New Roman" w:cstheme="minorHAnsi"/>
          <w:color w:val="000000" w:themeColor="text1"/>
          <w:szCs w:val="20"/>
        </w:rPr>
        <w:footnoteReference w:id="8"/>
      </w:r>
      <w:r w:rsidRPr="00F23BDC">
        <w:rPr>
          <w:rFonts w:eastAsia="Times New Roman" w:cstheme="minorHAnsi"/>
          <w:color w:val="000000" w:themeColor="text1"/>
          <w:szCs w:val="20"/>
        </w:rPr>
        <w:t xml:space="preserve"> FERPA, among other things, prevents the disclosure of a student’s education record without the consent of a parent or eligible student unless an exception to the law’s general consent requirement applies.</w:t>
      </w:r>
      <w:r w:rsidR="00A47EE7">
        <w:rPr>
          <w:rStyle w:val="FootnoteReference"/>
          <w:rFonts w:eastAsia="Times New Roman" w:cstheme="minorHAnsi"/>
          <w:color w:val="000000" w:themeColor="text1"/>
          <w:szCs w:val="20"/>
        </w:rPr>
        <w:footnoteReference w:id="9"/>
      </w:r>
      <w:r w:rsidR="00A47EE7">
        <w:rPr>
          <w:rFonts w:eastAsia="Times New Roman" w:cstheme="minorHAnsi"/>
          <w:color w:val="000000" w:themeColor="text1"/>
          <w:szCs w:val="20"/>
        </w:rPr>
        <w:t xml:space="preserve"> </w:t>
      </w:r>
      <w:r w:rsidRPr="00F23BDC">
        <w:rPr>
          <w:rFonts w:eastAsia="Times New Roman" w:cstheme="minorHAnsi"/>
          <w:color w:val="000000" w:themeColor="text1"/>
          <w:szCs w:val="20"/>
        </w:rPr>
        <w:t>“Eligible students” are students who have turned 18 or attend school beyond the high school level at any age.</w:t>
      </w:r>
      <w:r w:rsidR="007D524A">
        <w:rPr>
          <w:rStyle w:val="FootnoteReference"/>
          <w:rFonts w:eastAsia="Times New Roman" w:cstheme="minorHAnsi"/>
          <w:color w:val="000000" w:themeColor="text1"/>
          <w:szCs w:val="20"/>
        </w:rPr>
        <w:footnoteReference w:id="10"/>
      </w:r>
      <w:r w:rsidR="007D524A">
        <w:rPr>
          <w:rFonts w:eastAsia="Times New Roman" w:cstheme="minorHAnsi"/>
          <w:color w:val="000000" w:themeColor="text1"/>
          <w:szCs w:val="20"/>
        </w:rPr>
        <w:t xml:space="preserve"> </w:t>
      </w:r>
      <w:r w:rsidRPr="00F23BDC">
        <w:rPr>
          <w:rFonts w:eastAsia="Times New Roman" w:cstheme="minorHAnsi"/>
          <w:color w:val="000000" w:themeColor="text1"/>
          <w:szCs w:val="20"/>
        </w:rPr>
        <w:t>FERPA applies to all educational institutions and agencies that receive any funds for programs administered by the U.S. Department of Education (ED or the Department).</w:t>
      </w:r>
      <w:r w:rsidR="007D524A">
        <w:rPr>
          <w:rStyle w:val="FootnoteReference"/>
          <w:rFonts w:eastAsia="Times New Roman" w:cstheme="minorHAnsi"/>
          <w:color w:val="000000" w:themeColor="text1"/>
          <w:szCs w:val="20"/>
        </w:rPr>
        <w:footnoteReference w:id="11"/>
      </w:r>
      <w:r w:rsidR="007D524A" w:rsidRPr="007D524A">
        <w:rPr>
          <w:rFonts w:eastAsia="Times New Roman" w:cstheme="minorHAnsi"/>
          <w:color w:val="000000" w:themeColor="text1"/>
          <w:sz w:val="16"/>
          <w:szCs w:val="14"/>
          <w:bdr w:val="none" w:sz="0" w:space="0" w:color="auto" w:frame="1"/>
        </w:rPr>
        <w:t xml:space="preserve"> </w:t>
      </w:r>
      <w:r w:rsidRPr="00F23BDC">
        <w:rPr>
          <w:rFonts w:eastAsia="Times New Roman" w:cstheme="minorHAnsi"/>
          <w:color w:val="000000" w:themeColor="text1"/>
          <w:szCs w:val="20"/>
        </w:rPr>
        <w:t>Thus, all public schools and school districts and most public and private post-secondary institutions (e.g., colleges) are covered by FERPA.</w:t>
      </w:r>
      <w:r w:rsidR="007D524A">
        <w:rPr>
          <w:rStyle w:val="FootnoteReference"/>
          <w:rFonts w:eastAsia="Times New Roman" w:cstheme="minorHAnsi"/>
          <w:color w:val="000000" w:themeColor="text1"/>
          <w:szCs w:val="20"/>
        </w:rPr>
        <w:footnoteReference w:id="12"/>
      </w:r>
      <w:r w:rsidR="007D524A">
        <w:rPr>
          <w:rFonts w:eastAsia="Times New Roman" w:cstheme="minorHAnsi"/>
          <w:color w:val="000000" w:themeColor="text1"/>
          <w:szCs w:val="20"/>
        </w:rPr>
        <w:t xml:space="preserve"> </w:t>
      </w:r>
      <w:r w:rsidRPr="007D524A">
        <w:rPr>
          <w:rFonts w:eastAsia="Times New Roman" w:cstheme="minorHAnsi"/>
          <w:color w:val="000000" w:themeColor="text1"/>
          <w:szCs w:val="20"/>
        </w:rPr>
        <w:t>Private</w:t>
      </w:r>
      <w:r w:rsidRPr="00F23BDC">
        <w:rPr>
          <w:rFonts w:eastAsia="Times New Roman" w:cstheme="minorHAnsi"/>
          <w:color w:val="000000" w:themeColor="text1"/>
          <w:szCs w:val="20"/>
        </w:rPr>
        <w:t xml:space="preserve"> and religious elementary and secondary schools are not subject to FERPA because they </w:t>
      </w:r>
      <w:r w:rsidRPr="00F23BDC">
        <w:rPr>
          <w:rFonts w:eastAsia="Times New Roman" w:cstheme="minorHAnsi"/>
          <w:color w:val="000000" w:themeColor="text1"/>
          <w:szCs w:val="20"/>
        </w:rPr>
        <w:lastRenderedPageBreak/>
        <w:t>generally do not receive funding from ED.</w:t>
      </w:r>
      <w:r w:rsidR="00F475B8">
        <w:rPr>
          <w:rStyle w:val="FootnoteReference"/>
          <w:rFonts w:eastAsia="Times New Roman" w:cstheme="minorHAnsi"/>
          <w:color w:val="000000" w:themeColor="text1"/>
          <w:szCs w:val="20"/>
        </w:rPr>
        <w:footnoteReference w:id="13"/>
      </w:r>
      <w:r w:rsidRPr="00F23BDC">
        <w:rPr>
          <w:rFonts w:eastAsia="Times New Roman" w:cstheme="minorHAnsi"/>
          <w:color w:val="000000" w:themeColor="text1"/>
          <w:szCs w:val="20"/>
        </w:rPr>
        <w:t xml:space="preserve"> </w:t>
      </w:r>
      <w:r w:rsidR="009761DD">
        <w:rPr>
          <w:rFonts w:eastAsia="Times New Roman" w:cstheme="minorHAnsi"/>
          <w:color w:val="000000" w:themeColor="text1"/>
          <w:szCs w:val="20"/>
        </w:rPr>
        <w:t>FERPA</w:t>
      </w:r>
      <w:r w:rsidR="00482164">
        <w:rPr>
          <w:rFonts w:eastAsia="Times New Roman" w:cstheme="minorHAnsi"/>
          <w:color w:val="000000" w:themeColor="text1"/>
          <w:szCs w:val="20"/>
        </w:rPr>
        <w:t xml:space="preserve"> </w:t>
      </w:r>
      <w:r w:rsidR="009761DD">
        <w:rPr>
          <w:rFonts w:eastAsia="Times New Roman" w:cstheme="minorHAnsi"/>
          <w:color w:val="000000" w:themeColor="text1"/>
          <w:szCs w:val="20"/>
        </w:rPr>
        <w:t xml:space="preserve">regulations </w:t>
      </w:r>
      <w:r w:rsidR="00482164">
        <w:rPr>
          <w:rFonts w:eastAsia="Times New Roman" w:cstheme="minorHAnsi"/>
          <w:color w:val="000000" w:themeColor="text1"/>
          <w:szCs w:val="20"/>
        </w:rPr>
        <w:t xml:space="preserve">also </w:t>
      </w:r>
      <w:r w:rsidR="00E345D0">
        <w:rPr>
          <w:rFonts w:eastAsia="Times New Roman" w:cstheme="minorHAnsi"/>
          <w:color w:val="000000" w:themeColor="text1"/>
          <w:szCs w:val="20"/>
        </w:rPr>
        <w:t>exten</w:t>
      </w:r>
      <w:r w:rsidR="0037010D">
        <w:rPr>
          <w:rFonts w:eastAsia="Times New Roman" w:cstheme="minorHAnsi"/>
          <w:color w:val="000000" w:themeColor="text1"/>
          <w:szCs w:val="20"/>
        </w:rPr>
        <w:t>d</w:t>
      </w:r>
      <w:r w:rsidR="00E345D0">
        <w:rPr>
          <w:rFonts w:eastAsia="Times New Roman" w:cstheme="minorHAnsi"/>
          <w:color w:val="000000" w:themeColor="text1"/>
          <w:szCs w:val="20"/>
        </w:rPr>
        <w:t xml:space="preserve"> </w:t>
      </w:r>
      <w:r w:rsidR="00432080">
        <w:rPr>
          <w:rFonts w:eastAsia="Times New Roman" w:cstheme="minorHAnsi"/>
          <w:color w:val="000000" w:themeColor="text1"/>
          <w:szCs w:val="20"/>
        </w:rPr>
        <w:t xml:space="preserve">FERPA’s requirements </w:t>
      </w:r>
      <w:r w:rsidR="00AE1A29">
        <w:rPr>
          <w:rFonts w:eastAsia="Times New Roman" w:cstheme="minorHAnsi"/>
          <w:color w:val="000000" w:themeColor="text1"/>
          <w:szCs w:val="20"/>
        </w:rPr>
        <w:t xml:space="preserve">to </w:t>
      </w:r>
      <w:r w:rsidR="00AA2CC5">
        <w:rPr>
          <w:rFonts w:eastAsia="Times New Roman" w:cstheme="minorHAnsi"/>
          <w:color w:val="000000" w:themeColor="text1"/>
          <w:szCs w:val="20"/>
        </w:rPr>
        <w:t>non-school/educational agencies th</w:t>
      </w:r>
      <w:r w:rsidR="006949E1">
        <w:rPr>
          <w:rFonts w:eastAsia="Times New Roman" w:cstheme="minorHAnsi"/>
          <w:color w:val="000000" w:themeColor="text1"/>
          <w:szCs w:val="20"/>
        </w:rPr>
        <w:t xml:space="preserve">at received funds from the Department </w:t>
      </w:r>
      <w:r w:rsidRPr="00F23BDC">
        <w:rPr>
          <w:rFonts w:eastAsia="Times New Roman" w:cstheme="minorHAnsi"/>
          <w:color w:val="000000" w:themeColor="text1"/>
          <w:szCs w:val="20"/>
        </w:rPr>
        <w:t>or that disclose or receive protected information under the act.</w:t>
      </w:r>
      <w:r w:rsidR="008D6091">
        <w:rPr>
          <w:rStyle w:val="FootnoteReference"/>
          <w:rFonts w:eastAsia="Times New Roman" w:cstheme="minorHAnsi"/>
          <w:color w:val="000000" w:themeColor="text1"/>
          <w:szCs w:val="20"/>
        </w:rPr>
        <w:footnoteReference w:id="14"/>
      </w:r>
      <w:r w:rsidR="008D6091">
        <w:rPr>
          <w:rFonts w:eastAsia="Times New Roman" w:cstheme="minorHAnsi"/>
          <w:color w:val="000000" w:themeColor="text1"/>
          <w:szCs w:val="20"/>
        </w:rPr>
        <w:t xml:space="preserve"> </w:t>
      </w:r>
      <w:r w:rsidR="00E345D0" w:rsidRPr="00EF118C">
        <w:rPr>
          <w:rStyle w:val="FootnoteReference"/>
          <w:rFonts w:eastAsia="Times New Roman" w:cstheme="minorHAnsi"/>
          <w:color w:val="000000" w:themeColor="text1"/>
          <w:szCs w:val="20"/>
          <w:bdr w:val="none" w:sz="0" w:space="0" w:color="auto" w:frame="1"/>
        </w:rPr>
        <w:footnoteReference w:id="15"/>
      </w:r>
      <w:r w:rsidR="00C67D56">
        <w:rPr>
          <w:rFonts w:eastAsia="Times New Roman" w:cstheme="minorHAnsi"/>
          <w:color w:val="000000" w:themeColor="text1"/>
          <w:sz w:val="16"/>
          <w:szCs w:val="14"/>
          <w:bdr w:val="none" w:sz="0" w:space="0" w:color="auto" w:frame="1"/>
        </w:rPr>
        <w:t xml:space="preserve"> </w:t>
      </w:r>
    </w:p>
    <w:p w14:paraId="1CD9F9BC" w14:textId="77777777" w:rsidR="002D54BA" w:rsidRDefault="002D54BA" w:rsidP="00CC6EA6">
      <w:pPr>
        <w:spacing w:line="360" w:lineRule="auto"/>
        <w:rPr>
          <w:rFonts w:eastAsia="Times New Roman" w:cstheme="minorHAnsi"/>
          <w:color w:val="000000" w:themeColor="text1"/>
          <w:sz w:val="16"/>
          <w:szCs w:val="14"/>
          <w:bdr w:val="none" w:sz="0" w:space="0" w:color="auto" w:frame="1"/>
        </w:rPr>
      </w:pPr>
    </w:p>
    <w:p w14:paraId="1B4C702A" w14:textId="4D25D090" w:rsidR="00D469AE" w:rsidRPr="002C6B73" w:rsidRDefault="00C67D56" w:rsidP="00D469AE">
      <w:pPr>
        <w:spacing w:line="360" w:lineRule="auto"/>
        <w:rPr>
          <w:rFonts w:eastAsia="Times New Roman" w:cstheme="minorHAnsi"/>
          <w:b/>
          <w:bCs/>
          <w:color w:val="000000" w:themeColor="text1"/>
          <w:szCs w:val="20"/>
        </w:rPr>
      </w:pPr>
      <w:r w:rsidRPr="00F23BDC">
        <w:rPr>
          <w:rFonts w:eastAsia="Times New Roman" w:cstheme="minorHAnsi"/>
          <w:color w:val="000000" w:themeColor="text1"/>
        </w:rPr>
        <w:t>FERPA regulations define “personally identifiable information” (PII) to include name, address, personal identifiers like Social Security number or date of birth, biometric data, or other information that could be used alone or in combination to identify a student.</w:t>
      </w:r>
      <w:r w:rsidR="000301F6">
        <w:rPr>
          <w:rStyle w:val="FootnoteReference"/>
          <w:rFonts w:eastAsia="Times New Roman" w:cstheme="minorHAnsi"/>
          <w:color w:val="000000" w:themeColor="text1"/>
        </w:rPr>
        <w:footnoteReference w:id="16"/>
      </w:r>
      <w:r w:rsidR="000301F6">
        <w:rPr>
          <w:rFonts w:eastAsia="Times New Roman" w:cstheme="minorHAnsi"/>
          <w:color w:val="000000" w:themeColor="text1"/>
          <w:bdr w:val="none" w:sz="0" w:space="0" w:color="auto" w:frame="1"/>
        </w:rPr>
        <w:t xml:space="preserve"> </w:t>
      </w:r>
      <w:r w:rsidRPr="00F23BDC">
        <w:rPr>
          <w:rFonts w:eastAsia="Times New Roman" w:cstheme="minorHAnsi"/>
          <w:color w:val="000000" w:themeColor="text1"/>
        </w:rPr>
        <w:t>However, schools may disclose without consent “directory information” such as a student's name, address, telephone number, date and place of birth, honors and awards, and dates of attendance.</w:t>
      </w:r>
      <w:r w:rsidR="000301F6">
        <w:rPr>
          <w:rStyle w:val="FootnoteReference"/>
          <w:rFonts w:eastAsia="Times New Roman" w:cstheme="minorHAnsi"/>
          <w:color w:val="000000" w:themeColor="text1"/>
        </w:rPr>
        <w:footnoteReference w:id="17"/>
      </w:r>
      <w:r w:rsidR="000301F6">
        <w:rPr>
          <w:rFonts w:eastAsia="Times New Roman" w:cstheme="minorHAnsi"/>
          <w:color w:val="000000" w:themeColor="text1"/>
        </w:rPr>
        <w:t xml:space="preserve"> </w:t>
      </w:r>
      <w:r w:rsidRPr="00F23BDC">
        <w:rPr>
          <w:rFonts w:eastAsia="Times New Roman" w:cstheme="minorHAnsi"/>
          <w:color w:val="000000" w:themeColor="text1"/>
        </w:rPr>
        <w:t>Schools must tell parents and eligible students about directory information and allow parents and eligible students a reasonable amount of time to request that the school not disclose directory information about them.</w:t>
      </w:r>
      <w:r w:rsidR="002C6B73">
        <w:rPr>
          <w:rStyle w:val="FootnoteReference"/>
          <w:rFonts w:eastAsia="Times New Roman" w:cstheme="minorHAnsi"/>
          <w:color w:val="000000" w:themeColor="text1"/>
        </w:rPr>
        <w:footnoteReference w:id="18"/>
      </w:r>
    </w:p>
    <w:p w14:paraId="351D3E6E" w14:textId="77777777" w:rsidR="00D469AE" w:rsidRDefault="00D469AE" w:rsidP="00D469AE">
      <w:pPr>
        <w:spacing w:line="360" w:lineRule="auto"/>
        <w:rPr>
          <w:rFonts w:eastAsia="Times New Roman" w:cstheme="minorHAnsi"/>
          <w:b/>
          <w:bCs/>
          <w:color w:val="000000" w:themeColor="text1"/>
          <w:szCs w:val="20"/>
        </w:rPr>
      </w:pPr>
    </w:p>
    <w:p w14:paraId="78C10B99" w14:textId="39C67A70" w:rsidR="00C67D56" w:rsidRPr="00433CA5" w:rsidRDefault="00C67D56" w:rsidP="00D469AE">
      <w:pPr>
        <w:spacing w:line="360" w:lineRule="auto"/>
        <w:rPr>
          <w:rFonts w:eastAsia="Times New Roman" w:cstheme="minorHAnsi"/>
          <w:color w:val="000000" w:themeColor="text1"/>
          <w:szCs w:val="20"/>
        </w:rPr>
      </w:pPr>
      <w:r w:rsidRPr="00F23BDC">
        <w:rPr>
          <w:rFonts w:eastAsia="Times New Roman" w:cstheme="minorHAnsi"/>
          <w:color w:val="000000" w:themeColor="text1"/>
        </w:rPr>
        <w:t xml:space="preserve">FERPA contains a number of exceptions that allow schools to disclose PII from a student’s education record without consent of a parent or an eligible student. Schools may </w:t>
      </w:r>
      <w:r w:rsidR="00F735EC">
        <w:rPr>
          <w:rFonts w:eastAsia="Times New Roman" w:cstheme="minorHAnsi"/>
          <w:color w:val="000000" w:themeColor="text1"/>
        </w:rPr>
        <w:t xml:space="preserve">also </w:t>
      </w:r>
      <w:r w:rsidRPr="00F23BDC">
        <w:rPr>
          <w:rFonts w:eastAsia="Times New Roman" w:cstheme="minorHAnsi"/>
          <w:color w:val="000000" w:themeColor="text1"/>
        </w:rPr>
        <w:t>disclose de-identified information without written consent.</w:t>
      </w:r>
      <w:r w:rsidR="008E2645">
        <w:rPr>
          <w:rStyle w:val="FootnoteReference"/>
          <w:rFonts w:eastAsia="Times New Roman" w:cstheme="minorHAnsi"/>
          <w:color w:val="000000" w:themeColor="text1"/>
        </w:rPr>
        <w:footnoteReference w:id="19"/>
      </w:r>
      <w:r w:rsidR="008E2645">
        <w:rPr>
          <w:rFonts w:eastAsia="Times New Roman" w:cstheme="minorHAnsi"/>
          <w:color w:val="000000" w:themeColor="text1"/>
          <w:bdr w:val="none" w:sz="0" w:space="0" w:color="auto" w:frame="1"/>
        </w:rPr>
        <w:t xml:space="preserve"> </w:t>
      </w:r>
      <w:r w:rsidRPr="00F23BDC">
        <w:rPr>
          <w:rFonts w:eastAsia="Times New Roman" w:cstheme="minorHAnsi"/>
          <w:color w:val="000000" w:themeColor="text1"/>
        </w:rPr>
        <w:t>In addition to disclosures to parents and eligible students, and for directory information, FERPA regulations identify the parties or circumstances in which disclosure of PII may be made without consent.</w:t>
      </w:r>
      <w:r w:rsidR="008E2645">
        <w:rPr>
          <w:rStyle w:val="FootnoteReference"/>
          <w:rFonts w:eastAsia="Times New Roman" w:cstheme="minorHAnsi"/>
          <w:color w:val="000000" w:themeColor="text1"/>
        </w:rPr>
        <w:footnoteReference w:id="20"/>
      </w:r>
      <w:r w:rsidR="008E2645">
        <w:rPr>
          <w:rFonts w:eastAsia="Times New Roman" w:cstheme="minorHAnsi"/>
          <w:color w:val="000000" w:themeColor="text1"/>
          <w:bdr w:val="none" w:sz="0" w:space="0" w:color="auto" w:frame="1"/>
        </w:rPr>
        <w:t xml:space="preserve"> </w:t>
      </w:r>
      <w:r w:rsidR="00F735EC">
        <w:rPr>
          <w:rFonts w:eastAsia="Times New Roman" w:cstheme="minorHAnsi"/>
          <w:color w:val="000000" w:themeColor="text1"/>
        </w:rPr>
        <w:t xml:space="preserve">These include releases to school officials, specified federal, state or local officials and their authorized representatives; in the case of health and safety emergencies; to juvenile justice authorities or to comply with judicial actions; studies being conducted on behalf of the </w:t>
      </w:r>
      <w:r w:rsidR="00F735EC">
        <w:rPr>
          <w:rFonts w:eastAsia="Times New Roman" w:cstheme="minorHAnsi"/>
          <w:color w:val="000000" w:themeColor="text1"/>
        </w:rPr>
        <w:lastRenderedPageBreak/>
        <w:t>school; for financial aid purposes or transferring schools; and to accrediting organizations.</w:t>
      </w:r>
      <w:r w:rsidR="00F735EC">
        <w:rPr>
          <w:rStyle w:val="FootnoteReference"/>
          <w:rFonts w:eastAsia="Times New Roman" w:cstheme="minorHAnsi"/>
          <w:color w:val="000000" w:themeColor="text1"/>
        </w:rPr>
        <w:footnoteReference w:id="21"/>
      </w:r>
      <w:r w:rsidR="00F735EC">
        <w:rPr>
          <w:rFonts w:eastAsia="Times New Roman" w:cstheme="minorHAnsi"/>
          <w:color w:val="000000" w:themeColor="text1"/>
        </w:rPr>
        <w:t xml:space="preserve"> </w:t>
      </w:r>
      <w:r w:rsidRPr="00F23BDC">
        <w:rPr>
          <w:rFonts w:eastAsia="Times New Roman" w:cstheme="minorHAnsi"/>
          <w:color w:val="000000" w:themeColor="text1"/>
        </w:rPr>
        <w:t>Historically, these exceptions have been narrowly construed by ED to err on the side of protecting the student’s privacy over making a disclosure. Thus, ED interpretations have resulted in a very narrow scope of circumstances and recipients for the release of education records without prior written consent by a parent or eligible student.</w:t>
      </w:r>
      <w:r w:rsidR="001822AF">
        <w:rPr>
          <w:rFonts w:eastAsia="Times New Roman" w:cstheme="minorHAnsi"/>
          <w:color w:val="000000" w:themeColor="text1"/>
        </w:rPr>
        <w:t xml:space="preserve"> </w:t>
      </w:r>
      <w:r w:rsidR="001822AF" w:rsidRPr="004D42AB">
        <w:rPr>
          <w:rFonts w:eastAsia="Times New Roman" w:cstheme="minorHAnsi"/>
        </w:rPr>
        <w:t xml:space="preserve">For a more detailed discussion of FERPA's provisions as applied to disclosure of student records for public health purposes, see </w:t>
      </w:r>
      <w:r w:rsidR="001822AF">
        <w:rPr>
          <w:rFonts w:eastAsia="Times New Roman" w:cstheme="minorHAnsi"/>
        </w:rPr>
        <w:t xml:space="preserve">the </w:t>
      </w:r>
      <w:r w:rsidR="001822AF" w:rsidRPr="00B74D7F">
        <w:rPr>
          <w:rFonts w:eastAsia="Times New Roman" w:cstheme="minorHAnsi"/>
        </w:rPr>
        <w:t>Family Educational Rights and Privacy Act (FERPA)</w:t>
      </w:r>
      <w:r w:rsidR="001822AF">
        <w:rPr>
          <w:rFonts w:eastAsia="Times New Roman" w:cstheme="minorHAnsi"/>
        </w:rPr>
        <w:t xml:space="preserve"> document in this series.</w:t>
      </w:r>
    </w:p>
    <w:p w14:paraId="7906D1C5" w14:textId="77777777" w:rsidR="00433CA5" w:rsidRPr="00433CA5" w:rsidRDefault="00433CA5" w:rsidP="00CB0F79">
      <w:pPr>
        <w:spacing w:line="360" w:lineRule="auto"/>
        <w:rPr>
          <w:rFonts w:eastAsia="Times New Roman" w:cstheme="minorHAnsi"/>
          <w:color w:val="000000" w:themeColor="text1"/>
          <w:szCs w:val="20"/>
          <w:bdr w:val="none" w:sz="0" w:space="0" w:color="auto" w:frame="1"/>
        </w:rPr>
      </w:pPr>
    </w:p>
    <w:p w14:paraId="20562ADF" w14:textId="77777777" w:rsidR="00433CA5" w:rsidRDefault="00F23BDC" w:rsidP="00433CA5">
      <w:pPr>
        <w:spacing w:line="360" w:lineRule="auto"/>
        <w:rPr>
          <w:rFonts w:eastAsia="Times New Roman" w:cstheme="minorHAnsi"/>
          <w:b/>
          <w:bCs/>
          <w:color w:val="000000" w:themeColor="text1"/>
          <w:szCs w:val="20"/>
        </w:rPr>
      </w:pPr>
      <w:r w:rsidRPr="00433CA5">
        <w:rPr>
          <w:rFonts w:eastAsia="Times New Roman" w:cstheme="minorHAnsi"/>
          <w:b/>
          <w:bCs/>
          <w:color w:val="000000" w:themeColor="text1"/>
          <w:szCs w:val="20"/>
          <w:bdr w:val="none" w:sz="0" w:space="0" w:color="auto" w:frame="1"/>
        </w:rPr>
        <w:t>The</w:t>
      </w:r>
      <w:r w:rsidRPr="00F23BDC">
        <w:rPr>
          <w:rFonts w:eastAsia="Times New Roman" w:cstheme="minorHAnsi"/>
          <w:b/>
          <w:bCs/>
          <w:color w:val="000000" w:themeColor="text1"/>
          <w:szCs w:val="20"/>
          <w:bdr w:val="none" w:sz="0" w:space="0" w:color="auto" w:frame="1"/>
        </w:rPr>
        <w:t xml:space="preserve"> Health Insurance Portability and Accountability Act</w:t>
      </w:r>
      <w:r w:rsidR="00A66930">
        <w:rPr>
          <w:rFonts w:eastAsia="Times New Roman" w:cstheme="minorHAnsi"/>
          <w:b/>
          <w:bCs/>
          <w:color w:val="000000" w:themeColor="text1"/>
          <w:szCs w:val="20"/>
          <w:bdr w:val="none" w:sz="0" w:space="0" w:color="auto" w:frame="1"/>
        </w:rPr>
        <w:t xml:space="preserve"> – Privacy Rule</w:t>
      </w:r>
    </w:p>
    <w:p w14:paraId="0D8FD3D0" w14:textId="20E8636A" w:rsidR="006A4745" w:rsidRDefault="00212370" w:rsidP="006A4745">
      <w:pPr>
        <w:spacing w:line="360" w:lineRule="auto"/>
        <w:rPr>
          <w:rFonts w:eastAsia="Times New Roman" w:cstheme="minorHAnsi"/>
          <w:b/>
          <w:bCs/>
          <w:color w:val="000000" w:themeColor="text1"/>
          <w:szCs w:val="20"/>
        </w:rPr>
      </w:pPr>
      <w:r w:rsidRPr="0091717B">
        <w:rPr>
          <w:rFonts w:eastAsia="Times New Roman" w:cstheme="minorHAnsi"/>
        </w:rPr>
        <w:t>The Privacy Rule</w:t>
      </w:r>
      <w:r>
        <w:rPr>
          <w:rFonts w:eastAsia="Times New Roman" w:cstheme="minorHAnsi"/>
        </w:rPr>
        <w:t xml:space="preserve"> </w:t>
      </w:r>
      <w:r w:rsidRPr="0091717B">
        <w:rPr>
          <w:rFonts w:eastAsia="Times New Roman" w:cstheme="minorHAnsi"/>
        </w:rPr>
        <w:t>adopted under the Health Insurance Portability and Accountability Act (HIPAA) established national privacy protections for individually identifiable health information.</w:t>
      </w:r>
      <w:r w:rsidR="00420FB6">
        <w:rPr>
          <w:rStyle w:val="FootnoteReference"/>
          <w:rFonts w:eastAsia="Times New Roman" w:cstheme="minorHAnsi"/>
        </w:rPr>
        <w:footnoteReference w:id="22"/>
      </w:r>
      <w:r w:rsidRPr="0091717B">
        <w:rPr>
          <w:rFonts w:eastAsia="Times New Roman" w:cstheme="minorHAnsi"/>
        </w:rPr>
        <w:t xml:space="preserve"> </w:t>
      </w:r>
      <w:r w:rsidR="00282ABA" w:rsidRPr="00282ABA">
        <w:rPr>
          <w:rFonts w:eastAsia="Times New Roman" w:cstheme="minorHAnsi"/>
        </w:rPr>
        <w:t>The Privacy Rule states that a covered entity may not use or disclose PHI except as permitted by the Privacy Rule or as authorized in writing by the person who is the subject of the PHI (or their personal representative).</w:t>
      </w:r>
      <w:r w:rsidR="00686C97">
        <w:rPr>
          <w:rStyle w:val="FootnoteReference"/>
          <w:rFonts w:eastAsia="Times New Roman" w:cstheme="minorHAnsi"/>
          <w:color w:val="000000" w:themeColor="text1"/>
        </w:rPr>
        <w:footnoteReference w:id="23"/>
      </w:r>
      <w:r w:rsidR="00BD51E6">
        <w:rPr>
          <w:rFonts w:eastAsia="Times New Roman" w:cstheme="minorHAnsi"/>
          <w:color w:val="000000" w:themeColor="text1"/>
        </w:rPr>
        <w:t xml:space="preserve"> </w:t>
      </w:r>
      <w:r w:rsidR="00BD51E6">
        <w:rPr>
          <w:rStyle w:val="FootnoteReference"/>
          <w:rFonts w:eastAsia="Times New Roman" w:cstheme="minorHAnsi"/>
          <w:color w:val="000000" w:themeColor="text1"/>
        </w:rPr>
        <w:footnoteReference w:id="24"/>
      </w:r>
      <w:r w:rsidR="00282ABA" w:rsidRPr="00282ABA">
        <w:rPr>
          <w:rFonts w:eastAsia="Times New Roman" w:cstheme="minorHAnsi"/>
        </w:rPr>
        <w:t xml:space="preserve"> The rule also requires disclosure to the person/representative or to HHS as part of an enforcement action.</w:t>
      </w:r>
      <w:r w:rsidR="009523F1">
        <w:rPr>
          <w:rStyle w:val="FootnoteReference"/>
          <w:rFonts w:eastAsia="Times New Roman" w:cstheme="minorHAnsi"/>
        </w:rPr>
        <w:footnoteReference w:id="25"/>
      </w:r>
      <w:r w:rsidR="009523F1">
        <w:rPr>
          <w:rFonts w:eastAsia="Times New Roman" w:cstheme="minorHAnsi"/>
        </w:rPr>
        <w:t xml:space="preserve"> </w:t>
      </w:r>
      <w:r w:rsidR="008742CF" w:rsidRPr="00F23BDC">
        <w:rPr>
          <w:rFonts w:eastAsia="Times New Roman" w:cstheme="minorHAnsi"/>
          <w:color w:val="000000" w:themeColor="text1"/>
        </w:rPr>
        <w:t>A “hybrid entity” is a single legal entity that conducts both covered and noncovered activities under the Privacy Rule.</w:t>
      </w:r>
      <w:r w:rsidR="009523F1">
        <w:rPr>
          <w:rStyle w:val="FootnoteReference"/>
          <w:rFonts w:eastAsia="Times New Roman" w:cstheme="minorHAnsi"/>
          <w:color w:val="000000" w:themeColor="text1"/>
        </w:rPr>
        <w:footnoteReference w:id="26"/>
      </w:r>
      <w:r w:rsidR="009523F1" w:rsidRPr="009523F1">
        <w:rPr>
          <w:rFonts w:eastAsia="Times New Roman" w:cstheme="minorHAnsi"/>
          <w:color w:val="000000" w:themeColor="text1"/>
          <w:bdr w:val="none" w:sz="0" w:space="0" w:color="auto" w:frame="1"/>
        </w:rPr>
        <w:t xml:space="preserve"> </w:t>
      </w:r>
      <w:r w:rsidR="008742CF" w:rsidRPr="00F23BDC">
        <w:rPr>
          <w:rFonts w:eastAsia="Times New Roman" w:cstheme="minorHAnsi"/>
          <w:color w:val="000000" w:themeColor="text1"/>
        </w:rPr>
        <w:t>State and local health departments, for instance, can be hybrid entities if they provide healthcare services to patients for which the agencies transmit health information electronically in addition to conducting their other public health functions. If a state or local health department does not perform these activities, then it would not be a covered entity under the HIPAA Privacy Rule. A hybrid entity must designate in writing its activities that are covered under the Privacy Rule. Thus, if a health agency qualifies as a hybrid entity and it makes the required list of covered activities, then only its healthcare services would be covered under the Privacy Rule; otherwise, all of the hybrid’s activities would be deemed covered under the rule.</w:t>
      </w:r>
    </w:p>
    <w:p w14:paraId="3E84228A" w14:textId="77777777" w:rsidR="006A4745" w:rsidRDefault="006A4745" w:rsidP="006A4745">
      <w:pPr>
        <w:spacing w:line="360" w:lineRule="auto"/>
        <w:rPr>
          <w:rFonts w:eastAsia="Times New Roman" w:cstheme="minorHAnsi"/>
          <w:b/>
          <w:bCs/>
          <w:color w:val="000000" w:themeColor="text1"/>
          <w:szCs w:val="20"/>
        </w:rPr>
      </w:pPr>
    </w:p>
    <w:p w14:paraId="3C58889B" w14:textId="267CF2FB" w:rsidR="001D58F6" w:rsidRPr="006A4745" w:rsidRDefault="001D58F6" w:rsidP="006A4745">
      <w:pPr>
        <w:spacing w:line="360" w:lineRule="auto"/>
        <w:rPr>
          <w:rFonts w:eastAsia="Times New Roman" w:cstheme="minorHAnsi"/>
          <w:b/>
          <w:bCs/>
          <w:color w:val="000000" w:themeColor="text1"/>
          <w:szCs w:val="20"/>
        </w:rPr>
      </w:pPr>
      <w:r w:rsidRPr="00F23BDC">
        <w:rPr>
          <w:rFonts w:eastAsia="Times New Roman" w:cstheme="minorHAnsi"/>
          <w:color w:val="000000" w:themeColor="text1"/>
        </w:rPr>
        <w:t>The Privacy Rule applies to protected health information (“PHI”). PHI is individually identifiable health information held or transmitted by a covered entity or its business associate in any form or media—electronic, paper, or oral. “Individually identifiable health information” is defined to include the types of data listed below that identify the individual or that could be reasonably used to identify the individual:</w:t>
      </w:r>
      <w:r w:rsidR="009523F1">
        <w:rPr>
          <w:rStyle w:val="FootnoteReference"/>
          <w:rFonts w:eastAsia="Times New Roman" w:cstheme="minorHAnsi"/>
          <w:color w:val="000000" w:themeColor="text1"/>
        </w:rPr>
        <w:footnoteReference w:id="27"/>
      </w:r>
    </w:p>
    <w:p w14:paraId="2B7D7ED9" w14:textId="0DEAA6EC" w:rsidR="001D58F6" w:rsidRPr="0096329A" w:rsidRDefault="001D58F6" w:rsidP="001D58F6">
      <w:pPr>
        <w:pStyle w:val="ListParagraph"/>
        <w:numPr>
          <w:ilvl w:val="0"/>
          <w:numId w:val="9"/>
        </w:numPr>
        <w:spacing w:after="120" w:line="360" w:lineRule="auto"/>
        <w:contextualSpacing w:val="0"/>
        <w:textAlignment w:val="baseline"/>
        <w:rPr>
          <w:rFonts w:eastAsia="Times New Roman" w:cstheme="minorHAnsi"/>
          <w:color w:val="000000" w:themeColor="text1"/>
        </w:rPr>
      </w:pPr>
      <w:r w:rsidRPr="0096329A">
        <w:rPr>
          <w:rFonts w:eastAsia="Times New Roman" w:cstheme="minorHAnsi"/>
          <w:color w:val="000000" w:themeColor="text1"/>
        </w:rPr>
        <w:t>Demographic data.</w:t>
      </w:r>
    </w:p>
    <w:p w14:paraId="08780AD3" w14:textId="7E1262CE" w:rsidR="001D58F6" w:rsidRPr="0096329A" w:rsidRDefault="001D58F6" w:rsidP="001D58F6">
      <w:pPr>
        <w:pStyle w:val="ListParagraph"/>
        <w:numPr>
          <w:ilvl w:val="0"/>
          <w:numId w:val="9"/>
        </w:numPr>
        <w:spacing w:after="120" w:line="360" w:lineRule="auto"/>
        <w:contextualSpacing w:val="0"/>
        <w:textAlignment w:val="baseline"/>
        <w:rPr>
          <w:rFonts w:eastAsia="Times New Roman" w:cstheme="minorHAnsi"/>
          <w:color w:val="000000" w:themeColor="text1"/>
        </w:rPr>
      </w:pPr>
      <w:r w:rsidRPr="0096329A">
        <w:rPr>
          <w:rFonts w:eastAsia="Times New Roman" w:cstheme="minorHAnsi"/>
          <w:color w:val="000000" w:themeColor="text1"/>
        </w:rPr>
        <w:t>Common identifiers (e.g., name, address, birth date, Social Security number).</w:t>
      </w:r>
    </w:p>
    <w:p w14:paraId="0043F8C7" w14:textId="22656615" w:rsidR="001D58F6" w:rsidRPr="0096329A" w:rsidRDefault="001D58F6" w:rsidP="001D58F6">
      <w:pPr>
        <w:pStyle w:val="ListParagraph"/>
        <w:numPr>
          <w:ilvl w:val="0"/>
          <w:numId w:val="9"/>
        </w:numPr>
        <w:spacing w:after="120" w:line="360" w:lineRule="auto"/>
        <w:contextualSpacing w:val="0"/>
        <w:textAlignment w:val="baseline"/>
        <w:rPr>
          <w:rFonts w:eastAsia="Times New Roman" w:cstheme="minorHAnsi"/>
          <w:color w:val="000000" w:themeColor="text1"/>
        </w:rPr>
      </w:pPr>
      <w:r w:rsidRPr="0096329A">
        <w:rPr>
          <w:rFonts w:eastAsia="Times New Roman" w:cstheme="minorHAnsi"/>
          <w:color w:val="000000" w:themeColor="text1"/>
        </w:rPr>
        <w:t>Information relating to the individual’s past, present, or future physical or mental health condition and healthcare provided to the person.</w:t>
      </w:r>
    </w:p>
    <w:p w14:paraId="3BE68CF1" w14:textId="77777777" w:rsidR="006A4745" w:rsidRDefault="001D58F6" w:rsidP="006A4745">
      <w:pPr>
        <w:pStyle w:val="ListParagraph"/>
        <w:numPr>
          <w:ilvl w:val="0"/>
          <w:numId w:val="9"/>
        </w:numPr>
        <w:spacing w:line="360" w:lineRule="auto"/>
        <w:contextualSpacing w:val="0"/>
        <w:textAlignment w:val="baseline"/>
        <w:rPr>
          <w:rFonts w:eastAsia="Times New Roman" w:cstheme="minorHAnsi"/>
          <w:color w:val="000000" w:themeColor="text1"/>
        </w:rPr>
      </w:pPr>
      <w:r w:rsidRPr="0096329A">
        <w:rPr>
          <w:rFonts w:eastAsia="Times New Roman" w:cstheme="minorHAnsi"/>
          <w:color w:val="000000" w:themeColor="text1"/>
        </w:rPr>
        <w:t>Payment for healthcare.</w:t>
      </w:r>
    </w:p>
    <w:p w14:paraId="50E55638" w14:textId="77777777" w:rsidR="006A4745" w:rsidRDefault="006A4745" w:rsidP="006A4745">
      <w:pPr>
        <w:spacing w:line="360" w:lineRule="auto"/>
        <w:textAlignment w:val="baseline"/>
        <w:rPr>
          <w:rFonts w:eastAsia="Times New Roman" w:cstheme="minorHAnsi"/>
          <w:color w:val="000000" w:themeColor="text1"/>
        </w:rPr>
      </w:pPr>
    </w:p>
    <w:p w14:paraId="505D6FD1" w14:textId="4F34D81B" w:rsidR="006A4745" w:rsidRPr="00031854" w:rsidRDefault="001D58F6" w:rsidP="006A4745">
      <w:pPr>
        <w:spacing w:line="360" w:lineRule="auto"/>
        <w:textAlignment w:val="baseline"/>
        <w:rPr>
          <w:rFonts w:eastAsia="Times New Roman" w:cstheme="minorHAnsi"/>
          <w:color w:val="000000" w:themeColor="text1"/>
        </w:rPr>
      </w:pPr>
      <w:r w:rsidRPr="006A4745">
        <w:rPr>
          <w:rFonts w:eastAsia="Times New Roman" w:cstheme="minorHAnsi"/>
          <w:color w:val="000000" w:themeColor="text1"/>
        </w:rPr>
        <w:t>Employment records maintained by a covered entity for its own employees and education records covered by FERPA are specifically excluded from the definition of PHI in the Privacy Rule.</w:t>
      </w:r>
      <w:r w:rsidR="00031854">
        <w:rPr>
          <w:rStyle w:val="FootnoteReference"/>
          <w:rFonts w:eastAsia="Times New Roman" w:cstheme="minorHAnsi"/>
          <w:color w:val="000000" w:themeColor="text1"/>
        </w:rPr>
        <w:footnoteReference w:id="28"/>
      </w:r>
      <w:r w:rsidR="00031854">
        <w:rPr>
          <w:rFonts w:eastAsia="Times New Roman" w:cstheme="minorHAnsi"/>
          <w:color w:val="000000" w:themeColor="text1"/>
        </w:rPr>
        <w:t xml:space="preserve"> </w:t>
      </w:r>
      <w:r w:rsidRPr="006A4745">
        <w:rPr>
          <w:rFonts w:eastAsia="Times New Roman" w:cstheme="minorHAnsi"/>
          <w:color w:val="000000" w:themeColor="text1"/>
        </w:rPr>
        <w:t>There are no restrictions on the use or disclosure of de-identified health information.</w:t>
      </w:r>
      <w:r w:rsidR="00031854">
        <w:rPr>
          <w:rStyle w:val="FootnoteReference"/>
          <w:rFonts w:eastAsia="Times New Roman" w:cstheme="minorHAnsi"/>
          <w:color w:val="000000" w:themeColor="text1"/>
        </w:rPr>
        <w:footnoteReference w:id="29"/>
      </w:r>
    </w:p>
    <w:p w14:paraId="6E5431F5" w14:textId="77777777" w:rsidR="006A4745" w:rsidRDefault="006A4745" w:rsidP="006A4745">
      <w:pPr>
        <w:spacing w:line="360" w:lineRule="auto"/>
        <w:textAlignment w:val="baseline"/>
        <w:rPr>
          <w:rFonts w:eastAsia="Times New Roman" w:cstheme="minorHAnsi"/>
          <w:color w:val="000000" w:themeColor="text1"/>
        </w:rPr>
      </w:pPr>
    </w:p>
    <w:p w14:paraId="550ECD0D" w14:textId="7877C689" w:rsidR="00212370" w:rsidRPr="006A4745" w:rsidRDefault="00BD1ED8" w:rsidP="006A4745">
      <w:pPr>
        <w:spacing w:line="360" w:lineRule="auto"/>
        <w:textAlignment w:val="baseline"/>
        <w:rPr>
          <w:rFonts w:eastAsia="Times New Roman" w:cstheme="minorHAnsi"/>
          <w:color w:val="000000" w:themeColor="text1"/>
        </w:rPr>
      </w:pPr>
      <w:r w:rsidRPr="00900361">
        <w:rPr>
          <w:rFonts w:eastAsia="Times New Roman" w:cstheme="minorHAnsi"/>
          <w:color w:val="000000" w:themeColor="text1"/>
        </w:rPr>
        <w:t>The Privacy Rule identifies a number of circumstances in which use or disclosure of PHI is specifically permitted. A covered entity is permitted, but not required, to use and disclose PHI without an individual’s authorization for the following purposes or situations:</w:t>
      </w:r>
      <w:r w:rsidR="004C5A12">
        <w:rPr>
          <w:rFonts w:eastAsia="Times New Roman" w:cstheme="minorHAnsi"/>
          <w:color w:val="000000" w:themeColor="text1"/>
        </w:rPr>
        <w:t xml:space="preserve"> </w:t>
      </w:r>
      <w:r>
        <w:rPr>
          <w:rFonts w:eastAsia="Times New Roman" w:cstheme="minorHAnsi"/>
          <w:color w:val="000000" w:themeColor="text1"/>
        </w:rPr>
        <w:t>to the individual; for treatment, payment, or healthcare operations; for use or disclosure where there is an opportunity to agree or object to its use; for public interest and benefit activities; release of a limited data set for research, public health or healthcare operations; and, incidental use and disclosure.</w:t>
      </w:r>
      <w:r>
        <w:rPr>
          <w:rStyle w:val="FootnoteReference"/>
          <w:rFonts w:eastAsia="Times New Roman" w:cstheme="minorHAnsi"/>
          <w:color w:val="000000" w:themeColor="text1"/>
        </w:rPr>
        <w:footnoteReference w:id="30"/>
      </w:r>
      <w:r>
        <w:rPr>
          <w:rFonts w:eastAsia="Times New Roman" w:cstheme="minorHAnsi"/>
          <w:color w:val="000000" w:themeColor="text1"/>
        </w:rPr>
        <w:t xml:space="preserve"> Regarding the permitted disclosure for public interest and benefits activities, the Privacy Rule contains twelve public purposes, several of which cover public health </w:t>
      </w:r>
      <w:r w:rsidR="005D4CCE">
        <w:rPr>
          <w:rFonts w:eastAsia="Times New Roman" w:cstheme="minorHAnsi"/>
          <w:color w:val="000000" w:themeColor="text1"/>
        </w:rPr>
        <w:t xml:space="preserve">activities </w:t>
      </w:r>
      <w:r>
        <w:rPr>
          <w:rFonts w:eastAsia="Times New Roman" w:cstheme="minorHAnsi"/>
          <w:color w:val="000000" w:themeColor="text1"/>
        </w:rPr>
        <w:t>during normal operations and emergencies</w:t>
      </w:r>
      <w:r w:rsidR="00CE1C24">
        <w:rPr>
          <w:rFonts w:eastAsia="Times New Roman" w:cstheme="minorHAnsi"/>
          <w:color w:val="000000" w:themeColor="text1"/>
        </w:rPr>
        <w:t>, including public health activities</w:t>
      </w:r>
      <w:r w:rsidR="00513C17">
        <w:rPr>
          <w:rFonts w:eastAsia="Times New Roman" w:cstheme="minorHAnsi"/>
          <w:color w:val="000000" w:themeColor="text1"/>
        </w:rPr>
        <w:t xml:space="preserve"> including disease surveillance</w:t>
      </w:r>
      <w:r w:rsidR="00D61B0F">
        <w:rPr>
          <w:rFonts w:eastAsia="Times New Roman" w:cstheme="minorHAnsi"/>
          <w:color w:val="000000" w:themeColor="text1"/>
        </w:rPr>
        <w:t>; for series threats to health or safety</w:t>
      </w:r>
      <w:r w:rsidR="00BB7973">
        <w:rPr>
          <w:rFonts w:eastAsia="Times New Roman" w:cstheme="minorHAnsi"/>
          <w:color w:val="000000" w:themeColor="text1"/>
        </w:rPr>
        <w:t xml:space="preserve">; </w:t>
      </w:r>
      <w:r w:rsidR="009477FA">
        <w:rPr>
          <w:rFonts w:eastAsia="Times New Roman" w:cstheme="minorHAnsi"/>
          <w:color w:val="000000" w:themeColor="text1"/>
        </w:rPr>
        <w:t xml:space="preserve">for judicial or </w:t>
      </w:r>
      <w:r w:rsidR="009477FA">
        <w:rPr>
          <w:rFonts w:eastAsia="Times New Roman" w:cstheme="minorHAnsi"/>
          <w:color w:val="000000" w:themeColor="text1"/>
        </w:rPr>
        <w:lastRenderedPageBreak/>
        <w:t>administrative proceedings</w:t>
      </w:r>
      <w:r w:rsidR="00E55ED9">
        <w:rPr>
          <w:rFonts w:eastAsia="Times New Roman" w:cstheme="minorHAnsi"/>
          <w:color w:val="000000" w:themeColor="text1"/>
        </w:rPr>
        <w:t xml:space="preserve">. </w:t>
      </w:r>
      <w:r w:rsidR="00212370" w:rsidRPr="004D42AB">
        <w:rPr>
          <w:rFonts w:eastAsia="Times New Roman" w:cstheme="minorHAnsi"/>
        </w:rPr>
        <w:t xml:space="preserve">For a more detailed discussion of HIPAA's provisions as applied to use and disclosure of identifiable health </w:t>
      </w:r>
      <w:r w:rsidR="00212370" w:rsidRPr="00946211">
        <w:rPr>
          <w:rFonts w:eastAsia="Times New Roman" w:cstheme="minorHAnsi"/>
        </w:rPr>
        <w:t xml:space="preserve">information for public health purposes, see </w:t>
      </w:r>
      <w:r w:rsidR="00212370">
        <w:rPr>
          <w:rFonts w:eastAsia="Times New Roman" w:cstheme="minorHAnsi"/>
        </w:rPr>
        <w:t xml:space="preserve">the </w:t>
      </w:r>
      <w:r w:rsidR="00212370" w:rsidRPr="0091717B">
        <w:rPr>
          <w:rFonts w:eastAsia="Times New Roman" w:cstheme="minorHAnsi"/>
        </w:rPr>
        <w:t>Health Insurance Portability and Accountability Act (HIPAA)</w:t>
      </w:r>
      <w:r w:rsidR="00212370">
        <w:rPr>
          <w:rFonts w:eastAsia="Times New Roman" w:cstheme="minorHAnsi"/>
        </w:rPr>
        <w:t xml:space="preserve"> – Privacy Rule document in this series.</w:t>
      </w:r>
    </w:p>
    <w:p w14:paraId="431D321B" w14:textId="77777777" w:rsidR="006A4745" w:rsidRDefault="006A4745" w:rsidP="006A4745">
      <w:pPr>
        <w:spacing w:line="360" w:lineRule="auto"/>
        <w:rPr>
          <w:rFonts w:eastAsia="Times New Roman" w:cstheme="minorHAnsi"/>
          <w:b/>
          <w:bCs/>
          <w:color w:val="3C3030"/>
          <w:sz w:val="24"/>
          <w:szCs w:val="24"/>
        </w:rPr>
      </w:pPr>
    </w:p>
    <w:p w14:paraId="7F06FD95" w14:textId="46519711" w:rsidR="00635DA3" w:rsidRDefault="00F23BDC" w:rsidP="00635DA3">
      <w:pPr>
        <w:spacing w:after="120" w:line="360" w:lineRule="auto"/>
        <w:rPr>
          <w:rFonts w:eastAsia="Times New Roman" w:cstheme="minorHAnsi"/>
          <w:b/>
          <w:bCs/>
          <w:color w:val="3C3030"/>
          <w:sz w:val="24"/>
          <w:szCs w:val="24"/>
        </w:rPr>
      </w:pPr>
      <w:r w:rsidRPr="006A4745">
        <w:rPr>
          <w:rFonts w:eastAsia="Times New Roman" w:cstheme="minorHAnsi"/>
          <w:b/>
          <w:bCs/>
          <w:color w:val="3C3030"/>
          <w:sz w:val="24"/>
          <w:szCs w:val="24"/>
        </w:rPr>
        <w:t>Public Health Access to Student Health Data</w:t>
      </w:r>
    </w:p>
    <w:p w14:paraId="5C178B5C" w14:textId="62196E25" w:rsidR="00DD6171" w:rsidRDefault="00F23BDC" w:rsidP="006A4745">
      <w:pPr>
        <w:spacing w:line="360" w:lineRule="auto"/>
        <w:rPr>
          <w:rFonts w:eastAsia="Times New Roman" w:cstheme="minorHAnsi"/>
          <w:b/>
          <w:bCs/>
          <w:color w:val="3C3030"/>
          <w:sz w:val="24"/>
          <w:szCs w:val="24"/>
        </w:rPr>
      </w:pPr>
      <w:r w:rsidRPr="00F23BDC">
        <w:rPr>
          <w:rFonts w:eastAsia="Times New Roman" w:cstheme="minorHAnsi"/>
          <w:color w:val="000000" w:themeColor="text1"/>
          <w:szCs w:val="20"/>
        </w:rPr>
        <w:t>Both FERPA and HIPAA contain provisions and exceptions that could be used to facilitate public health agencies’ access to student health and other data. The ability to access data under either law requires that the parties seeking access are eligible to receive the data or the circumstances give rise to access. A key distinction in each of the acts is when access to data is permitted with and without consent. This section discusses theories that have been used by health agencies—with varying degrees of success—to allow public health agencies access to student health data.</w:t>
      </w:r>
    </w:p>
    <w:p w14:paraId="04A35DE8" w14:textId="77777777" w:rsidR="006A4745" w:rsidRPr="006A4745" w:rsidRDefault="006A4745" w:rsidP="006A4745">
      <w:pPr>
        <w:spacing w:line="360" w:lineRule="auto"/>
        <w:rPr>
          <w:rFonts w:eastAsia="Times New Roman" w:cstheme="minorHAnsi"/>
          <w:b/>
          <w:bCs/>
          <w:color w:val="3C3030"/>
          <w:sz w:val="24"/>
          <w:szCs w:val="24"/>
        </w:rPr>
      </w:pPr>
    </w:p>
    <w:p w14:paraId="7F54DCBB" w14:textId="77777777" w:rsidR="002758A3" w:rsidRDefault="00F23BDC" w:rsidP="002758A3">
      <w:pPr>
        <w:keepNext/>
        <w:spacing w:line="360" w:lineRule="auto"/>
        <w:rPr>
          <w:rFonts w:eastAsia="Times New Roman" w:cstheme="minorHAnsi"/>
          <w:b/>
          <w:bCs/>
          <w:color w:val="000000" w:themeColor="text1"/>
        </w:rPr>
      </w:pPr>
      <w:r w:rsidRPr="00F23BDC">
        <w:rPr>
          <w:rFonts w:eastAsia="Times New Roman" w:cstheme="minorHAnsi"/>
          <w:b/>
          <w:bCs/>
          <w:color w:val="000000" w:themeColor="text1"/>
        </w:rPr>
        <w:t>Obtain Consent</w:t>
      </w:r>
    </w:p>
    <w:p w14:paraId="0CADECDF" w14:textId="7DAFC73B" w:rsidR="00DD6171" w:rsidRDefault="00F23BDC" w:rsidP="002758A3">
      <w:pPr>
        <w:spacing w:line="360" w:lineRule="auto"/>
        <w:rPr>
          <w:rFonts w:eastAsia="Times New Roman" w:cstheme="minorHAnsi"/>
          <w:b/>
          <w:bCs/>
          <w:color w:val="000000" w:themeColor="text1"/>
        </w:rPr>
      </w:pPr>
      <w:r w:rsidRPr="00F23BDC">
        <w:rPr>
          <w:rFonts w:eastAsia="Times New Roman" w:cstheme="minorHAnsi"/>
          <w:color w:val="000000" w:themeColor="text1"/>
        </w:rPr>
        <w:t>Under FERPA, public health agencies can access education records—including student health data maintained by the school or a person acting on its behalf—if the school has received written consent from a parent or eligible student. The written consent must identify the data to be released, the parties to whom the data will be released, and a description of how the data will be used and it must be signed and dated by the parent or student.</w:t>
      </w:r>
      <w:r w:rsidR="009A0904">
        <w:rPr>
          <w:rStyle w:val="FootnoteReference"/>
          <w:rFonts w:eastAsia="Times New Roman" w:cstheme="minorHAnsi"/>
          <w:color w:val="000000" w:themeColor="text1"/>
        </w:rPr>
        <w:footnoteReference w:id="31"/>
      </w:r>
      <w:r w:rsidR="009A0904">
        <w:rPr>
          <w:rFonts w:eastAsia="Times New Roman" w:cstheme="minorHAnsi"/>
          <w:color w:val="000000" w:themeColor="text1"/>
        </w:rPr>
        <w:t xml:space="preserve"> </w:t>
      </w:r>
      <w:r w:rsidRPr="00F23BDC">
        <w:rPr>
          <w:rFonts w:eastAsia="Times New Roman" w:cstheme="minorHAnsi"/>
          <w:color w:val="000000" w:themeColor="text1"/>
        </w:rPr>
        <w:t>ED states that such releases are advisable, for instance, for health agencies wishing to use PII to track absences due to H1N1 or other outbreaks before an emergency is recognized; ED has developed sample consent forms for schools and health agencies to use.</w:t>
      </w:r>
      <w:r w:rsidR="009A0904">
        <w:rPr>
          <w:rStyle w:val="FootnoteReference"/>
          <w:rFonts w:eastAsia="Times New Roman" w:cstheme="minorHAnsi"/>
          <w:color w:val="000000" w:themeColor="text1"/>
        </w:rPr>
        <w:footnoteReference w:id="32"/>
      </w:r>
      <w:r w:rsidR="009A0904">
        <w:rPr>
          <w:rFonts w:eastAsia="Times New Roman" w:cstheme="minorHAnsi"/>
          <w:color w:val="000000" w:themeColor="text1"/>
          <w:bdr w:val="none" w:sz="0" w:space="0" w:color="auto" w:frame="1"/>
        </w:rPr>
        <w:t xml:space="preserve"> </w:t>
      </w:r>
      <w:r w:rsidRPr="00F23BDC">
        <w:rPr>
          <w:rFonts w:eastAsia="Times New Roman" w:cstheme="minorHAnsi"/>
          <w:color w:val="000000" w:themeColor="text1"/>
        </w:rPr>
        <w:t>Similarly, under HIPAA, health agencies can obtain PHI from covered entities if the agency has received written consent from the patient or their personal representative. If a school’s health records are not covered under FERPA—as is generally the case for private elementary and secondary schools—they may be subject to HIPAA as a covered entity if they transmit health information electronically. Health agencies may need written consent to obtain student health data from the school or from students’ healthcare providers if no other Privacy Rule exceptions apply.</w:t>
      </w:r>
    </w:p>
    <w:p w14:paraId="1CAC7A6B" w14:textId="77777777" w:rsidR="002758A3" w:rsidRPr="002758A3" w:rsidRDefault="002758A3" w:rsidP="002758A3">
      <w:pPr>
        <w:spacing w:line="360" w:lineRule="auto"/>
        <w:rPr>
          <w:rFonts w:eastAsia="Times New Roman" w:cstheme="minorHAnsi"/>
          <w:b/>
          <w:bCs/>
          <w:color w:val="000000" w:themeColor="text1"/>
        </w:rPr>
      </w:pPr>
    </w:p>
    <w:p w14:paraId="7055086D" w14:textId="77777777" w:rsidR="00234D4A" w:rsidRDefault="00F23BDC" w:rsidP="006A4745">
      <w:pPr>
        <w:keepNext/>
        <w:spacing w:line="360" w:lineRule="auto"/>
        <w:rPr>
          <w:rFonts w:eastAsia="Times New Roman" w:cstheme="minorHAnsi"/>
          <w:b/>
          <w:bCs/>
          <w:color w:val="000000" w:themeColor="text1"/>
        </w:rPr>
      </w:pPr>
      <w:r w:rsidRPr="00F23BDC">
        <w:rPr>
          <w:rFonts w:eastAsia="Times New Roman" w:cstheme="minorHAnsi"/>
          <w:b/>
          <w:bCs/>
          <w:color w:val="000000" w:themeColor="text1"/>
        </w:rPr>
        <w:lastRenderedPageBreak/>
        <w:t>Use De-Identified Data</w:t>
      </w:r>
    </w:p>
    <w:p w14:paraId="709E4B26" w14:textId="12FA9D2B" w:rsidR="00234D4A" w:rsidRPr="00305D1B" w:rsidRDefault="00F23BDC" w:rsidP="00234D4A">
      <w:pPr>
        <w:spacing w:line="360" w:lineRule="auto"/>
        <w:rPr>
          <w:rFonts w:eastAsia="Times New Roman" w:cstheme="minorHAnsi"/>
          <w:b/>
          <w:bCs/>
          <w:color w:val="000000" w:themeColor="text1"/>
        </w:rPr>
      </w:pPr>
      <w:r w:rsidRPr="00F23BDC">
        <w:rPr>
          <w:rFonts w:eastAsia="Times New Roman" w:cstheme="minorHAnsi"/>
          <w:color w:val="000000" w:themeColor="text1"/>
        </w:rPr>
        <w:t>Under FERPA, schools can provide public health agencies with access to student health and other relevant data if the information does not contain PII.</w:t>
      </w:r>
      <w:r w:rsidR="00305D1B">
        <w:rPr>
          <w:rStyle w:val="FootnoteReference"/>
          <w:rFonts w:eastAsia="Times New Roman" w:cstheme="minorHAnsi"/>
          <w:color w:val="000000" w:themeColor="text1"/>
        </w:rPr>
        <w:footnoteReference w:id="33"/>
      </w:r>
      <w:r w:rsidR="00305D1B">
        <w:rPr>
          <w:rFonts w:eastAsia="Times New Roman" w:cstheme="minorHAnsi"/>
          <w:color w:val="000000" w:themeColor="text1"/>
          <w:bdr w:val="none" w:sz="0" w:space="0" w:color="auto" w:frame="1"/>
        </w:rPr>
        <w:t xml:space="preserve"> </w:t>
      </w:r>
      <w:r w:rsidRPr="00F23BDC">
        <w:rPr>
          <w:rFonts w:eastAsia="Times New Roman" w:cstheme="minorHAnsi"/>
          <w:color w:val="000000" w:themeColor="text1"/>
        </w:rPr>
        <w:t>Thus, ED guidance notes that, in instances like the H1N1 influenza pandemic or other outbreaks, a school may share with a public health agency general information about the number of students absent from the school without prior written consent. However, if absentee data to be shared with a health agency includes PII and no FERPA exception applies, then the school must obtain written consent before sharing the data with public health officials.</w:t>
      </w:r>
      <w:r w:rsidR="00305D1B">
        <w:rPr>
          <w:rStyle w:val="FootnoteReference"/>
          <w:rFonts w:eastAsia="Times New Roman" w:cstheme="minorHAnsi"/>
          <w:color w:val="000000" w:themeColor="text1"/>
        </w:rPr>
        <w:footnoteReference w:id="34"/>
      </w:r>
    </w:p>
    <w:p w14:paraId="71B2DC19" w14:textId="77777777" w:rsidR="00234D4A" w:rsidRDefault="00234D4A" w:rsidP="00234D4A">
      <w:pPr>
        <w:spacing w:line="360" w:lineRule="auto"/>
        <w:rPr>
          <w:rFonts w:eastAsia="Times New Roman" w:cstheme="minorHAnsi"/>
          <w:b/>
          <w:bCs/>
          <w:color w:val="000000" w:themeColor="text1"/>
        </w:rPr>
      </w:pPr>
    </w:p>
    <w:p w14:paraId="4F5E6F97" w14:textId="53EF136C" w:rsidR="00DD6171" w:rsidRPr="00E0171B" w:rsidRDefault="00F23BDC" w:rsidP="00234D4A">
      <w:pPr>
        <w:spacing w:line="360" w:lineRule="auto"/>
        <w:rPr>
          <w:rFonts w:eastAsia="Times New Roman" w:cstheme="minorHAnsi"/>
          <w:b/>
          <w:bCs/>
          <w:color w:val="000000" w:themeColor="text1"/>
        </w:rPr>
      </w:pPr>
      <w:r w:rsidRPr="00F23BDC">
        <w:rPr>
          <w:rFonts w:eastAsia="Times New Roman" w:cstheme="minorHAnsi"/>
          <w:color w:val="000000" w:themeColor="text1"/>
        </w:rPr>
        <w:t>De-identified data must not allow the recipients to identify the students through either a single release or multiple releases of data or to combine the data with other information to identify the students</w:t>
      </w:r>
      <w:r w:rsidR="005C48E0">
        <w:rPr>
          <w:rFonts w:eastAsia="Times New Roman" w:cstheme="minorHAnsi"/>
          <w:color w:val="000000" w:themeColor="text1"/>
        </w:rPr>
        <w:t>.</w:t>
      </w:r>
      <w:r w:rsidR="005C48E0">
        <w:rPr>
          <w:rStyle w:val="FootnoteReference"/>
          <w:rFonts w:eastAsia="Times New Roman" w:cstheme="minorHAnsi"/>
          <w:color w:val="000000" w:themeColor="text1"/>
        </w:rPr>
        <w:footnoteReference w:id="35"/>
      </w:r>
      <w:r w:rsidR="005C48E0">
        <w:rPr>
          <w:rFonts w:eastAsia="Times New Roman" w:cstheme="minorHAnsi"/>
          <w:color w:val="000000" w:themeColor="text1"/>
          <w:bdr w:val="none" w:sz="0" w:space="0" w:color="auto" w:frame="1"/>
        </w:rPr>
        <w:t xml:space="preserve"> </w:t>
      </w:r>
      <w:r w:rsidRPr="00F23BDC">
        <w:rPr>
          <w:rFonts w:eastAsia="Times New Roman" w:cstheme="minorHAnsi"/>
          <w:color w:val="000000" w:themeColor="text1"/>
        </w:rPr>
        <w:t>ED guidance notes that disclosing the absence of all students in a particular activity, class, or grade would result in potential FERPA violations if directory information—which is not considered part of the education record—could be used to identify all the students in that activity, class, or grade.</w:t>
      </w:r>
      <w:r w:rsidR="00E0171B">
        <w:rPr>
          <w:rStyle w:val="FootnoteReference"/>
          <w:rFonts w:eastAsia="Times New Roman" w:cstheme="minorHAnsi"/>
          <w:color w:val="000000" w:themeColor="text1"/>
        </w:rPr>
        <w:footnoteReference w:id="36"/>
      </w:r>
      <w:r w:rsidR="00E0171B">
        <w:rPr>
          <w:rFonts w:eastAsia="Times New Roman" w:cstheme="minorHAnsi"/>
          <w:color w:val="000000" w:themeColor="text1"/>
          <w:bdr w:val="none" w:sz="0" w:space="0" w:color="auto" w:frame="1"/>
        </w:rPr>
        <w:t xml:space="preserve"> </w:t>
      </w:r>
      <w:r w:rsidRPr="00F23BDC">
        <w:rPr>
          <w:rFonts w:eastAsia="Times New Roman" w:cstheme="minorHAnsi"/>
          <w:color w:val="000000" w:themeColor="text1"/>
        </w:rPr>
        <w:t>ED guidance also specifies that while schools are permitted to make nonconsensual disclosures of directory information (e.g., name, address, phone number, grade level, etc.) for students who have not opted out of the directory, FERPA does not permit the disclosure of directory information if it is linked with other non-directory information. Therefore, a school may not release directory information only for students who have been absent from school.</w:t>
      </w:r>
      <w:r w:rsidR="00E0171B">
        <w:rPr>
          <w:rStyle w:val="FootnoteReference"/>
          <w:rFonts w:eastAsia="Times New Roman" w:cstheme="minorHAnsi"/>
          <w:color w:val="000000" w:themeColor="text1"/>
        </w:rPr>
        <w:footnoteReference w:id="37"/>
      </w:r>
      <w:r w:rsidR="00E0171B">
        <w:rPr>
          <w:rFonts w:eastAsia="Times New Roman" w:cstheme="minorHAnsi"/>
          <w:color w:val="000000" w:themeColor="text1"/>
        </w:rPr>
        <w:t xml:space="preserve"> </w:t>
      </w:r>
      <w:r w:rsidRPr="00F23BDC">
        <w:rPr>
          <w:rFonts w:eastAsia="Times New Roman" w:cstheme="minorHAnsi"/>
          <w:color w:val="000000" w:themeColor="text1"/>
        </w:rPr>
        <w:t>Under HIPAA, the Privacy Rule does not restrict the use or disclosure of de-identified health information so long as all identifiers have been removed.</w:t>
      </w:r>
      <w:r w:rsidR="00E0171B">
        <w:rPr>
          <w:rStyle w:val="FootnoteReference"/>
          <w:rFonts w:eastAsia="Times New Roman" w:cstheme="minorHAnsi"/>
          <w:color w:val="000000" w:themeColor="text1"/>
        </w:rPr>
        <w:footnoteReference w:id="38"/>
      </w:r>
    </w:p>
    <w:p w14:paraId="63CB53E8" w14:textId="2BEFF6F7" w:rsidR="00234D4A" w:rsidRDefault="00234D4A" w:rsidP="00234D4A">
      <w:pPr>
        <w:spacing w:line="360" w:lineRule="auto"/>
        <w:rPr>
          <w:rFonts w:eastAsia="Times New Roman" w:cstheme="minorHAnsi"/>
          <w:b/>
          <w:bCs/>
          <w:color w:val="000000" w:themeColor="text1"/>
        </w:rPr>
      </w:pPr>
    </w:p>
    <w:p w14:paraId="2F23C5C4" w14:textId="77777777" w:rsidR="00E062D4" w:rsidRDefault="00F23BDC" w:rsidP="006A4745">
      <w:pPr>
        <w:keepNext/>
        <w:spacing w:line="360" w:lineRule="auto"/>
        <w:rPr>
          <w:rFonts w:eastAsia="Times New Roman" w:cstheme="minorHAnsi"/>
          <w:b/>
          <w:bCs/>
          <w:color w:val="000000" w:themeColor="text1"/>
        </w:rPr>
      </w:pPr>
      <w:r w:rsidRPr="00F23BDC">
        <w:rPr>
          <w:rFonts w:eastAsia="Times New Roman" w:cstheme="minorHAnsi"/>
          <w:b/>
          <w:bCs/>
          <w:color w:val="000000" w:themeColor="text1"/>
        </w:rPr>
        <w:t>Use Limited Data Sets</w:t>
      </w:r>
    </w:p>
    <w:p w14:paraId="18F38CA9" w14:textId="7DC0B236" w:rsidR="00DD6171" w:rsidRDefault="00F23BDC" w:rsidP="006E3DF9">
      <w:pPr>
        <w:spacing w:line="360" w:lineRule="auto"/>
        <w:rPr>
          <w:rFonts w:eastAsia="Times New Roman" w:cstheme="minorHAnsi"/>
          <w:b/>
          <w:bCs/>
          <w:color w:val="000000" w:themeColor="text1"/>
        </w:rPr>
      </w:pPr>
      <w:r w:rsidRPr="00F23BDC">
        <w:rPr>
          <w:rFonts w:eastAsia="Times New Roman" w:cstheme="minorHAnsi"/>
          <w:color w:val="000000" w:themeColor="text1"/>
        </w:rPr>
        <w:t xml:space="preserve">HIPAA countenances the release of limited data sets for public health, research, and other purposes. These data sets have had specific identifiers about the patient or household removed. Users of limited </w:t>
      </w:r>
      <w:r w:rsidRPr="00F23BDC">
        <w:rPr>
          <w:rFonts w:eastAsia="Times New Roman" w:cstheme="minorHAnsi"/>
          <w:color w:val="000000" w:themeColor="text1"/>
        </w:rPr>
        <w:lastRenderedPageBreak/>
        <w:t>data sets must complete a data use agreement that addresses the use and protection of PHI in the limited data set.</w:t>
      </w:r>
      <w:r w:rsidRPr="00F23BDC">
        <w:rPr>
          <w:rFonts w:eastAsia="Times New Roman" w:cstheme="minorHAnsi"/>
          <w:color w:val="000000" w:themeColor="text1"/>
          <w:bdr w:val="none" w:sz="0" w:space="0" w:color="auto" w:frame="1"/>
          <w:vertAlign w:val="superscript"/>
        </w:rPr>
        <w:t>7</w:t>
      </w:r>
      <w:r w:rsidRPr="00F23BDC">
        <w:rPr>
          <w:rFonts w:eastAsia="Times New Roman" w:cstheme="minorHAnsi"/>
          <w:color w:val="000000" w:themeColor="text1"/>
        </w:rPr>
        <w:t> This exception to the privacy rule permits public health agencies to access limited health data about children and adolescents who are not covered under FERPA, such as those who are home schooled or attend private elementary or secondary schools.</w:t>
      </w:r>
    </w:p>
    <w:p w14:paraId="6481BB73" w14:textId="77777777" w:rsidR="006E3DF9" w:rsidRPr="006E3DF9" w:rsidRDefault="006E3DF9" w:rsidP="006E3DF9">
      <w:pPr>
        <w:spacing w:line="360" w:lineRule="auto"/>
        <w:rPr>
          <w:rFonts w:eastAsia="Times New Roman" w:cstheme="minorHAnsi"/>
          <w:b/>
          <w:bCs/>
          <w:color w:val="000000" w:themeColor="text1"/>
        </w:rPr>
      </w:pPr>
    </w:p>
    <w:p w14:paraId="77B0163B" w14:textId="77777777" w:rsidR="00051E7B" w:rsidRDefault="00F23BDC" w:rsidP="006A4745">
      <w:pPr>
        <w:keepNext/>
        <w:spacing w:line="360" w:lineRule="auto"/>
        <w:rPr>
          <w:rFonts w:eastAsia="Times New Roman" w:cstheme="minorHAnsi"/>
          <w:b/>
          <w:bCs/>
          <w:color w:val="000000" w:themeColor="text1"/>
        </w:rPr>
      </w:pPr>
      <w:r w:rsidRPr="00F23BDC">
        <w:rPr>
          <w:rFonts w:eastAsia="Times New Roman" w:cstheme="minorHAnsi"/>
          <w:b/>
          <w:bCs/>
          <w:color w:val="000000" w:themeColor="text1"/>
        </w:rPr>
        <w:t>Access Data Not Maintained by the School</w:t>
      </w:r>
    </w:p>
    <w:p w14:paraId="2689F213" w14:textId="2EE60034" w:rsidR="00051E7B" w:rsidRPr="00B34148" w:rsidRDefault="00F23BDC" w:rsidP="00051E7B">
      <w:pPr>
        <w:spacing w:line="360" w:lineRule="auto"/>
        <w:rPr>
          <w:rFonts w:eastAsia="Times New Roman" w:cstheme="minorHAnsi"/>
          <w:b/>
          <w:bCs/>
          <w:color w:val="000000" w:themeColor="text1"/>
        </w:rPr>
      </w:pPr>
      <w:r w:rsidRPr="00F23BDC">
        <w:rPr>
          <w:rFonts w:eastAsia="Times New Roman" w:cstheme="minorHAnsi"/>
          <w:color w:val="000000" w:themeColor="text1"/>
        </w:rPr>
        <w:t>FERPA applies to education records, including immunization and other student health data, which is maintained by schools or education agencies. Student health data that is maintained by a school nurse who is an employee of the school or acting on behalf of the school is considered to be part of the student’s education record. If a person or entity acts on behalf of the school, such as a school nurse providing health services (whether at the school or off site) under contract or otherwise under the “direct control” of a school, and maintains student health records, then these records are considered education records under FERPA as if the school was maintaining the records directly.</w:t>
      </w:r>
      <w:r w:rsidR="00B34148">
        <w:rPr>
          <w:rStyle w:val="FootnoteReference"/>
          <w:rFonts w:eastAsia="Times New Roman" w:cstheme="minorHAnsi"/>
          <w:color w:val="000000" w:themeColor="text1"/>
        </w:rPr>
        <w:footnoteReference w:id="39"/>
      </w:r>
      <w:r w:rsidR="00B34148">
        <w:rPr>
          <w:rFonts w:eastAsia="Times New Roman" w:cstheme="minorHAnsi"/>
          <w:color w:val="000000" w:themeColor="text1"/>
          <w:bdr w:val="none" w:sz="0" w:space="0" w:color="auto" w:frame="1"/>
        </w:rPr>
        <w:t xml:space="preserve"> </w:t>
      </w:r>
      <w:r w:rsidRPr="00F23BDC">
        <w:rPr>
          <w:rFonts w:eastAsia="Times New Roman" w:cstheme="minorHAnsi"/>
          <w:color w:val="000000" w:themeColor="text1"/>
        </w:rPr>
        <w:t>However, if a person or entity provides health services directly to students and is not employed by, under contract to, or otherwise acting on behalf of a school, then the resulting health records are not deemed to be part of the education record covered by FERPA. Even if the services are provided at the school, the resulting health records are not covered by FERPA because the person or entity creating and maintaining the health records is not acting on behalf of the school.</w:t>
      </w:r>
      <w:r w:rsidR="00B34148">
        <w:rPr>
          <w:rStyle w:val="FootnoteReference"/>
          <w:rFonts w:eastAsia="Times New Roman" w:cstheme="minorHAnsi"/>
          <w:color w:val="000000" w:themeColor="text1"/>
        </w:rPr>
        <w:footnoteReference w:id="40"/>
      </w:r>
    </w:p>
    <w:p w14:paraId="6B398297" w14:textId="77777777" w:rsidR="00051E7B" w:rsidRDefault="00051E7B" w:rsidP="00051E7B">
      <w:pPr>
        <w:spacing w:line="360" w:lineRule="auto"/>
        <w:rPr>
          <w:rFonts w:eastAsia="Times New Roman" w:cstheme="minorHAnsi"/>
          <w:b/>
          <w:bCs/>
          <w:color w:val="000000" w:themeColor="text1"/>
        </w:rPr>
      </w:pPr>
    </w:p>
    <w:p w14:paraId="4B6EB6EE" w14:textId="28EAF767" w:rsidR="00DD6171" w:rsidRDefault="00F23BDC" w:rsidP="00051E7B">
      <w:pPr>
        <w:spacing w:line="360" w:lineRule="auto"/>
        <w:rPr>
          <w:rFonts w:eastAsia="Times New Roman" w:cstheme="minorHAnsi"/>
          <w:b/>
          <w:bCs/>
          <w:color w:val="000000" w:themeColor="text1"/>
        </w:rPr>
      </w:pPr>
      <w:r w:rsidRPr="00F23BDC">
        <w:rPr>
          <w:rFonts w:eastAsia="Times New Roman" w:cstheme="minorHAnsi"/>
          <w:color w:val="000000" w:themeColor="text1"/>
        </w:rPr>
        <w:t>If a school’s education records are not covered under FERPA, as is generally the case for private elementary and secondary schools, they may be subject to HIPAA as a covered entity if they transmit health information electronically. In this scenario, the school is a covered entity and student health records are PHI under the Privacy Rule. One of the rule’s permitted exceptions, such as a public health activity, would have to apply before the records are released without consent. If the records are not covered under FERPA or HIPAA, state or local privacy laws may still apply.</w:t>
      </w:r>
    </w:p>
    <w:p w14:paraId="5921F8CB" w14:textId="77777777" w:rsidR="00051E7B" w:rsidRPr="00051E7B" w:rsidRDefault="00051E7B" w:rsidP="00051E7B">
      <w:pPr>
        <w:spacing w:line="360" w:lineRule="auto"/>
        <w:rPr>
          <w:rFonts w:eastAsia="Times New Roman" w:cstheme="minorHAnsi"/>
          <w:b/>
          <w:bCs/>
          <w:color w:val="000000" w:themeColor="text1"/>
        </w:rPr>
      </w:pPr>
    </w:p>
    <w:p w14:paraId="4461D23D" w14:textId="77777777" w:rsidR="002E055A" w:rsidRDefault="00F23BDC" w:rsidP="006A4745">
      <w:pPr>
        <w:keepNext/>
        <w:spacing w:line="360" w:lineRule="auto"/>
        <w:rPr>
          <w:rFonts w:eastAsia="Times New Roman" w:cstheme="minorHAnsi"/>
          <w:b/>
          <w:bCs/>
          <w:color w:val="000000" w:themeColor="text1"/>
        </w:rPr>
      </w:pPr>
      <w:r w:rsidRPr="00F23BDC">
        <w:rPr>
          <w:rFonts w:eastAsia="Times New Roman" w:cstheme="minorHAnsi"/>
          <w:b/>
          <w:bCs/>
          <w:color w:val="000000" w:themeColor="text1"/>
        </w:rPr>
        <w:lastRenderedPageBreak/>
        <w:t>Access for Public Health Activities</w:t>
      </w:r>
    </w:p>
    <w:p w14:paraId="2AFFF63D" w14:textId="2F434964" w:rsidR="00DD6171" w:rsidRDefault="00F23BDC" w:rsidP="002E055A">
      <w:pPr>
        <w:spacing w:line="360" w:lineRule="auto"/>
        <w:rPr>
          <w:rFonts w:eastAsia="Times New Roman" w:cstheme="minorHAnsi"/>
          <w:b/>
          <w:bCs/>
          <w:color w:val="000000" w:themeColor="text1"/>
        </w:rPr>
      </w:pPr>
      <w:r w:rsidRPr="00F23BDC">
        <w:rPr>
          <w:rFonts w:eastAsia="Times New Roman" w:cstheme="minorHAnsi"/>
          <w:color w:val="000000" w:themeColor="text1"/>
        </w:rPr>
        <w:t>HIPAA contains a comparatively robust public health exception that allows public health authorities to receive PHI without prior consent of a patient or their representative. However, FERPA does not contain a parallel “public health exception” to the one found in HIPAA. And, because education records covered by FERPA are expressly excluded from the Privacy Rule, public health authorities cannot use HIPAA’s public health exception to access school education records without consent.</w:t>
      </w:r>
    </w:p>
    <w:p w14:paraId="43633B3F" w14:textId="77777777" w:rsidR="002E055A" w:rsidRPr="002E055A" w:rsidRDefault="002E055A" w:rsidP="002E055A">
      <w:pPr>
        <w:spacing w:line="360" w:lineRule="auto"/>
        <w:rPr>
          <w:rFonts w:eastAsia="Times New Roman" w:cstheme="minorHAnsi"/>
          <w:b/>
          <w:bCs/>
          <w:color w:val="000000" w:themeColor="text1"/>
        </w:rPr>
      </w:pPr>
    </w:p>
    <w:p w14:paraId="4AB135D1" w14:textId="77777777" w:rsidR="004A457C" w:rsidRDefault="00F23BDC" w:rsidP="006A4745">
      <w:pPr>
        <w:keepNext/>
        <w:spacing w:line="360" w:lineRule="auto"/>
        <w:rPr>
          <w:rFonts w:eastAsia="Times New Roman" w:cstheme="minorHAnsi"/>
          <w:b/>
          <w:bCs/>
          <w:color w:val="000000" w:themeColor="text1"/>
        </w:rPr>
      </w:pPr>
      <w:r w:rsidRPr="00F23BDC">
        <w:rPr>
          <w:rFonts w:eastAsia="Times New Roman" w:cstheme="minorHAnsi"/>
          <w:b/>
          <w:bCs/>
          <w:color w:val="000000" w:themeColor="text1"/>
        </w:rPr>
        <w:t>Access Permitted in Emergencies</w:t>
      </w:r>
    </w:p>
    <w:p w14:paraId="2C9D3C42" w14:textId="77777777" w:rsidR="004A457C" w:rsidRDefault="00F23BDC" w:rsidP="004A457C">
      <w:pPr>
        <w:spacing w:line="360" w:lineRule="auto"/>
        <w:rPr>
          <w:rFonts w:eastAsia="Times New Roman" w:cstheme="minorHAnsi"/>
          <w:b/>
          <w:bCs/>
          <w:color w:val="000000" w:themeColor="text1"/>
        </w:rPr>
      </w:pPr>
      <w:r w:rsidRPr="00F23BDC">
        <w:rPr>
          <w:rFonts w:eastAsia="Times New Roman" w:cstheme="minorHAnsi"/>
          <w:color w:val="000000" w:themeColor="text1"/>
        </w:rPr>
        <w:t>Both HIPAA and FERPA contain exceptions that permit disclosure of student data to specified officials in emergencies.</w:t>
      </w:r>
    </w:p>
    <w:p w14:paraId="2EFB799D" w14:textId="77777777" w:rsidR="004A457C" w:rsidRDefault="004A457C" w:rsidP="004A457C">
      <w:pPr>
        <w:spacing w:line="360" w:lineRule="auto"/>
        <w:rPr>
          <w:rFonts w:eastAsia="Times New Roman" w:cstheme="minorHAnsi"/>
          <w:b/>
          <w:bCs/>
          <w:color w:val="000000" w:themeColor="text1"/>
        </w:rPr>
      </w:pPr>
    </w:p>
    <w:p w14:paraId="74FA7CD9" w14:textId="77777777" w:rsidR="009F255A" w:rsidRDefault="00F23BDC" w:rsidP="009F255A">
      <w:pPr>
        <w:spacing w:line="360" w:lineRule="auto"/>
        <w:rPr>
          <w:rFonts w:eastAsia="Times New Roman" w:cstheme="minorHAnsi"/>
          <w:b/>
          <w:bCs/>
          <w:color w:val="000000" w:themeColor="text1"/>
        </w:rPr>
      </w:pPr>
      <w:r w:rsidRPr="00F23BDC">
        <w:rPr>
          <w:rFonts w:eastAsia="Times New Roman" w:cstheme="minorHAnsi"/>
          <w:b/>
          <w:i/>
          <w:iCs/>
          <w:color w:val="000000" w:themeColor="text1"/>
          <w:bdr w:val="none" w:sz="0" w:space="0" w:color="auto" w:frame="1"/>
        </w:rPr>
        <w:t>HIPAA Exception for Threats to Health or Safety</w:t>
      </w:r>
    </w:p>
    <w:p w14:paraId="74FF9D8B" w14:textId="203C994E" w:rsidR="00692C5C" w:rsidRPr="00D04157" w:rsidRDefault="00F23BDC" w:rsidP="00692C5C">
      <w:pPr>
        <w:spacing w:line="360" w:lineRule="auto"/>
        <w:rPr>
          <w:rFonts w:eastAsia="Times New Roman" w:cstheme="minorHAnsi"/>
          <w:b/>
          <w:bCs/>
          <w:color w:val="000000" w:themeColor="text1"/>
        </w:rPr>
      </w:pPr>
      <w:r w:rsidRPr="00F23BDC">
        <w:rPr>
          <w:rFonts w:eastAsia="Times New Roman" w:cstheme="minorHAnsi"/>
          <w:color w:val="000000" w:themeColor="text1"/>
        </w:rPr>
        <w:t>HIPAA contains a specific exception for disclosure of protected health information in emergencies, in addition to its broad public health exception. The Privacy Rule allows covered entities to disclose PHI that they believe is necessary to prevent or lessen a serious and imminent threat to a person or the public, when such disclosure is made to someone they believe can prevent or lessen the threat (including the target of the threat). Covered entities may also make disclosures to law enforcement officials if the information is needed to identify or apprehend an escapee or violent criminal.</w:t>
      </w:r>
      <w:r w:rsidR="00D04157">
        <w:rPr>
          <w:rStyle w:val="FootnoteReference"/>
          <w:rFonts w:eastAsia="Times New Roman" w:cstheme="minorHAnsi"/>
          <w:color w:val="000000" w:themeColor="text1"/>
        </w:rPr>
        <w:footnoteReference w:id="41"/>
      </w:r>
      <w:r w:rsidR="00D04157">
        <w:rPr>
          <w:rFonts w:eastAsia="Times New Roman" w:cstheme="minorHAnsi"/>
          <w:color w:val="000000" w:themeColor="text1"/>
          <w:bdr w:val="none" w:sz="0" w:space="0" w:color="auto" w:frame="1"/>
        </w:rPr>
        <w:t xml:space="preserve"> </w:t>
      </w:r>
      <w:r w:rsidRPr="00F23BDC">
        <w:rPr>
          <w:rFonts w:eastAsia="Times New Roman" w:cstheme="minorHAnsi"/>
          <w:color w:val="000000" w:themeColor="text1"/>
        </w:rPr>
        <w:t>HHS specifically notes that PHI can be released without disclosure to public officials who are reasonably able to respond to, prevent, or lessen a bioterrorism or other public health threat or emergency.</w:t>
      </w:r>
      <w:r w:rsidR="00D04157">
        <w:rPr>
          <w:rStyle w:val="FootnoteReference"/>
          <w:rFonts w:eastAsia="Times New Roman" w:cstheme="minorHAnsi"/>
          <w:color w:val="000000" w:themeColor="text1"/>
        </w:rPr>
        <w:footnoteReference w:id="42"/>
      </w:r>
    </w:p>
    <w:p w14:paraId="2F7FB0A4" w14:textId="77777777" w:rsidR="00692C5C" w:rsidRDefault="00692C5C" w:rsidP="00692C5C">
      <w:pPr>
        <w:spacing w:line="360" w:lineRule="auto"/>
        <w:rPr>
          <w:rFonts w:eastAsia="Times New Roman" w:cstheme="minorHAnsi"/>
          <w:b/>
          <w:bCs/>
          <w:color w:val="000000" w:themeColor="text1"/>
        </w:rPr>
      </w:pPr>
    </w:p>
    <w:p w14:paraId="2A5ABAFE" w14:textId="77777777" w:rsidR="00692C5C" w:rsidRDefault="00F23BDC" w:rsidP="00692C5C">
      <w:pPr>
        <w:spacing w:line="360" w:lineRule="auto"/>
        <w:rPr>
          <w:rFonts w:eastAsia="Times New Roman" w:cstheme="minorHAnsi"/>
          <w:b/>
          <w:bCs/>
          <w:color w:val="000000" w:themeColor="text1"/>
        </w:rPr>
      </w:pPr>
      <w:r w:rsidRPr="00F23BDC">
        <w:rPr>
          <w:rFonts w:eastAsia="Times New Roman" w:cstheme="minorHAnsi"/>
          <w:b/>
          <w:i/>
          <w:iCs/>
          <w:color w:val="000000" w:themeColor="text1"/>
          <w:bdr w:val="none" w:sz="0" w:space="0" w:color="auto" w:frame="1"/>
        </w:rPr>
        <w:t>FERPA Emergency Exception</w:t>
      </w:r>
    </w:p>
    <w:p w14:paraId="118238B8" w14:textId="2D4460EE" w:rsidR="00692C5C" w:rsidRPr="00BF2EB6" w:rsidRDefault="00F23BDC" w:rsidP="00692C5C">
      <w:pPr>
        <w:spacing w:line="360" w:lineRule="auto"/>
        <w:rPr>
          <w:rFonts w:eastAsia="Times New Roman" w:cstheme="minorHAnsi"/>
          <w:b/>
          <w:bCs/>
          <w:color w:val="000000" w:themeColor="text1"/>
        </w:rPr>
      </w:pPr>
      <w:r w:rsidRPr="00F23BDC">
        <w:rPr>
          <w:rFonts w:eastAsia="Times New Roman" w:cstheme="minorHAnsi"/>
          <w:color w:val="000000" w:themeColor="text1"/>
        </w:rPr>
        <w:t xml:space="preserve">FERPA contains an exception for nonconsensual disclosure of personally identifiable information in student education records to “appropriate parties” during emergencies if the information is necessary to protect the health and safety of the student or other individuals. ED has identified public health officials as appropriate parties eligible to receive PII during an emergency. This exception has been narrowly construed by ED to be limited to the period of the emergency; it does not provide for a blanket release of PII from student education records in an emergency. Each school or education agency is responsible </w:t>
      </w:r>
      <w:r w:rsidRPr="00F23BDC">
        <w:rPr>
          <w:rFonts w:eastAsia="Times New Roman" w:cstheme="minorHAnsi"/>
          <w:color w:val="000000" w:themeColor="text1"/>
        </w:rPr>
        <w:lastRenderedPageBreak/>
        <w:t>for making a case-by-case determination that the release of PII is necessary to address an “articulable and significant threat.” ED has indicated that it will defer to the judgment of the school or agency in making the determination that there was a “rational basis” for the decision given the nature of the emergency and the appropriate parties to whom the disclosure was made.</w:t>
      </w:r>
      <w:r w:rsidR="00BF2EB6">
        <w:rPr>
          <w:rStyle w:val="FootnoteReference"/>
          <w:rFonts w:eastAsia="Times New Roman" w:cstheme="minorHAnsi"/>
          <w:color w:val="000000" w:themeColor="text1"/>
        </w:rPr>
        <w:footnoteReference w:id="43"/>
      </w:r>
      <w:r w:rsidR="00BF2EB6">
        <w:rPr>
          <w:rFonts w:eastAsia="Times New Roman" w:cstheme="minorHAnsi"/>
          <w:color w:val="000000" w:themeColor="text1"/>
        </w:rPr>
        <w:t xml:space="preserve"> </w:t>
      </w:r>
      <w:r w:rsidRPr="00F23BDC">
        <w:rPr>
          <w:rFonts w:eastAsia="Times New Roman" w:cstheme="minorHAnsi"/>
          <w:color w:val="000000" w:themeColor="text1"/>
        </w:rPr>
        <w:t>FERPA regulations require that within a reasonable period after an emergency disclosure is made, the school or education agency must make a record of the emergency disclosure in the student’s education record. The record of the emergency disclosure must state the articulable and significant threat that was the basis for the emergency and identify the parties to whom the student’s PII was disclosed.</w:t>
      </w:r>
      <w:r w:rsidR="00BF2EB6">
        <w:rPr>
          <w:rStyle w:val="FootnoteReference"/>
          <w:rFonts w:eastAsia="Times New Roman" w:cstheme="minorHAnsi"/>
          <w:color w:val="000000" w:themeColor="text1"/>
        </w:rPr>
        <w:footnoteReference w:id="44"/>
      </w:r>
      <w:r w:rsidR="00BF2EB6">
        <w:rPr>
          <w:rFonts w:eastAsia="Times New Roman" w:cstheme="minorHAnsi"/>
          <w:color w:val="000000" w:themeColor="text1"/>
          <w:bdr w:val="none" w:sz="0" w:space="0" w:color="auto" w:frame="1"/>
        </w:rPr>
        <w:t xml:space="preserve"> </w:t>
      </w:r>
      <w:r w:rsidRPr="00F23BDC">
        <w:rPr>
          <w:rFonts w:eastAsia="Times New Roman" w:cstheme="minorHAnsi"/>
          <w:color w:val="000000" w:themeColor="text1"/>
        </w:rPr>
        <w:t>ED guidance further notes that often, “... threats to health and safety can be fully addressed by sharing appropriate information regarding such threats with parents, the health department, or others in a manner that does not identify particular students.”</w:t>
      </w:r>
      <w:r w:rsidR="000A0EE2">
        <w:rPr>
          <w:rStyle w:val="FootnoteReference"/>
          <w:rFonts w:eastAsia="Times New Roman" w:cstheme="minorHAnsi"/>
          <w:color w:val="000000" w:themeColor="text1"/>
        </w:rPr>
        <w:footnoteReference w:id="45"/>
      </w:r>
    </w:p>
    <w:p w14:paraId="1C9DAE02" w14:textId="77777777" w:rsidR="00692C5C" w:rsidRDefault="00692C5C" w:rsidP="00692C5C">
      <w:pPr>
        <w:spacing w:line="360" w:lineRule="auto"/>
        <w:rPr>
          <w:rFonts w:eastAsia="Times New Roman" w:cstheme="minorHAnsi"/>
          <w:b/>
          <w:bCs/>
          <w:color w:val="000000" w:themeColor="text1"/>
        </w:rPr>
      </w:pPr>
    </w:p>
    <w:p w14:paraId="68D8739A" w14:textId="34CF5CCD" w:rsidR="00692C5C" w:rsidRPr="00A11194" w:rsidRDefault="00F23BDC" w:rsidP="00692C5C">
      <w:pPr>
        <w:spacing w:line="360" w:lineRule="auto"/>
        <w:rPr>
          <w:rFonts w:eastAsia="Times New Roman" w:cstheme="minorHAnsi"/>
          <w:b/>
          <w:bCs/>
          <w:color w:val="000000" w:themeColor="text1"/>
        </w:rPr>
      </w:pPr>
      <w:r w:rsidRPr="00F23BDC">
        <w:rPr>
          <w:rFonts w:eastAsia="Times New Roman" w:cstheme="minorHAnsi"/>
          <w:color w:val="000000" w:themeColor="text1"/>
        </w:rPr>
        <w:t xml:space="preserve">While </w:t>
      </w:r>
      <w:r w:rsidR="00272F81">
        <w:rPr>
          <w:rFonts w:eastAsia="Times New Roman" w:cstheme="minorHAnsi"/>
          <w:color w:val="000000" w:themeColor="text1"/>
        </w:rPr>
        <w:t>subsequent</w:t>
      </w:r>
      <w:r w:rsidRPr="00F23BDC">
        <w:rPr>
          <w:rFonts w:eastAsia="Times New Roman" w:cstheme="minorHAnsi"/>
          <w:color w:val="000000" w:themeColor="text1"/>
        </w:rPr>
        <w:t xml:space="preserve"> guidance</w:t>
      </w:r>
      <w:r w:rsidR="00981E1F">
        <w:rPr>
          <w:rFonts w:eastAsia="Times New Roman" w:cstheme="minorHAnsi"/>
          <w:color w:val="000000" w:themeColor="text1"/>
        </w:rPr>
        <w:t>s</w:t>
      </w:r>
      <w:r w:rsidRPr="00F23BDC">
        <w:rPr>
          <w:rFonts w:eastAsia="Times New Roman" w:cstheme="minorHAnsi"/>
          <w:color w:val="000000" w:themeColor="text1"/>
        </w:rPr>
        <w:t xml:space="preserve"> issued by ED have generally followed prior interpretations of the emergencies exception, these pronouncements have included more detailed statements related to pandemic influenza (specifically H1N1) and emergency responses to manmade events and natural disasters.</w:t>
      </w:r>
      <w:r w:rsidR="00CB5219">
        <w:rPr>
          <w:rStyle w:val="FootnoteReference"/>
          <w:rFonts w:eastAsia="Times New Roman" w:cstheme="minorHAnsi"/>
          <w:color w:val="000000" w:themeColor="text1"/>
        </w:rPr>
        <w:footnoteReference w:id="46"/>
      </w:r>
      <w:r w:rsidR="00CB5219">
        <w:rPr>
          <w:rFonts w:eastAsia="Times New Roman" w:cstheme="minorHAnsi"/>
          <w:color w:val="000000" w:themeColor="text1"/>
          <w:bdr w:val="none" w:sz="0" w:space="0" w:color="auto" w:frame="1"/>
        </w:rPr>
        <w:t xml:space="preserve"> </w:t>
      </w:r>
      <w:r w:rsidRPr="00F23BDC">
        <w:rPr>
          <w:rFonts w:eastAsia="Times New Roman" w:cstheme="minorHAnsi"/>
          <w:color w:val="000000" w:themeColor="text1"/>
        </w:rPr>
        <w:t>Specifically, ED has stated that “... an emergency can exist without a public health authority designation of an emergency.”</w:t>
      </w:r>
      <w:r w:rsidR="00572BE3">
        <w:rPr>
          <w:rStyle w:val="FootnoteReference"/>
          <w:rFonts w:eastAsia="Times New Roman" w:cstheme="minorHAnsi"/>
          <w:color w:val="000000" w:themeColor="text1"/>
        </w:rPr>
        <w:footnoteReference w:id="47"/>
      </w:r>
      <w:r w:rsidRPr="00F23BDC">
        <w:rPr>
          <w:rFonts w:eastAsia="Times New Roman" w:cstheme="minorHAnsi"/>
          <w:color w:val="000000" w:themeColor="text1"/>
        </w:rPr>
        <w:t xml:space="preserve"> The FERPA emergency exception may be properly applied if a public health authority determines that an outbreak (e.g., H1N1 or tuberculosis) poses a significant threat to a community; if so, then schools in that community may also determine that an emergency exists. ED also noted that an emergency declaration by the HHS Secretary that a public health emergency exists, such as in the case of the October 2009 H1N1 declaration, may serve as a rational basis for a school to </w:t>
      </w:r>
      <w:r w:rsidRPr="00F23BDC">
        <w:rPr>
          <w:rFonts w:eastAsia="Times New Roman" w:cstheme="minorHAnsi"/>
          <w:color w:val="000000" w:themeColor="text1"/>
        </w:rPr>
        <w:lastRenderedPageBreak/>
        <w:t>determine that an emergency exists, “so long as there is a current outbreak of H1N1 in the particular school or school district” (emphasis in original).</w:t>
      </w:r>
      <w:r w:rsidR="00A11194">
        <w:rPr>
          <w:rStyle w:val="FootnoteReference"/>
          <w:rFonts w:eastAsia="Times New Roman" w:cstheme="minorHAnsi"/>
          <w:color w:val="000000" w:themeColor="text1"/>
        </w:rPr>
        <w:footnoteReference w:id="48"/>
      </w:r>
    </w:p>
    <w:p w14:paraId="3D9D56E0" w14:textId="77777777" w:rsidR="00692C5C" w:rsidRDefault="00692C5C" w:rsidP="00692C5C">
      <w:pPr>
        <w:spacing w:line="360" w:lineRule="auto"/>
        <w:rPr>
          <w:rFonts w:eastAsia="Times New Roman" w:cstheme="minorHAnsi"/>
          <w:b/>
          <w:bCs/>
          <w:color w:val="000000" w:themeColor="text1"/>
        </w:rPr>
      </w:pPr>
    </w:p>
    <w:p w14:paraId="6B6A9963" w14:textId="43653775" w:rsidR="00692C5C" w:rsidRPr="00390E57" w:rsidRDefault="00F23BDC" w:rsidP="00692C5C">
      <w:pPr>
        <w:spacing w:line="360" w:lineRule="auto"/>
        <w:rPr>
          <w:rFonts w:eastAsia="Times New Roman" w:cstheme="minorHAnsi"/>
          <w:b/>
          <w:bCs/>
          <w:color w:val="000000" w:themeColor="text1"/>
        </w:rPr>
      </w:pPr>
      <w:r w:rsidRPr="00F23BDC">
        <w:rPr>
          <w:rFonts w:eastAsia="Times New Roman" w:cstheme="minorHAnsi"/>
          <w:color w:val="000000" w:themeColor="text1"/>
        </w:rPr>
        <w:t>Where there is an articulable and significant threat that may be addressed by a “limited release of information to appropriate parties,” and that release is temporally limited to the period of the emergency, the school or education agency may release information “... at any stage of such emergency ...” including “... sharing information where necessary during the early stages of a pandemic.”</w:t>
      </w:r>
      <w:r w:rsidR="00963211">
        <w:rPr>
          <w:rStyle w:val="FootnoteReference"/>
          <w:rFonts w:eastAsia="Times New Roman" w:cstheme="minorHAnsi"/>
          <w:color w:val="000000" w:themeColor="text1"/>
        </w:rPr>
        <w:footnoteReference w:id="49"/>
      </w:r>
      <w:r w:rsidR="00963211">
        <w:rPr>
          <w:rFonts w:eastAsia="Times New Roman" w:cstheme="minorHAnsi"/>
          <w:color w:val="000000" w:themeColor="text1"/>
          <w:bdr w:val="none" w:sz="0" w:space="0" w:color="auto" w:frame="1"/>
        </w:rPr>
        <w:t xml:space="preserve"> </w:t>
      </w:r>
      <w:r w:rsidRPr="00F23BDC">
        <w:rPr>
          <w:rFonts w:eastAsia="Times New Roman" w:cstheme="minorHAnsi"/>
          <w:color w:val="000000" w:themeColor="text1"/>
        </w:rPr>
        <w:t>In another example</w:t>
      </w:r>
      <w:r w:rsidR="00C31485">
        <w:rPr>
          <w:rFonts w:eastAsia="Times New Roman" w:cstheme="minorHAnsi"/>
          <w:color w:val="000000" w:themeColor="text1"/>
        </w:rPr>
        <w:t xml:space="preserve"> from subsequent guidance</w:t>
      </w:r>
      <w:r w:rsidR="00612971">
        <w:rPr>
          <w:rFonts w:eastAsia="Times New Roman" w:cstheme="minorHAnsi"/>
          <w:color w:val="000000" w:themeColor="text1"/>
        </w:rPr>
        <w:t>,</w:t>
      </w:r>
      <w:r w:rsidRPr="00F23BDC">
        <w:rPr>
          <w:rFonts w:eastAsia="Times New Roman" w:cstheme="minorHAnsi"/>
          <w:color w:val="000000" w:themeColor="text1"/>
        </w:rPr>
        <w:t xml:space="preserve"> ED notes that school officials would generally be permitted under the emergencies exception to disclose immunization records to public health officials to determine whether or not students have been vaccinated for typhus or other waterborne diseases in the aftermath of flood.</w:t>
      </w:r>
      <w:r w:rsidR="00390E57">
        <w:rPr>
          <w:rStyle w:val="FootnoteReference"/>
          <w:rFonts w:eastAsia="Times New Roman" w:cstheme="minorHAnsi"/>
          <w:color w:val="000000" w:themeColor="text1"/>
        </w:rPr>
        <w:footnoteReference w:id="50"/>
      </w:r>
    </w:p>
    <w:p w14:paraId="422315D7" w14:textId="77777777" w:rsidR="00692C5C" w:rsidRDefault="00692C5C" w:rsidP="00692C5C">
      <w:pPr>
        <w:spacing w:line="360" w:lineRule="auto"/>
        <w:rPr>
          <w:rFonts w:eastAsia="Times New Roman" w:cstheme="minorHAnsi"/>
          <w:b/>
          <w:bCs/>
          <w:color w:val="000000" w:themeColor="text1"/>
        </w:rPr>
      </w:pPr>
    </w:p>
    <w:p w14:paraId="50E3D46F" w14:textId="7DF2D8B6" w:rsidR="00DD6171" w:rsidRPr="00237BED" w:rsidRDefault="00F23BDC" w:rsidP="00692C5C">
      <w:pPr>
        <w:spacing w:line="360" w:lineRule="auto"/>
        <w:rPr>
          <w:rFonts w:eastAsia="Times New Roman" w:cstheme="minorHAnsi"/>
          <w:b/>
          <w:bCs/>
          <w:color w:val="000000" w:themeColor="text1"/>
        </w:rPr>
      </w:pPr>
      <w:r w:rsidRPr="00F23BDC">
        <w:rPr>
          <w:rFonts w:eastAsia="Times New Roman" w:cstheme="minorHAnsi"/>
          <w:color w:val="000000" w:themeColor="text1"/>
        </w:rPr>
        <w:t xml:space="preserve">However, these </w:t>
      </w:r>
      <w:r w:rsidR="00692C5C" w:rsidRPr="00F23BDC">
        <w:rPr>
          <w:rFonts w:eastAsia="Times New Roman" w:cstheme="minorHAnsi"/>
          <w:color w:val="000000" w:themeColor="text1"/>
        </w:rPr>
        <w:t>guidance</w:t>
      </w:r>
      <w:r w:rsidR="00692C5C">
        <w:rPr>
          <w:rFonts w:eastAsia="Times New Roman" w:cstheme="minorHAnsi"/>
          <w:color w:val="000000" w:themeColor="text1"/>
        </w:rPr>
        <w:t>s</w:t>
      </w:r>
      <w:r w:rsidRPr="00F23BDC">
        <w:rPr>
          <w:rFonts w:eastAsia="Times New Roman" w:cstheme="minorHAnsi"/>
          <w:color w:val="000000" w:themeColor="text1"/>
        </w:rPr>
        <w:t xml:space="preserve"> also stress that disclosures made for general emergency preparedness activities are not covered under the FERPA emergencies exception. The FERPA emergencies exception would not apply in situations where a threat of a possible or eventual emergency exists but the likelihood of its occurrence is unknown. There must be a temporal linkage to an articulable and significant threat.</w:t>
      </w:r>
      <w:r w:rsidR="00390E57">
        <w:rPr>
          <w:rStyle w:val="FootnoteReference"/>
          <w:rFonts w:eastAsia="Times New Roman" w:cstheme="minorHAnsi"/>
          <w:color w:val="000000" w:themeColor="text1"/>
        </w:rPr>
        <w:footnoteReference w:id="51"/>
      </w:r>
      <w:r w:rsidR="00237BED">
        <w:rPr>
          <w:rFonts w:eastAsia="Times New Roman" w:cstheme="minorHAnsi"/>
          <w:color w:val="000000" w:themeColor="text1"/>
        </w:rPr>
        <w:t xml:space="preserve"> </w:t>
      </w:r>
      <w:r w:rsidRPr="00F23BDC">
        <w:rPr>
          <w:rFonts w:eastAsia="Times New Roman" w:cstheme="minorHAnsi"/>
          <w:color w:val="000000" w:themeColor="text1"/>
        </w:rPr>
        <w:t>Yet, ED has indicated that properly designated directory information for students whose parents have not opted out of the disclosure of directory information may be shared with state or local agencies for emergency planning purposes. However, if health or emergency management agencies need PII to prepare in advance for the emergency evacuation of special needs children or children on special medications, the school must obtain written consent before making the disclosure.</w:t>
      </w:r>
      <w:r w:rsidR="00237BED">
        <w:rPr>
          <w:rStyle w:val="FootnoteReference"/>
          <w:rFonts w:eastAsia="Times New Roman" w:cstheme="minorHAnsi"/>
          <w:color w:val="000000" w:themeColor="text1"/>
        </w:rPr>
        <w:footnoteReference w:id="52"/>
      </w:r>
    </w:p>
    <w:p w14:paraId="219ECC40" w14:textId="77777777" w:rsidR="00692C5C" w:rsidRPr="00692C5C" w:rsidRDefault="00692C5C" w:rsidP="00692C5C">
      <w:pPr>
        <w:spacing w:line="360" w:lineRule="auto"/>
        <w:rPr>
          <w:rFonts w:eastAsia="Times New Roman" w:cstheme="minorHAnsi"/>
          <w:b/>
          <w:bCs/>
          <w:color w:val="000000" w:themeColor="text1"/>
        </w:rPr>
      </w:pPr>
    </w:p>
    <w:p w14:paraId="49BB7D3B" w14:textId="77777777" w:rsidR="006D4148" w:rsidRDefault="00F23BDC" w:rsidP="006A4745">
      <w:pPr>
        <w:keepNext/>
        <w:spacing w:line="360" w:lineRule="auto"/>
        <w:rPr>
          <w:rFonts w:eastAsia="Times New Roman" w:cstheme="minorHAnsi"/>
          <w:b/>
          <w:bCs/>
          <w:color w:val="000000" w:themeColor="text1"/>
          <w:szCs w:val="20"/>
        </w:rPr>
      </w:pPr>
      <w:r w:rsidRPr="00F23BDC">
        <w:rPr>
          <w:rFonts w:eastAsia="Times New Roman" w:cstheme="minorHAnsi"/>
          <w:b/>
          <w:bCs/>
          <w:color w:val="000000" w:themeColor="text1"/>
          <w:szCs w:val="20"/>
        </w:rPr>
        <w:lastRenderedPageBreak/>
        <w:t>Act as an Authorized Representative</w:t>
      </w:r>
    </w:p>
    <w:p w14:paraId="3F6F94F5" w14:textId="35709ABB" w:rsidR="00DD6171" w:rsidRDefault="00F23BDC" w:rsidP="006D4148">
      <w:pPr>
        <w:spacing w:line="360" w:lineRule="auto"/>
        <w:rPr>
          <w:rFonts w:eastAsia="Times New Roman" w:cstheme="minorHAnsi"/>
          <w:b/>
          <w:bCs/>
          <w:color w:val="000000" w:themeColor="text1"/>
          <w:szCs w:val="20"/>
        </w:rPr>
      </w:pPr>
      <w:r w:rsidRPr="00F23BDC">
        <w:rPr>
          <w:rFonts w:eastAsia="Times New Roman" w:cstheme="minorHAnsi"/>
          <w:color w:val="000000" w:themeColor="text1"/>
          <w:szCs w:val="20"/>
        </w:rPr>
        <w:t>Previously, ED interpreted FERPA to allow state/local health agencies to enter into agreements with state/local education agencies to act as the authorized representative of the education agencies and therefore be eligible to access education records, including student health information, that contain PII without the prior written consent of a parent or eligible student. However, subsequent ED interpretations of FERPA explicitly restricted the release of student education records under the “authorized representative” exception to other entities that are under the control of a school or education agency. The “control of” requirement has been defined as persons who are employees or contractors of the school or education agency. ED has recently amended the FERPA rules to again permit non-education agencies to act as authorized representatives. The “authorized representative” exception is limited to audits and evaluations of federal and state educational programs and the enforcement of federal legal requirements related to those programs. Therefore, despite the expanded scope of entities eligible to serve as authorized representatives, this exception may be of limited or no use for public health agencies seeking to access student health data unrelated to education programs.</w:t>
      </w:r>
    </w:p>
    <w:p w14:paraId="3BECB740" w14:textId="77777777" w:rsidR="006D4148" w:rsidRPr="006D4148" w:rsidRDefault="006D4148" w:rsidP="006D4148">
      <w:pPr>
        <w:spacing w:line="360" w:lineRule="auto"/>
        <w:rPr>
          <w:rFonts w:eastAsia="Times New Roman" w:cstheme="minorHAnsi"/>
          <w:b/>
          <w:bCs/>
          <w:color w:val="000000" w:themeColor="text1"/>
          <w:szCs w:val="20"/>
        </w:rPr>
      </w:pPr>
    </w:p>
    <w:p w14:paraId="10CCEEEE" w14:textId="77777777" w:rsidR="00763D22" w:rsidRDefault="00F23BDC" w:rsidP="006A4745">
      <w:pPr>
        <w:keepNext/>
        <w:spacing w:line="360" w:lineRule="auto"/>
        <w:rPr>
          <w:rFonts w:eastAsia="Times New Roman" w:cstheme="minorHAnsi"/>
          <w:b/>
          <w:bCs/>
          <w:color w:val="000000" w:themeColor="text1"/>
        </w:rPr>
      </w:pPr>
      <w:r w:rsidRPr="00F23BDC">
        <w:rPr>
          <w:rFonts w:eastAsia="Times New Roman" w:cstheme="minorHAnsi"/>
          <w:b/>
          <w:bCs/>
          <w:color w:val="000000" w:themeColor="text1"/>
        </w:rPr>
        <w:t>Interagency Agreements</w:t>
      </w:r>
    </w:p>
    <w:p w14:paraId="7D68FC03" w14:textId="674849D7" w:rsidR="00DD6171" w:rsidRPr="00B20F5C" w:rsidRDefault="00F23BDC" w:rsidP="00852560">
      <w:pPr>
        <w:spacing w:line="360" w:lineRule="auto"/>
        <w:rPr>
          <w:rFonts w:eastAsia="Times New Roman" w:cstheme="minorHAnsi"/>
          <w:b/>
          <w:bCs/>
          <w:color w:val="000000" w:themeColor="text1"/>
        </w:rPr>
      </w:pPr>
      <w:r w:rsidRPr="00F23BDC">
        <w:rPr>
          <w:rFonts w:eastAsia="Times New Roman" w:cstheme="minorHAnsi"/>
          <w:color w:val="000000" w:themeColor="text1"/>
        </w:rPr>
        <w:t xml:space="preserve">In the past, some states have used various forms of interagency agreements between state or local health departments and schools or education agencies as a mechanism to allow for the nonconsensual disclosure of PII in education records. As discussed above, </w:t>
      </w:r>
      <w:r w:rsidR="00852560">
        <w:rPr>
          <w:rFonts w:eastAsia="Times New Roman" w:cstheme="minorHAnsi"/>
          <w:color w:val="000000" w:themeColor="text1"/>
        </w:rPr>
        <w:t>revised</w:t>
      </w:r>
      <w:r w:rsidRPr="00F23BDC">
        <w:rPr>
          <w:rFonts w:eastAsia="Times New Roman" w:cstheme="minorHAnsi"/>
          <w:color w:val="000000" w:themeColor="text1"/>
        </w:rPr>
        <w:t xml:space="preserve"> guidance by ED has affirmed that such interagency agreements do not supersede FERPA’s consent requirements.</w:t>
      </w:r>
      <w:r w:rsidR="00B20F5C">
        <w:rPr>
          <w:rStyle w:val="FootnoteReference"/>
          <w:rFonts w:eastAsia="Times New Roman" w:cstheme="minorHAnsi"/>
          <w:color w:val="000000" w:themeColor="text1"/>
        </w:rPr>
        <w:footnoteReference w:id="53"/>
      </w:r>
    </w:p>
    <w:p w14:paraId="69185429" w14:textId="77777777" w:rsidR="00852560" w:rsidRPr="00852560" w:rsidRDefault="00852560" w:rsidP="00852560">
      <w:pPr>
        <w:spacing w:line="360" w:lineRule="auto"/>
        <w:rPr>
          <w:rFonts w:eastAsia="Times New Roman" w:cstheme="minorHAnsi"/>
          <w:b/>
          <w:bCs/>
          <w:color w:val="000000" w:themeColor="text1"/>
        </w:rPr>
      </w:pPr>
    </w:p>
    <w:p w14:paraId="4C7D3E4A" w14:textId="77777777" w:rsidR="004F6570" w:rsidRDefault="00F23BDC" w:rsidP="006A4745">
      <w:pPr>
        <w:keepNext/>
        <w:spacing w:line="360" w:lineRule="auto"/>
        <w:rPr>
          <w:rFonts w:eastAsia="Times New Roman" w:cstheme="minorHAnsi"/>
          <w:b/>
          <w:bCs/>
          <w:color w:val="000000" w:themeColor="text1"/>
        </w:rPr>
      </w:pPr>
      <w:r w:rsidRPr="00F23BDC">
        <w:rPr>
          <w:rFonts w:eastAsia="Times New Roman" w:cstheme="minorHAnsi"/>
          <w:b/>
          <w:bCs/>
          <w:color w:val="000000" w:themeColor="text1"/>
        </w:rPr>
        <w:t>Disclosure Required by Court Order or Subpoena</w:t>
      </w:r>
    </w:p>
    <w:p w14:paraId="0A5B5854" w14:textId="73DF944F" w:rsidR="004F6570" w:rsidRDefault="00F23BDC" w:rsidP="004F6570">
      <w:pPr>
        <w:spacing w:line="360" w:lineRule="auto"/>
        <w:rPr>
          <w:rFonts w:eastAsia="Times New Roman" w:cstheme="minorHAnsi"/>
          <w:b/>
          <w:bCs/>
          <w:color w:val="000000" w:themeColor="text1"/>
        </w:rPr>
      </w:pPr>
      <w:r w:rsidRPr="00F23BDC">
        <w:rPr>
          <w:rFonts w:eastAsia="Times New Roman" w:cstheme="minorHAnsi"/>
          <w:color w:val="000000" w:themeColor="text1"/>
        </w:rPr>
        <w:t>Both HIPAA and FERPA contain exceptions for disclosure without consent if required by judicial order or subpoena. Under FERPA, a school or education agency must disclose PII from a student’s education record if required by a court order or subpoena; prior written consent of the parent or eligible student is not required. However, the school must make reasonable efforts to notify the parent or eligible student about the impending release before complying with order/subpoena.</w:t>
      </w:r>
      <w:r w:rsidR="009C18EB">
        <w:rPr>
          <w:rStyle w:val="FootnoteReference"/>
          <w:rFonts w:eastAsia="Times New Roman" w:cstheme="minorHAnsi"/>
          <w:color w:val="000000" w:themeColor="text1"/>
        </w:rPr>
        <w:footnoteReference w:id="54"/>
      </w:r>
      <w:r w:rsidR="009C18EB">
        <w:rPr>
          <w:rFonts w:eastAsia="Times New Roman" w:cstheme="minorHAnsi"/>
          <w:color w:val="000000" w:themeColor="text1"/>
          <w:bdr w:val="none" w:sz="0" w:space="0" w:color="auto" w:frame="1"/>
        </w:rPr>
        <w:t xml:space="preserve"> </w:t>
      </w:r>
      <w:r w:rsidRPr="00F23BDC">
        <w:rPr>
          <w:rFonts w:eastAsia="Times New Roman" w:cstheme="minorHAnsi"/>
          <w:color w:val="000000" w:themeColor="text1"/>
        </w:rPr>
        <w:t xml:space="preserve">Similarly, the HIPAA Privacy Rule </w:t>
      </w:r>
      <w:r w:rsidRPr="00F23BDC">
        <w:rPr>
          <w:rFonts w:eastAsia="Times New Roman" w:cstheme="minorHAnsi"/>
          <w:color w:val="000000" w:themeColor="text1"/>
        </w:rPr>
        <w:lastRenderedPageBreak/>
        <w:t>permits covered entities to disclose PHI in a judicial or administrative proceeding if the request for the information is through an order from a court or administrative tribunal.</w:t>
      </w:r>
      <w:r w:rsidR="009C18EB">
        <w:rPr>
          <w:rStyle w:val="FootnoteReference"/>
          <w:rFonts w:eastAsia="Times New Roman" w:cstheme="minorHAnsi"/>
          <w:color w:val="000000" w:themeColor="text1"/>
        </w:rPr>
        <w:footnoteReference w:id="55"/>
      </w:r>
      <w:r w:rsidRPr="00F23BDC">
        <w:rPr>
          <w:rFonts w:eastAsia="Times New Roman" w:cstheme="minorHAnsi"/>
          <w:color w:val="000000" w:themeColor="text1"/>
        </w:rPr>
        <w:t>The broad public health exception under the Privacy Rule would make it unlikely that a health agency would have to seek a court order or subpoena to access PHI.</w:t>
      </w:r>
    </w:p>
    <w:p w14:paraId="6B78BB02" w14:textId="77777777" w:rsidR="004F6570" w:rsidRDefault="004F6570" w:rsidP="004F6570">
      <w:pPr>
        <w:spacing w:line="360" w:lineRule="auto"/>
        <w:rPr>
          <w:rFonts w:eastAsia="Times New Roman" w:cstheme="minorHAnsi"/>
          <w:b/>
          <w:bCs/>
          <w:color w:val="000000" w:themeColor="text1"/>
        </w:rPr>
      </w:pPr>
    </w:p>
    <w:p w14:paraId="296912DB" w14:textId="113E7A45" w:rsidR="00F23BDC" w:rsidRPr="00243529" w:rsidRDefault="00F23BDC" w:rsidP="004F6570">
      <w:pPr>
        <w:spacing w:line="360" w:lineRule="auto"/>
        <w:rPr>
          <w:rFonts w:eastAsia="Times New Roman" w:cstheme="minorHAnsi"/>
          <w:color w:val="000000" w:themeColor="text1"/>
        </w:rPr>
      </w:pPr>
      <w:r w:rsidRPr="00F23BDC">
        <w:rPr>
          <w:rFonts w:eastAsia="Times New Roman" w:cstheme="minorHAnsi"/>
          <w:color w:val="000000" w:themeColor="text1"/>
        </w:rPr>
        <w:t>Regarding FERPA, a health department could arguably obtain a court order or subpoena to access PII in student education records absent written consent or another exception to the FERPA general consent rule; however, the circumstances giving rise to such judicial action would likely satisfy the requirements for an exception in the first place. ED notes that “this exception could be used when an emergency no longer exists or the party seeking personally identifiable information from students’ education records would not typically be considered an ‘appropriate party’ under the health or safety emergency exception to general consent.”</w:t>
      </w:r>
      <w:r w:rsidR="00243529">
        <w:rPr>
          <w:rStyle w:val="FootnoteReference"/>
          <w:rFonts w:eastAsia="Times New Roman" w:cstheme="minorHAnsi"/>
          <w:color w:val="000000" w:themeColor="text1"/>
        </w:rPr>
        <w:footnoteReference w:id="56"/>
      </w:r>
    </w:p>
    <w:sectPr w:rsidR="00F23BDC" w:rsidRPr="0024352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600CA" w14:textId="77777777" w:rsidR="00363484" w:rsidRDefault="00363484" w:rsidP="00363484">
      <w:r>
        <w:separator/>
      </w:r>
    </w:p>
  </w:endnote>
  <w:endnote w:type="continuationSeparator" w:id="0">
    <w:p w14:paraId="2BABB729" w14:textId="77777777" w:rsidR="00363484" w:rsidRDefault="00363484" w:rsidP="0036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083022"/>
      <w:docPartObj>
        <w:docPartGallery w:val="Page Numbers (Bottom of Page)"/>
        <w:docPartUnique/>
      </w:docPartObj>
    </w:sdtPr>
    <w:sdtEndPr>
      <w:rPr>
        <w:noProof/>
      </w:rPr>
    </w:sdtEndPr>
    <w:sdtContent>
      <w:p w14:paraId="4CA7A05B" w14:textId="769AA288" w:rsidR="00363484" w:rsidRDefault="00363484" w:rsidP="003634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09F21" w14:textId="77777777" w:rsidR="00363484" w:rsidRDefault="00363484" w:rsidP="00363484">
      <w:r>
        <w:separator/>
      </w:r>
    </w:p>
  </w:footnote>
  <w:footnote w:type="continuationSeparator" w:id="0">
    <w:p w14:paraId="1D18C135" w14:textId="77777777" w:rsidR="00363484" w:rsidRDefault="00363484" w:rsidP="00363484">
      <w:r>
        <w:continuationSeparator/>
      </w:r>
    </w:p>
  </w:footnote>
  <w:footnote w:id="1">
    <w:p w14:paraId="48951863" w14:textId="0517F6A5" w:rsidR="00A34B18" w:rsidRDefault="00A34B18">
      <w:pPr>
        <w:pStyle w:val="FootnoteText"/>
      </w:pPr>
      <w:r w:rsidRPr="00977BBA">
        <w:rPr>
          <w:b/>
          <w:bCs/>
          <w:highlight w:val="yellow"/>
        </w:rPr>
        <w:t>Footnotes will be streamlined and edited to style guide once text is finalized</w:t>
      </w:r>
    </w:p>
    <w:p w14:paraId="58E60139" w14:textId="7840CB2D" w:rsidR="00A34B18" w:rsidRDefault="00A34B18">
      <w:pPr>
        <w:pStyle w:val="FootnoteText"/>
      </w:pPr>
      <w:r>
        <w:rPr>
          <w:rStyle w:val="FootnoteReference"/>
        </w:rPr>
        <w:footnoteRef/>
      </w:r>
      <w:r>
        <w:t xml:space="preserve"> </w:t>
      </w:r>
      <w:r w:rsidRPr="00D25819">
        <w:t xml:space="preserve">Association of State and Territorial Health Officials. Accessing School Health Information for Public Health Purposes Position Statement. 2006. </w:t>
      </w:r>
      <w:r w:rsidR="00EB0AA8">
        <w:t xml:space="preserve">Retrieved from </w:t>
      </w:r>
      <w:hyperlink r:id="rId1" w:history="1">
        <w:r w:rsidR="00EB0AA8">
          <w:rPr>
            <w:rStyle w:val="Hyperlink"/>
          </w:rPr>
          <w:t>http://www.efrconline.org/admin/files/Accessing%20School%20Health%20Info%20031706.pdf</w:t>
        </w:r>
      </w:hyperlink>
      <w:r w:rsidR="00DB6D1B">
        <w:t>.</w:t>
      </w:r>
      <w:r w:rsidRPr="00D25819">
        <w:t xml:space="preserve"> </w:t>
      </w:r>
    </w:p>
  </w:footnote>
  <w:footnote w:id="2">
    <w:p w14:paraId="4323E0BF" w14:textId="4414DDC2" w:rsidR="00D25819" w:rsidRDefault="00D25819">
      <w:pPr>
        <w:pStyle w:val="FootnoteText"/>
      </w:pPr>
      <w:r>
        <w:rPr>
          <w:rStyle w:val="FootnoteReference"/>
        </w:rPr>
        <w:footnoteRef/>
      </w:r>
      <w:r>
        <w:t xml:space="preserve"> </w:t>
      </w:r>
      <w:bookmarkStart w:id="0" w:name="_Hlk35182317"/>
      <w:r w:rsidRPr="00D25819">
        <w:t>Association of State and Territorial Health Officials. Accessing School Health Information for Public Health Purposes</w:t>
      </w:r>
      <w:r w:rsidR="00D25C63">
        <w:t xml:space="preserve">. </w:t>
      </w:r>
      <w:r w:rsidRPr="00D25819">
        <w:t xml:space="preserve">Position Statement. 2006. </w:t>
      </w:r>
      <w:bookmarkEnd w:id="0"/>
      <w:r w:rsidR="00DB6D1B">
        <w:t xml:space="preserve">Retrieved from </w:t>
      </w:r>
      <w:hyperlink r:id="rId2" w:history="1">
        <w:r w:rsidR="00DB6D1B">
          <w:rPr>
            <w:rStyle w:val="Hyperlink"/>
          </w:rPr>
          <w:t>http://www.efrconline.org/admin/files/Accessing%20School%20Health%20Info%20031706.pdf</w:t>
        </w:r>
      </w:hyperlink>
      <w:r w:rsidR="00DB6D1B">
        <w:t>.</w:t>
      </w:r>
    </w:p>
  </w:footnote>
  <w:footnote w:id="3">
    <w:p w14:paraId="46083A32" w14:textId="12EA37D7" w:rsidR="0064296A" w:rsidRDefault="0064296A">
      <w:pPr>
        <w:pStyle w:val="FootnoteText"/>
      </w:pPr>
      <w:r>
        <w:rPr>
          <w:rStyle w:val="FootnoteReference"/>
        </w:rPr>
        <w:footnoteRef/>
      </w:r>
      <w:r>
        <w:t xml:space="preserve"> </w:t>
      </w:r>
      <w:r w:rsidRPr="00D25819">
        <w:t xml:space="preserve">Association of State and Territorial Health Officials. </w:t>
      </w:r>
      <w:r w:rsidR="000516D3">
        <w:t>A</w:t>
      </w:r>
      <w:bookmarkStart w:id="1" w:name="_GoBack"/>
      <w:bookmarkEnd w:id="1"/>
      <w:r w:rsidR="00C70576" w:rsidRPr="00D25819">
        <w:t>accessing</w:t>
      </w:r>
      <w:r w:rsidRPr="00D25819">
        <w:t xml:space="preserve"> School Health Information for Public Health Purposes Position Statement. 2006. </w:t>
      </w:r>
      <w:r w:rsidR="00DB6D1B">
        <w:t xml:space="preserve">Retrieved from </w:t>
      </w:r>
      <w:hyperlink r:id="rId3" w:history="1">
        <w:r w:rsidR="00DB6D1B">
          <w:rPr>
            <w:rStyle w:val="Hyperlink"/>
          </w:rPr>
          <w:t>http://www.efrconline.org/admin/files/Accessing%20School%20Health%20Info%20031706.pdf</w:t>
        </w:r>
      </w:hyperlink>
      <w:r w:rsidR="00DB6D1B">
        <w:t>.</w:t>
      </w:r>
    </w:p>
  </w:footnote>
  <w:footnote w:id="4">
    <w:p w14:paraId="5E245350" w14:textId="6085241E" w:rsidR="00F41FB9" w:rsidRDefault="00F41FB9">
      <w:pPr>
        <w:pStyle w:val="FootnoteText"/>
      </w:pPr>
      <w:r>
        <w:rPr>
          <w:rStyle w:val="FootnoteReference"/>
        </w:rPr>
        <w:footnoteRef/>
      </w:r>
      <w:r>
        <w:t xml:space="preserve"> </w:t>
      </w:r>
      <w:r w:rsidRPr="00D25819">
        <w:t xml:space="preserve">Association of State and Territorial Health Officials. Accessing School Health Information for Public Health Purposes Position Statement. 2006. </w:t>
      </w:r>
      <w:r w:rsidR="00DB6D1B">
        <w:t xml:space="preserve">Retrieved from </w:t>
      </w:r>
      <w:hyperlink r:id="rId4" w:history="1">
        <w:r w:rsidR="00DB6D1B">
          <w:rPr>
            <w:rStyle w:val="Hyperlink"/>
          </w:rPr>
          <w:t>http://www.efrconline.org/admin/files/Accessing%20School%20Health%20Info%20031706.pdf</w:t>
        </w:r>
      </w:hyperlink>
      <w:r w:rsidR="00DB6D1B">
        <w:t>.</w:t>
      </w:r>
    </w:p>
  </w:footnote>
  <w:footnote w:id="5">
    <w:p w14:paraId="598DBDD2" w14:textId="5B746C6D" w:rsidR="00416956" w:rsidRDefault="00416956">
      <w:pPr>
        <w:pStyle w:val="FootnoteText"/>
      </w:pPr>
      <w:r>
        <w:rPr>
          <w:rStyle w:val="FootnoteReference"/>
        </w:rPr>
        <w:footnoteRef/>
      </w:r>
      <w:r>
        <w:t xml:space="preserve"> </w:t>
      </w:r>
      <w:r w:rsidR="005A2E81" w:rsidRPr="005A2E81">
        <w:t>Family Educational Rights and Privacy Act (FERPA) codified at 20 U.S.C. §1232g.</w:t>
      </w:r>
    </w:p>
  </w:footnote>
  <w:footnote w:id="6">
    <w:p w14:paraId="62BB893C" w14:textId="18A738D2" w:rsidR="00416956" w:rsidRDefault="00416956">
      <w:pPr>
        <w:pStyle w:val="FootnoteText"/>
      </w:pPr>
      <w:r>
        <w:rPr>
          <w:rStyle w:val="FootnoteReference"/>
        </w:rPr>
        <w:footnoteRef/>
      </w:r>
      <w:r>
        <w:t xml:space="preserve"> </w:t>
      </w:r>
      <w:r w:rsidR="00615F0E" w:rsidRPr="00F23BDC">
        <w:rPr>
          <w:rFonts w:eastAsia="Times New Roman" w:cstheme="minorHAnsi"/>
          <w:color w:val="000000" w:themeColor="text1"/>
        </w:rPr>
        <w:t>Health Insurance Portability and Accountability Act (HIPAA)</w:t>
      </w:r>
      <w:r w:rsidR="00615F0E">
        <w:rPr>
          <w:rFonts w:eastAsia="Times New Roman" w:cstheme="minorHAnsi"/>
          <w:color w:val="000000" w:themeColor="text1"/>
        </w:rPr>
        <w:t xml:space="preserve">. </w:t>
      </w:r>
      <w:r w:rsidR="00420FB6" w:rsidRPr="00420FB6">
        <w:t>Pub. L. 104-191, 42 U.S.C. § 300gg et seq.</w:t>
      </w:r>
    </w:p>
  </w:footnote>
  <w:footnote w:id="7">
    <w:p w14:paraId="2A82F3E7" w14:textId="627F4B48" w:rsidR="008D0ABB" w:rsidRDefault="008D0ABB">
      <w:pPr>
        <w:pStyle w:val="FootnoteText"/>
      </w:pPr>
      <w:r>
        <w:rPr>
          <w:rStyle w:val="FootnoteReference"/>
        </w:rPr>
        <w:footnoteRef/>
      </w:r>
      <w:r>
        <w:t xml:space="preserve"> </w:t>
      </w:r>
      <w:r w:rsidR="00615F0E">
        <w:t>HIPAA Privacy Rule</w:t>
      </w:r>
      <w:r w:rsidR="00EB28CA">
        <w:t xml:space="preserve">. </w:t>
      </w:r>
      <w:r w:rsidR="00420FB6" w:rsidRPr="00420FB6">
        <w:t>45 C.F.R. Parts 160 and 164.</w:t>
      </w:r>
    </w:p>
  </w:footnote>
  <w:footnote w:id="8">
    <w:p w14:paraId="7ABAC368" w14:textId="12617FD1" w:rsidR="005A2E81" w:rsidRDefault="005A2E81">
      <w:pPr>
        <w:pStyle w:val="FootnoteText"/>
      </w:pPr>
      <w:r>
        <w:rPr>
          <w:rStyle w:val="FootnoteReference"/>
        </w:rPr>
        <w:footnoteRef/>
      </w:r>
      <w:r>
        <w:t xml:space="preserve"> </w:t>
      </w:r>
      <w:r w:rsidRPr="005A2E81">
        <w:t>Family Educational Rights and Privacy Act (FERPA) codified at 20 U.S.C. §1232g.</w:t>
      </w:r>
    </w:p>
  </w:footnote>
  <w:footnote w:id="9">
    <w:p w14:paraId="48563817" w14:textId="78F885B2" w:rsidR="00A47EE7" w:rsidRDefault="00A47EE7">
      <w:pPr>
        <w:pStyle w:val="FootnoteText"/>
      </w:pPr>
      <w:r>
        <w:rPr>
          <w:rStyle w:val="FootnoteReference"/>
        </w:rPr>
        <w:footnoteRef/>
      </w:r>
      <w:r>
        <w:t xml:space="preserve"> </w:t>
      </w:r>
      <w:bookmarkStart w:id="2" w:name="_Hlk35245598"/>
      <w:r w:rsidR="00EE70A1" w:rsidRPr="00EE70A1">
        <w:t xml:space="preserve">U.S. Dept. of Education. Family Educational Rights and Privacy Act (FERPA) and H1N1. October 2009. </w:t>
      </w:r>
      <w:r w:rsidR="00F934BC">
        <w:t xml:space="preserve">Retrieved from </w:t>
      </w:r>
      <w:hyperlink r:id="rId5" w:history="1">
        <w:r w:rsidR="00A25BE2" w:rsidRPr="009B7EF8">
          <w:rPr>
            <w:rStyle w:val="Hyperlink"/>
          </w:rPr>
          <w:t>http://www2.ed.gov/policy/gen/guid/fpco/pdf/f</w:t>
        </w:r>
        <w:r w:rsidR="00A25BE2" w:rsidRPr="009B7EF8">
          <w:rPr>
            <w:rStyle w:val="Hyperlink"/>
          </w:rPr>
          <w:t>e</w:t>
        </w:r>
        <w:r w:rsidR="00A25BE2" w:rsidRPr="009B7EF8">
          <w:rPr>
            <w:rStyle w:val="Hyperlink"/>
          </w:rPr>
          <w:t>rpa-h1n1.pdf</w:t>
        </w:r>
      </w:hyperlink>
      <w:r w:rsidR="00EE70A1" w:rsidRPr="00EE70A1">
        <w:t>.</w:t>
      </w:r>
      <w:r w:rsidR="00A25BE2">
        <w:t xml:space="preserve"> </w:t>
      </w:r>
      <w:bookmarkEnd w:id="2"/>
    </w:p>
  </w:footnote>
  <w:footnote w:id="10">
    <w:p w14:paraId="42260391" w14:textId="375F50BC" w:rsidR="007D524A" w:rsidRDefault="007D524A">
      <w:pPr>
        <w:pStyle w:val="FootnoteText"/>
      </w:pPr>
      <w:r>
        <w:rPr>
          <w:rStyle w:val="FootnoteReference"/>
        </w:rPr>
        <w:footnoteRef/>
      </w:r>
      <w:r>
        <w:t xml:space="preserve"> </w:t>
      </w:r>
      <w:bookmarkStart w:id="3" w:name="_Hlk35249856"/>
      <w:r w:rsidRPr="007D524A">
        <w:t>U.S. Dept. of Education. Family Educational Rights and Privacy Act (FERPA)</w:t>
      </w:r>
      <w:r w:rsidR="005F1ABF">
        <w:t>. W</w:t>
      </w:r>
      <w:r w:rsidRPr="007D524A">
        <w:t>eb</w:t>
      </w:r>
      <w:r w:rsidR="00BD50B9">
        <w:t xml:space="preserve">page last reviewed March 1, 2018. </w:t>
      </w:r>
      <w:r w:rsidR="005F1ABF">
        <w:t>Retrieved from</w:t>
      </w:r>
      <w:r w:rsidRPr="007D524A">
        <w:t xml:space="preserve"> </w:t>
      </w:r>
      <w:hyperlink r:id="rId6" w:history="1">
        <w:r w:rsidR="00123F79" w:rsidRPr="009B7EF8">
          <w:rPr>
            <w:rStyle w:val="Hyperlink"/>
          </w:rPr>
          <w:t>http://www2.ed.gov/policy/gen/guid/fpco/ferp</w:t>
        </w:r>
        <w:r w:rsidR="00123F79" w:rsidRPr="009B7EF8">
          <w:rPr>
            <w:rStyle w:val="Hyperlink"/>
          </w:rPr>
          <w:t>a/index.html</w:t>
        </w:r>
      </w:hyperlink>
      <w:r w:rsidRPr="007D524A">
        <w:t>.</w:t>
      </w:r>
      <w:bookmarkEnd w:id="3"/>
    </w:p>
  </w:footnote>
  <w:footnote w:id="11">
    <w:p w14:paraId="67D000EE" w14:textId="0804741C" w:rsidR="007D524A" w:rsidRDefault="007D524A">
      <w:pPr>
        <w:pStyle w:val="FootnoteText"/>
      </w:pPr>
      <w:r>
        <w:rPr>
          <w:rStyle w:val="FootnoteReference"/>
        </w:rPr>
        <w:footnoteRef/>
      </w:r>
      <w:r>
        <w:t xml:space="preserve"> </w:t>
      </w:r>
      <w:r w:rsidR="00AB6159" w:rsidRPr="00EE70A1">
        <w:t xml:space="preserve">U.S. Dept. of Education. Family Educational Rights and Privacy Act (FERPA) and H1N1. October 2009. </w:t>
      </w:r>
      <w:r w:rsidR="00AB6159">
        <w:t xml:space="preserve">Retrieved from </w:t>
      </w:r>
      <w:hyperlink r:id="rId7" w:history="1">
        <w:r w:rsidR="00AB6159" w:rsidRPr="009B7EF8">
          <w:rPr>
            <w:rStyle w:val="Hyperlink"/>
          </w:rPr>
          <w:t>http://www2.ed.gov/policy/gen/guid/fpco/pdf/ferpa-h1n1.pdf</w:t>
        </w:r>
      </w:hyperlink>
      <w:r w:rsidR="00AB6159" w:rsidRPr="00EE70A1">
        <w:t>.</w:t>
      </w:r>
    </w:p>
  </w:footnote>
  <w:footnote w:id="12">
    <w:p w14:paraId="26552244" w14:textId="7FC819A4" w:rsidR="007D524A" w:rsidRDefault="007D524A">
      <w:pPr>
        <w:pStyle w:val="FootnoteText"/>
      </w:pPr>
      <w:r>
        <w:rPr>
          <w:rStyle w:val="FootnoteReference"/>
        </w:rPr>
        <w:footnoteRef/>
      </w:r>
      <w:r>
        <w:t xml:space="preserve"> </w:t>
      </w:r>
      <w:r w:rsidRPr="007D524A">
        <w:t xml:space="preserve">U.S. Dept. of Education and U.S. Dept. of Health and Human Services. Joint Guidance on the Application of the Family Educational Rights and Privacy Act (FERPA) and the Health Insurance Portability and Accountability Act of 1996 (HIPAA) to Student Health Records. </w:t>
      </w:r>
      <w:r w:rsidR="00DD1215">
        <w:t>December 2019</w:t>
      </w:r>
      <w:r w:rsidRPr="007D524A">
        <w:t xml:space="preserve">. </w:t>
      </w:r>
      <w:r w:rsidR="00DD1215">
        <w:t xml:space="preserve">Retrieved from </w:t>
      </w:r>
      <w:hyperlink r:id="rId8" w:history="1">
        <w:r w:rsidR="00DD1215">
          <w:rPr>
            <w:rStyle w:val="Hyperlink"/>
          </w:rPr>
          <w:t>https://studentprivacy.ed.gov/resources/joint-guidance-application-ferpa-and-hipaa-student-health-records</w:t>
        </w:r>
      </w:hyperlink>
      <w:r w:rsidRPr="007D524A">
        <w:t>.</w:t>
      </w:r>
      <w:r w:rsidR="00564207">
        <w:t xml:space="preserve"> </w:t>
      </w:r>
    </w:p>
  </w:footnote>
  <w:footnote w:id="13">
    <w:p w14:paraId="69B1A3A1" w14:textId="434E90FE" w:rsidR="00F475B8" w:rsidRDefault="00F475B8">
      <w:pPr>
        <w:pStyle w:val="FootnoteText"/>
      </w:pPr>
      <w:r>
        <w:rPr>
          <w:rStyle w:val="FootnoteReference"/>
        </w:rPr>
        <w:footnoteRef/>
      </w:r>
      <w:r>
        <w:t xml:space="preserve"> </w:t>
      </w:r>
      <w:r w:rsidR="00D25C63" w:rsidRPr="007D524A">
        <w:t xml:space="preserve">U.S. Dept. of Education and U.S. Dept. of Health and Human Services. Joint Guidance on the Application of the Family Educational Rights and Privacy Act (FERPA) and the Health Insurance Portability and Accountability Act of 1996 (HIPAA) to Student Health Records. </w:t>
      </w:r>
      <w:r w:rsidR="00D25C63">
        <w:t>December 2019</w:t>
      </w:r>
      <w:r w:rsidR="00D25C63" w:rsidRPr="007D524A">
        <w:t xml:space="preserve">. </w:t>
      </w:r>
      <w:r w:rsidR="00D25C63">
        <w:t xml:space="preserve">Retrieved from </w:t>
      </w:r>
      <w:hyperlink r:id="rId9" w:history="1">
        <w:r w:rsidR="00D25C63">
          <w:rPr>
            <w:rStyle w:val="Hyperlink"/>
          </w:rPr>
          <w:t>https://studentprivacy.ed.gov/resources/joint-guidance-application-ferpa-and-hipaa-student-health-records</w:t>
        </w:r>
      </w:hyperlink>
      <w:r w:rsidR="00D25C63" w:rsidRPr="007D524A">
        <w:t>.</w:t>
      </w:r>
    </w:p>
  </w:footnote>
  <w:footnote w:id="14">
    <w:p w14:paraId="5214FC88" w14:textId="5209D2D9" w:rsidR="008D6091" w:rsidRDefault="008D6091">
      <w:pPr>
        <w:pStyle w:val="FootnoteText"/>
      </w:pPr>
      <w:r>
        <w:rPr>
          <w:rStyle w:val="FootnoteReference"/>
        </w:rPr>
        <w:footnoteRef/>
      </w:r>
      <w:r>
        <w:t xml:space="preserve"> </w:t>
      </w:r>
      <w:r w:rsidRPr="008D6091">
        <w:t>45 C.F.R. §164.512(b)(i)–(v).</w:t>
      </w:r>
      <w:r>
        <w:t xml:space="preserve"> </w:t>
      </w:r>
      <w:r w:rsidRPr="008D6091">
        <w:rPr>
          <w:i/>
          <w:iCs/>
        </w:rPr>
        <w:t>See also</w:t>
      </w:r>
      <w:r>
        <w:t xml:space="preserve"> </w:t>
      </w:r>
      <w:r w:rsidRPr="00F23BDC">
        <w:rPr>
          <w:rFonts w:eastAsia="Times New Roman" w:cstheme="minorHAnsi"/>
          <w:color w:val="000000" w:themeColor="text1"/>
        </w:rPr>
        <w:t>U.S. Dept. of Education. Final Rulemaking. Family Educational Rights and Privacy. 76 F.R. 75604 (December 2, 2011).</w:t>
      </w:r>
    </w:p>
  </w:footnote>
  <w:footnote w:id="15">
    <w:p w14:paraId="04C956C4" w14:textId="0CE7F439" w:rsidR="00E345D0" w:rsidRDefault="00E345D0">
      <w:pPr>
        <w:pStyle w:val="FootnoteText"/>
      </w:pPr>
      <w:r>
        <w:rPr>
          <w:rStyle w:val="FootnoteReference"/>
        </w:rPr>
        <w:footnoteRef/>
      </w:r>
      <w:r>
        <w:t xml:space="preserve"> </w:t>
      </w:r>
      <w:r w:rsidRPr="00E345D0">
        <w:t>ED has historically interpreted FERPA to exclude “non-school” entities, which are not attended by students, from the scope of entities covered by the act. However, amendments to FERPA regulations in December 2011 reflect ED’s changed view</w:t>
      </w:r>
      <w:r w:rsidR="00A302A9">
        <w:t xml:space="preserve"> that </w:t>
      </w:r>
      <w:r w:rsidRPr="00E345D0">
        <w:t xml:space="preserve">FERPA </w:t>
      </w:r>
      <w:r w:rsidR="00A302A9">
        <w:t>applies to these enti</w:t>
      </w:r>
      <w:r w:rsidR="00613449">
        <w:t xml:space="preserve">ties. </w:t>
      </w:r>
      <w:r w:rsidR="00407FD5" w:rsidRPr="00407FD5">
        <w:t>U.S. Dept. of Education. Final Rulemaking. Family Educational Rights and Privacy. 76 F.R. 75604 (December 2, 2011).</w:t>
      </w:r>
    </w:p>
  </w:footnote>
  <w:footnote w:id="16">
    <w:p w14:paraId="10A01C61" w14:textId="0C416D11" w:rsidR="000301F6" w:rsidRDefault="000301F6">
      <w:pPr>
        <w:pStyle w:val="FootnoteText"/>
      </w:pPr>
      <w:r>
        <w:rPr>
          <w:rStyle w:val="FootnoteReference"/>
        </w:rPr>
        <w:footnoteRef/>
      </w:r>
      <w:r>
        <w:t xml:space="preserve"> </w:t>
      </w:r>
      <w:r w:rsidRPr="000301F6">
        <w:t>34 CFR Part 99.</w:t>
      </w:r>
    </w:p>
  </w:footnote>
  <w:footnote w:id="17">
    <w:p w14:paraId="1403CAF5" w14:textId="182F2E73" w:rsidR="000301F6" w:rsidRDefault="000301F6">
      <w:pPr>
        <w:pStyle w:val="FootnoteText"/>
      </w:pPr>
      <w:r>
        <w:rPr>
          <w:rStyle w:val="FootnoteReference"/>
        </w:rPr>
        <w:footnoteRef/>
      </w:r>
      <w:r>
        <w:t xml:space="preserve"> </w:t>
      </w:r>
      <w:r w:rsidR="003D530B" w:rsidRPr="007D524A">
        <w:t>U.S. Dept. of Education. Family Educational Rights and Privacy Act (FERPA)</w:t>
      </w:r>
      <w:r w:rsidR="003D530B">
        <w:t>. W</w:t>
      </w:r>
      <w:r w:rsidR="003D530B" w:rsidRPr="007D524A">
        <w:t>eb</w:t>
      </w:r>
      <w:r w:rsidR="003D530B">
        <w:t>page last reviewed March 1, 2018. Retrieved from</w:t>
      </w:r>
      <w:r w:rsidR="003D530B" w:rsidRPr="007D524A">
        <w:t xml:space="preserve"> </w:t>
      </w:r>
      <w:hyperlink r:id="rId10" w:history="1">
        <w:r w:rsidR="003D530B" w:rsidRPr="009B7EF8">
          <w:rPr>
            <w:rStyle w:val="Hyperlink"/>
          </w:rPr>
          <w:t>http://www2.ed.gov/policy/gen/guid/fpco/ferpa/index.html</w:t>
        </w:r>
      </w:hyperlink>
      <w:r w:rsidR="004C5F06">
        <w:t>.</w:t>
      </w:r>
      <w:r w:rsidR="002C6B73">
        <w:t xml:space="preserve"> </w:t>
      </w:r>
      <w:r w:rsidR="002C6B73" w:rsidRPr="002C6B73">
        <w:rPr>
          <w:i/>
          <w:iCs/>
        </w:rPr>
        <w:t>See also</w:t>
      </w:r>
      <w:r w:rsidR="002C6B73">
        <w:t xml:space="preserve"> </w:t>
      </w:r>
      <w:r w:rsidR="002C6B73" w:rsidRPr="00F23BDC">
        <w:rPr>
          <w:rFonts w:eastAsia="Times New Roman" w:cstheme="minorHAnsi"/>
          <w:color w:val="000000" w:themeColor="text1"/>
        </w:rPr>
        <w:t>U.S. Dept. of Education. Final Rulemaking. Family Educational Rights and Privacy. 76 F.R. 75604 (December 2, 2011).</w:t>
      </w:r>
    </w:p>
  </w:footnote>
  <w:footnote w:id="18">
    <w:p w14:paraId="3EBEFF0D" w14:textId="0BA5769C" w:rsidR="002C6B73" w:rsidRDefault="002C6B73">
      <w:pPr>
        <w:pStyle w:val="FootnoteText"/>
      </w:pPr>
      <w:r>
        <w:rPr>
          <w:rStyle w:val="FootnoteReference"/>
        </w:rPr>
        <w:footnoteRef/>
      </w:r>
      <w:r>
        <w:t xml:space="preserve"> </w:t>
      </w:r>
      <w:r w:rsidR="004C5F06" w:rsidRPr="007D524A">
        <w:t>U.S. Dept. of Education. Family Educational Rights and Privacy Act (FERPA)</w:t>
      </w:r>
      <w:r w:rsidR="004C5F06">
        <w:t>. W</w:t>
      </w:r>
      <w:r w:rsidR="004C5F06" w:rsidRPr="007D524A">
        <w:t>eb</w:t>
      </w:r>
      <w:r w:rsidR="004C5F06">
        <w:t>page last reviewed March 1, 2018. Retrieved from</w:t>
      </w:r>
      <w:r w:rsidR="004C5F06" w:rsidRPr="007D524A">
        <w:t xml:space="preserve"> </w:t>
      </w:r>
      <w:hyperlink r:id="rId11" w:history="1">
        <w:r w:rsidR="004C5F06" w:rsidRPr="009B7EF8">
          <w:rPr>
            <w:rStyle w:val="Hyperlink"/>
          </w:rPr>
          <w:t>http://www2.ed.gov/policy/gen/guid/fpco/ferpa/index.html</w:t>
        </w:r>
      </w:hyperlink>
      <w:r w:rsidR="004C5F06">
        <w:t xml:space="preserve">. </w:t>
      </w:r>
      <w:r w:rsidR="004C5F06" w:rsidRPr="002C6B73">
        <w:rPr>
          <w:i/>
          <w:iCs/>
        </w:rPr>
        <w:t>See also</w:t>
      </w:r>
      <w:r w:rsidR="004C5F06">
        <w:t xml:space="preserve"> </w:t>
      </w:r>
      <w:r w:rsidR="004C5F06" w:rsidRPr="00F23BDC">
        <w:rPr>
          <w:rFonts w:eastAsia="Times New Roman" w:cstheme="minorHAnsi"/>
          <w:color w:val="000000" w:themeColor="text1"/>
        </w:rPr>
        <w:t>U.S. Dept. of Education. Final Rulemaking. Family Educational Rights and Privacy. 76 F.R. 75604 (December 2, 2011).</w:t>
      </w:r>
    </w:p>
  </w:footnote>
  <w:footnote w:id="19">
    <w:p w14:paraId="420AC0F3" w14:textId="3914F592" w:rsidR="008E2645" w:rsidRDefault="008E2645">
      <w:pPr>
        <w:pStyle w:val="FootnoteText"/>
      </w:pPr>
      <w:r>
        <w:rPr>
          <w:rStyle w:val="FootnoteReference"/>
        </w:rPr>
        <w:footnoteRef/>
      </w:r>
      <w:r>
        <w:t xml:space="preserve"> </w:t>
      </w:r>
      <w:r w:rsidRPr="008E2645">
        <w:t>34 CFR Part 99.</w:t>
      </w:r>
    </w:p>
  </w:footnote>
  <w:footnote w:id="20">
    <w:p w14:paraId="0E53DBF4" w14:textId="4C9C2FF0" w:rsidR="008E2645" w:rsidRDefault="008E2645">
      <w:pPr>
        <w:pStyle w:val="FootnoteText"/>
      </w:pPr>
      <w:r>
        <w:rPr>
          <w:rStyle w:val="FootnoteReference"/>
        </w:rPr>
        <w:footnoteRef/>
      </w:r>
      <w:r>
        <w:t xml:space="preserve"> </w:t>
      </w:r>
      <w:r w:rsidRPr="008E2645">
        <w:t>34 CFR Part 99.</w:t>
      </w:r>
      <w:r>
        <w:t xml:space="preserve"> </w:t>
      </w:r>
      <w:r w:rsidRPr="008E2645">
        <w:rPr>
          <w:i/>
          <w:iCs/>
        </w:rPr>
        <w:t>See also</w:t>
      </w:r>
      <w:r>
        <w:t xml:space="preserve"> </w:t>
      </w:r>
      <w:r w:rsidR="004C5F06" w:rsidRPr="007D524A">
        <w:t>U.S. Dept. of Education. Family Educational Rights and Privacy Act (FERPA)</w:t>
      </w:r>
      <w:r w:rsidR="004C5F06">
        <w:t>. W</w:t>
      </w:r>
      <w:r w:rsidR="004C5F06" w:rsidRPr="007D524A">
        <w:t>eb</w:t>
      </w:r>
      <w:r w:rsidR="004C5F06">
        <w:t>page last reviewed March 1, 2018. Retrieved from</w:t>
      </w:r>
      <w:r w:rsidR="004C5F06" w:rsidRPr="007D524A">
        <w:t xml:space="preserve"> </w:t>
      </w:r>
      <w:hyperlink r:id="rId12" w:history="1">
        <w:r w:rsidR="004C5F06" w:rsidRPr="009B7EF8">
          <w:rPr>
            <w:rStyle w:val="Hyperlink"/>
          </w:rPr>
          <w:t>http://www2.ed.gov/policy/gen/guid/fpco/ferpa/index.html</w:t>
        </w:r>
      </w:hyperlink>
      <w:r w:rsidR="004C5F06">
        <w:t xml:space="preserve">. </w:t>
      </w:r>
    </w:p>
  </w:footnote>
  <w:footnote w:id="21">
    <w:p w14:paraId="44481D1E" w14:textId="37175ABE" w:rsidR="00F735EC" w:rsidRDefault="00F735EC" w:rsidP="00F735EC">
      <w:pPr>
        <w:pStyle w:val="FootnoteText"/>
      </w:pPr>
      <w:r>
        <w:rPr>
          <w:rStyle w:val="FootnoteReference"/>
        </w:rPr>
        <w:footnoteRef/>
      </w:r>
      <w:r>
        <w:t xml:space="preserve"> </w:t>
      </w:r>
      <w:r w:rsidR="00990A76" w:rsidRPr="00CD716E">
        <w:t>34 C.F.R. § 99.31.</w:t>
      </w:r>
    </w:p>
  </w:footnote>
  <w:footnote w:id="22">
    <w:p w14:paraId="1A89DDCC" w14:textId="645C0CF0" w:rsidR="00420FB6" w:rsidRDefault="00420FB6">
      <w:pPr>
        <w:pStyle w:val="FootnoteText"/>
      </w:pPr>
      <w:r>
        <w:rPr>
          <w:rStyle w:val="FootnoteReference"/>
        </w:rPr>
        <w:footnoteRef/>
      </w:r>
      <w:r>
        <w:t xml:space="preserve"> </w:t>
      </w:r>
      <w:r w:rsidRPr="002C4A88">
        <w:rPr>
          <w:rFonts w:eastAsia="Times New Roman" w:cstheme="minorHAnsi"/>
        </w:rPr>
        <w:t>45 C.F.R. Parts 160 and 164.</w:t>
      </w:r>
      <w:r>
        <w:rPr>
          <w:rFonts w:eastAsia="Times New Roman" w:cstheme="minorHAnsi"/>
        </w:rPr>
        <w:t xml:space="preserve"> </w:t>
      </w:r>
      <w:r w:rsidRPr="00785E89">
        <w:t>Pub. L. 104-191, 42 U.S.C. § 300gg et seq.</w:t>
      </w:r>
    </w:p>
  </w:footnote>
  <w:footnote w:id="23">
    <w:p w14:paraId="2C20B40F" w14:textId="77777777" w:rsidR="00686C97" w:rsidRDefault="00686C97" w:rsidP="00686C97">
      <w:pPr>
        <w:pStyle w:val="FootnoteText"/>
      </w:pPr>
      <w:r>
        <w:rPr>
          <w:rStyle w:val="FootnoteReference"/>
        </w:rPr>
        <w:footnoteRef/>
      </w:r>
      <w:r>
        <w:t xml:space="preserve"> </w:t>
      </w:r>
      <w:r w:rsidRPr="00E025CD">
        <w:t>“Covered entities” are defined as health plans, healthcare clearinghouses, and any healthcare provider that transmits health information in electronic form in connection with transactions for which the Secretary of HHS has adopted standards under HIPAA. A “business associate” is a person or organization not employed by the covered entity that performs certain activities for a covered entity involving the use or disclosure of individually identifiable health information.</w:t>
      </w:r>
    </w:p>
  </w:footnote>
  <w:footnote w:id="24">
    <w:p w14:paraId="03802366" w14:textId="75F1FBBC" w:rsidR="00BD51E6" w:rsidRDefault="00BD51E6">
      <w:pPr>
        <w:pStyle w:val="FootnoteText"/>
      </w:pPr>
      <w:r>
        <w:rPr>
          <w:rStyle w:val="FootnoteReference"/>
        </w:rPr>
        <w:footnoteRef/>
      </w:r>
      <w:r>
        <w:t xml:space="preserve"> </w:t>
      </w:r>
      <w:r w:rsidRPr="00BD51E6">
        <w:t xml:space="preserve">Stevens GM. Congressional Research Service. A Brief Summary of the HIPAA Medical Privacy Rule (RS20934). April 30, 2003. </w:t>
      </w:r>
      <w:r w:rsidR="00957605">
        <w:t xml:space="preserve">Retrieved from </w:t>
      </w:r>
      <w:hyperlink r:id="rId13" w:history="1">
        <w:r w:rsidR="00957605">
          <w:rPr>
            <w:rStyle w:val="Hyperlink"/>
          </w:rPr>
          <w:t>https://www.epic.org/privacy/medical/RS20934.pdf</w:t>
        </w:r>
      </w:hyperlink>
      <w:r w:rsidR="00957605">
        <w:t>.</w:t>
      </w:r>
    </w:p>
  </w:footnote>
  <w:footnote w:id="25">
    <w:p w14:paraId="324FFE5A" w14:textId="15F81295" w:rsidR="009523F1" w:rsidRDefault="009523F1">
      <w:pPr>
        <w:pStyle w:val="FootnoteText"/>
      </w:pPr>
      <w:r>
        <w:rPr>
          <w:rStyle w:val="FootnoteReference"/>
        </w:rPr>
        <w:footnoteRef/>
      </w:r>
      <w:r>
        <w:t xml:space="preserve"> </w:t>
      </w:r>
      <w:r w:rsidRPr="009523F1">
        <w:t>U.S. Dept. of Health and Human Services. Summary of HIPAA Privacy Rule</w:t>
      </w:r>
      <w:r w:rsidR="00957605">
        <w:t>.</w:t>
      </w:r>
      <w:r w:rsidRPr="009523F1">
        <w:t xml:space="preserve"> </w:t>
      </w:r>
      <w:r w:rsidR="004D3245">
        <w:t>W</w:t>
      </w:r>
      <w:r w:rsidRPr="009523F1">
        <w:t>ebsite</w:t>
      </w:r>
      <w:r w:rsidR="004D3245">
        <w:t xml:space="preserve"> last reviewed July 26, 2013. Retrieved from </w:t>
      </w:r>
      <w:hyperlink r:id="rId14" w:history="1">
        <w:r w:rsidR="00957605" w:rsidRPr="009B7EF8">
          <w:rPr>
            <w:rStyle w:val="Hyperlink"/>
          </w:rPr>
          <w:t>www.hhs.gov/ocr/privacy/hipaa/understanding/summary</w:t>
        </w:r>
        <w:r w:rsidR="00957605" w:rsidRPr="009B7EF8">
          <w:rPr>
            <w:rStyle w:val="Hyperlink"/>
          </w:rPr>
          <w:t>/index.html</w:t>
        </w:r>
      </w:hyperlink>
      <w:r w:rsidRPr="009523F1">
        <w:t>.</w:t>
      </w:r>
      <w:r w:rsidR="00957605">
        <w:t xml:space="preserve"> </w:t>
      </w:r>
    </w:p>
  </w:footnote>
  <w:footnote w:id="26">
    <w:p w14:paraId="0E3A996D" w14:textId="0AA1A05A" w:rsidR="009523F1" w:rsidRDefault="009523F1">
      <w:pPr>
        <w:pStyle w:val="FootnoteText"/>
      </w:pPr>
      <w:r>
        <w:rPr>
          <w:rStyle w:val="FootnoteReference"/>
        </w:rPr>
        <w:footnoteRef/>
      </w:r>
      <w:r>
        <w:t xml:space="preserve"> </w:t>
      </w:r>
      <w:r w:rsidR="004D3245" w:rsidRPr="009523F1">
        <w:t>U.S. Dept. of Health and Human Services. Summary of HIPAA Privacy Rule</w:t>
      </w:r>
      <w:r w:rsidR="004D3245">
        <w:t>.</w:t>
      </w:r>
      <w:r w:rsidR="004D3245" w:rsidRPr="009523F1">
        <w:t xml:space="preserve"> </w:t>
      </w:r>
      <w:r w:rsidR="004D3245">
        <w:t>W</w:t>
      </w:r>
      <w:r w:rsidR="004D3245" w:rsidRPr="009523F1">
        <w:t>ebsite</w:t>
      </w:r>
      <w:r w:rsidR="004D3245">
        <w:t xml:space="preserve"> last reviewed July 26, 2013. Retrieved from </w:t>
      </w:r>
      <w:hyperlink r:id="rId15" w:history="1">
        <w:r w:rsidR="004D3245" w:rsidRPr="009B7EF8">
          <w:rPr>
            <w:rStyle w:val="Hyperlink"/>
          </w:rPr>
          <w:t>www.hhs.gov/ocr/privacy/hipaa/understanding/summary/index.html</w:t>
        </w:r>
      </w:hyperlink>
      <w:r w:rsidR="004D3245" w:rsidRPr="009523F1">
        <w:t>.</w:t>
      </w:r>
    </w:p>
  </w:footnote>
  <w:footnote w:id="27">
    <w:p w14:paraId="228250B1" w14:textId="7B9CFFA4" w:rsidR="009523F1" w:rsidRDefault="009523F1">
      <w:pPr>
        <w:pStyle w:val="FootnoteText"/>
      </w:pPr>
      <w:r>
        <w:rPr>
          <w:rStyle w:val="FootnoteReference"/>
        </w:rPr>
        <w:footnoteRef/>
      </w:r>
      <w:r>
        <w:t xml:space="preserve"> </w:t>
      </w:r>
      <w:r w:rsidR="00393FC6" w:rsidRPr="009523F1">
        <w:t>U.S. Dept. of Health and Human Services. Summary of HIPAA Privacy Rule</w:t>
      </w:r>
      <w:r w:rsidR="00393FC6">
        <w:t>.</w:t>
      </w:r>
      <w:r w:rsidR="00393FC6" w:rsidRPr="009523F1">
        <w:t xml:space="preserve"> </w:t>
      </w:r>
      <w:r w:rsidR="00393FC6">
        <w:t>W</w:t>
      </w:r>
      <w:r w:rsidR="00393FC6" w:rsidRPr="009523F1">
        <w:t>ebsite</w:t>
      </w:r>
      <w:r w:rsidR="00393FC6">
        <w:t xml:space="preserve"> last reviewed July 26, 2013. Retrieved from </w:t>
      </w:r>
      <w:hyperlink r:id="rId16" w:history="1">
        <w:r w:rsidR="00393FC6" w:rsidRPr="009B7EF8">
          <w:rPr>
            <w:rStyle w:val="Hyperlink"/>
          </w:rPr>
          <w:t>www.hhs.gov/ocr/privacy/hipaa/understanding/summary/index.html</w:t>
        </w:r>
      </w:hyperlink>
      <w:r w:rsidR="00393FC6" w:rsidRPr="009523F1">
        <w:t>.</w:t>
      </w:r>
    </w:p>
  </w:footnote>
  <w:footnote w:id="28">
    <w:p w14:paraId="1F820612" w14:textId="3C1BB076" w:rsidR="00031854" w:rsidRDefault="00031854">
      <w:pPr>
        <w:pStyle w:val="FootnoteText"/>
      </w:pPr>
      <w:r>
        <w:rPr>
          <w:rStyle w:val="FootnoteReference"/>
        </w:rPr>
        <w:footnoteRef/>
      </w:r>
      <w:r>
        <w:t xml:space="preserve"> </w:t>
      </w:r>
      <w:r w:rsidRPr="00031854">
        <w:t>U.S. Dept. of Health and Human Services. Standards for Privacy of Individually Identifiable Health Information. 45 C.F.R. Parts 160, 164.</w:t>
      </w:r>
    </w:p>
  </w:footnote>
  <w:footnote w:id="29">
    <w:p w14:paraId="395359E7" w14:textId="41671CC8" w:rsidR="00031854" w:rsidRDefault="00031854">
      <w:pPr>
        <w:pStyle w:val="FootnoteText"/>
      </w:pPr>
      <w:r>
        <w:rPr>
          <w:rStyle w:val="FootnoteReference"/>
        </w:rPr>
        <w:footnoteRef/>
      </w:r>
      <w:r>
        <w:t xml:space="preserve"> </w:t>
      </w:r>
      <w:r w:rsidR="00393FC6" w:rsidRPr="009523F1">
        <w:t>U.S. Dept. of Health and Human Services. Summary of HIPAA Privacy Rule</w:t>
      </w:r>
      <w:r w:rsidR="00393FC6">
        <w:t>.</w:t>
      </w:r>
      <w:r w:rsidR="00393FC6" w:rsidRPr="009523F1">
        <w:t xml:space="preserve"> </w:t>
      </w:r>
      <w:r w:rsidR="00393FC6">
        <w:t>W</w:t>
      </w:r>
      <w:r w:rsidR="00393FC6" w:rsidRPr="009523F1">
        <w:t>ebsite</w:t>
      </w:r>
      <w:r w:rsidR="00393FC6">
        <w:t xml:space="preserve"> last reviewed July 26, 2013. Retrieved from </w:t>
      </w:r>
      <w:hyperlink r:id="rId17" w:history="1">
        <w:r w:rsidR="00393FC6" w:rsidRPr="009B7EF8">
          <w:rPr>
            <w:rStyle w:val="Hyperlink"/>
          </w:rPr>
          <w:t>www.hhs.gov/ocr/privacy/hipaa/understanding/summary/index.html</w:t>
        </w:r>
      </w:hyperlink>
      <w:r w:rsidR="00393FC6" w:rsidRPr="009523F1">
        <w:t>.</w:t>
      </w:r>
    </w:p>
  </w:footnote>
  <w:footnote w:id="30">
    <w:p w14:paraId="69377DCE" w14:textId="33BA3174" w:rsidR="00BD1ED8" w:rsidRDefault="00BD1ED8" w:rsidP="00BD1ED8">
      <w:pPr>
        <w:pStyle w:val="FootnoteText"/>
      </w:pPr>
      <w:r>
        <w:rPr>
          <w:rStyle w:val="FootnoteReference"/>
        </w:rPr>
        <w:footnoteRef/>
      </w:r>
      <w:r>
        <w:t xml:space="preserve"> </w:t>
      </w:r>
      <w:r w:rsidR="002D399D" w:rsidRPr="002D399D">
        <w:t>45 C.F.R. Parts 160, 164</w:t>
      </w:r>
      <w:r w:rsidR="002D399D" w:rsidRPr="00E67289">
        <w:rPr>
          <w:i/>
          <w:iCs/>
        </w:rPr>
        <w:t>.</w:t>
      </w:r>
      <w:r w:rsidR="002D399D" w:rsidRPr="00E67289">
        <w:rPr>
          <w:i/>
          <w:iCs/>
        </w:rPr>
        <w:t xml:space="preserve"> See also</w:t>
      </w:r>
      <w:r w:rsidR="002D399D">
        <w:t xml:space="preserve"> </w:t>
      </w:r>
      <w:r w:rsidR="00393FC6" w:rsidRPr="009523F1">
        <w:t>U.S. Dept. of Health and Human Services. Summary of HIPAA Privacy Rule</w:t>
      </w:r>
      <w:r w:rsidR="00393FC6">
        <w:t>.</w:t>
      </w:r>
      <w:r w:rsidR="00393FC6" w:rsidRPr="009523F1">
        <w:t xml:space="preserve"> </w:t>
      </w:r>
      <w:r w:rsidR="00393FC6">
        <w:t>W</w:t>
      </w:r>
      <w:r w:rsidR="00393FC6" w:rsidRPr="009523F1">
        <w:t>ebsite</w:t>
      </w:r>
      <w:r w:rsidR="00393FC6">
        <w:t xml:space="preserve"> last reviewed July 26, 2013. Retrieved from </w:t>
      </w:r>
      <w:hyperlink r:id="rId18" w:history="1">
        <w:r w:rsidR="00393FC6" w:rsidRPr="009B7EF8">
          <w:rPr>
            <w:rStyle w:val="Hyperlink"/>
          </w:rPr>
          <w:t>www.hhs.gov/ocr/privacy/hipaa/understanding/summary/index.html</w:t>
        </w:r>
      </w:hyperlink>
      <w:r w:rsidR="00393FC6" w:rsidRPr="009523F1">
        <w:t>.</w:t>
      </w:r>
    </w:p>
  </w:footnote>
  <w:footnote w:id="31">
    <w:p w14:paraId="3A675915" w14:textId="00B31A6D" w:rsidR="009A0904" w:rsidRDefault="009A0904">
      <w:pPr>
        <w:pStyle w:val="FootnoteText"/>
      </w:pPr>
      <w:r>
        <w:rPr>
          <w:rStyle w:val="FootnoteReference"/>
        </w:rPr>
        <w:footnoteRef/>
      </w:r>
      <w:r>
        <w:t xml:space="preserve"> </w:t>
      </w:r>
      <w:r w:rsidRPr="009A0904">
        <w:t>34 C.F.R. §99.30.</w:t>
      </w:r>
    </w:p>
  </w:footnote>
  <w:footnote w:id="32">
    <w:p w14:paraId="5B7B0FE7" w14:textId="6FE3A975" w:rsidR="009A0904" w:rsidRDefault="009A0904">
      <w:pPr>
        <w:pStyle w:val="FootnoteText"/>
      </w:pPr>
      <w:r>
        <w:rPr>
          <w:rStyle w:val="FootnoteReference"/>
        </w:rPr>
        <w:footnoteRef/>
      </w:r>
      <w:r>
        <w:t xml:space="preserve"> </w:t>
      </w:r>
      <w:r w:rsidR="001D6210" w:rsidRPr="00EE70A1">
        <w:t xml:space="preserve">U.S. Dept. of Education. Family Educational Rights and Privacy Act (FERPA) and H1N1. October 2009. </w:t>
      </w:r>
      <w:r w:rsidR="001D6210">
        <w:t xml:space="preserve">Retrieved from </w:t>
      </w:r>
      <w:hyperlink r:id="rId19" w:history="1">
        <w:r w:rsidR="001D6210" w:rsidRPr="009B7EF8">
          <w:rPr>
            <w:rStyle w:val="Hyperlink"/>
          </w:rPr>
          <w:t>http://www2.ed.gov/policy/gen/guid/fpco/pdf/ferpa-h1n1.pdf</w:t>
        </w:r>
      </w:hyperlink>
      <w:r w:rsidR="001D6210" w:rsidRPr="00EE70A1">
        <w:t>.</w:t>
      </w:r>
    </w:p>
  </w:footnote>
  <w:footnote w:id="33">
    <w:p w14:paraId="436CE7F4" w14:textId="19B06A4E" w:rsidR="00305D1B" w:rsidRDefault="00305D1B">
      <w:pPr>
        <w:pStyle w:val="FootnoteText"/>
      </w:pPr>
      <w:r>
        <w:rPr>
          <w:rStyle w:val="FootnoteReference"/>
        </w:rPr>
        <w:footnoteRef/>
      </w:r>
      <w:r>
        <w:t xml:space="preserve"> </w:t>
      </w:r>
      <w:r w:rsidRPr="00305D1B">
        <w:t>34 C.F.R §99.31.</w:t>
      </w:r>
    </w:p>
  </w:footnote>
  <w:footnote w:id="34">
    <w:p w14:paraId="336C26C1" w14:textId="7DBE1AEB" w:rsidR="00305D1B" w:rsidRDefault="00305D1B">
      <w:pPr>
        <w:pStyle w:val="FootnoteText"/>
      </w:pPr>
      <w:r>
        <w:rPr>
          <w:rStyle w:val="FootnoteReference"/>
        </w:rPr>
        <w:footnoteRef/>
      </w:r>
      <w:r>
        <w:t xml:space="preserve"> </w:t>
      </w:r>
      <w:r w:rsidR="001D6210" w:rsidRPr="00EE70A1">
        <w:t xml:space="preserve">U.S. Dept. of Education. Family Educational Rights and Privacy Act (FERPA) and H1N1. October 2009. </w:t>
      </w:r>
      <w:r w:rsidR="001D6210">
        <w:t xml:space="preserve">Retrieved from </w:t>
      </w:r>
      <w:hyperlink r:id="rId20" w:history="1">
        <w:r w:rsidR="001D6210" w:rsidRPr="009B7EF8">
          <w:rPr>
            <w:rStyle w:val="Hyperlink"/>
          </w:rPr>
          <w:t>http://www2.ed.gov/policy/gen/guid/fpco/pdf/ferpa-h1n1.pdf</w:t>
        </w:r>
      </w:hyperlink>
      <w:r w:rsidR="001D6210" w:rsidRPr="00EE70A1">
        <w:t>.</w:t>
      </w:r>
    </w:p>
  </w:footnote>
  <w:footnote w:id="35">
    <w:p w14:paraId="227D6604" w14:textId="1ED4CC40" w:rsidR="005C48E0" w:rsidRDefault="005C48E0">
      <w:pPr>
        <w:pStyle w:val="FootnoteText"/>
      </w:pPr>
      <w:r>
        <w:rPr>
          <w:rStyle w:val="FootnoteReference"/>
        </w:rPr>
        <w:footnoteRef/>
      </w:r>
      <w:r>
        <w:t xml:space="preserve"> </w:t>
      </w:r>
      <w:r w:rsidR="001D6210" w:rsidRPr="00EE70A1">
        <w:t xml:space="preserve">U.S. Dept. of Education. Family Educational Rights and Privacy Act (FERPA) and H1N1. October 2009. </w:t>
      </w:r>
      <w:r w:rsidR="001D6210">
        <w:t xml:space="preserve">Retrieved from </w:t>
      </w:r>
      <w:hyperlink r:id="rId21" w:history="1">
        <w:r w:rsidR="001D6210" w:rsidRPr="009B7EF8">
          <w:rPr>
            <w:rStyle w:val="Hyperlink"/>
          </w:rPr>
          <w:t>http://www2.ed.gov/policy/gen/guid/fpco/pdf/ferpa-h1n1.pdf</w:t>
        </w:r>
      </w:hyperlink>
      <w:r w:rsidR="001D6210" w:rsidRPr="00EE70A1">
        <w:t>.</w:t>
      </w:r>
    </w:p>
  </w:footnote>
  <w:footnote w:id="36">
    <w:p w14:paraId="6FDFA6A9" w14:textId="2A182DCC" w:rsidR="00E0171B" w:rsidRDefault="00E0171B">
      <w:pPr>
        <w:pStyle w:val="FootnoteText"/>
      </w:pPr>
      <w:r>
        <w:rPr>
          <w:rStyle w:val="FootnoteReference"/>
        </w:rPr>
        <w:footnoteRef/>
      </w:r>
      <w:r>
        <w:t xml:space="preserve"> </w:t>
      </w:r>
      <w:r w:rsidR="00335D65" w:rsidRPr="00EE70A1">
        <w:t xml:space="preserve">U.S. Dept. of Education. Family Educational Rights and Privacy Act (FERPA) and H1N1. October 2009. </w:t>
      </w:r>
      <w:r w:rsidR="00335D65">
        <w:t xml:space="preserve">Retrieved from </w:t>
      </w:r>
      <w:hyperlink r:id="rId22" w:history="1">
        <w:r w:rsidR="00335D65" w:rsidRPr="009B7EF8">
          <w:rPr>
            <w:rStyle w:val="Hyperlink"/>
          </w:rPr>
          <w:t>http://www2.ed.gov/policy/gen/guid/fpco/pdf/ferpa-h1n1.pdf</w:t>
        </w:r>
      </w:hyperlink>
      <w:r w:rsidR="00335D65" w:rsidRPr="00EE70A1">
        <w:t>.</w:t>
      </w:r>
    </w:p>
  </w:footnote>
  <w:footnote w:id="37">
    <w:p w14:paraId="79EDE4A9" w14:textId="5FC38CDC" w:rsidR="00E0171B" w:rsidRDefault="00E0171B">
      <w:pPr>
        <w:pStyle w:val="FootnoteText"/>
      </w:pPr>
      <w:r>
        <w:rPr>
          <w:rStyle w:val="FootnoteReference"/>
        </w:rPr>
        <w:footnoteRef/>
      </w:r>
      <w:r>
        <w:t xml:space="preserve"> </w:t>
      </w:r>
      <w:r w:rsidR="00335D65" w:rsidRPr="00EE70A1">
        <w:t xml:space="preserve">U.S. Dept. of Education. Family Educational Rights and Privacy Act (FERPA) and H1N1. October 2009. </w:t>
      </w:r>
      <w:r w:rsidR="00335D65">
        <w:t xml:space="preserve">Retrieved from </w:t>
      </w:r>
      <w:hyperlink r:id="rId23" w:history="1">
        <w:r w:rsidR="00335D65" w:rsidRPr="009B7EF8">
          <w:rPr>
            <w:rStyle w:val="Hyperlink"/>
          </w:rPr>
          <w:t>http://www2.ed.gov/policy/gen/guid/fpco/pdf/ferpa-h1n1.pdf</w:t>
        </w:r>
      </w:hyperlink>
      <w:r w:rsidR="00335D65" w:rsidRPr="00EE70A1">
        <w:t>.</w:t>
      </w:r>
    </w:p>
  </w:footnote>
  <w:footnote w:id="38">
    <w:p w14:paraId="15C8F249" w14:textId="36A965BC" w:rsidR="00E0171B" w:rsidRDefault="00E0171B">
      <w:pPr>
        <w:pStyle w:val="FootnoteText"/>
      </w:pPr>
      <w:r>
        <w:rPr>
          <w:rStyle w:val="FootnoteReference"/>
        </w:rPr>
        <w:footnoteRef/>
      </w:r>
      <w:r>
        <w:t xml:space="preserve"> </w:t>
      </w:r>
      <w:r w:rsidRPr="00E0171B">
        <w:t xml:space="preserve">U.S. Dept. of Health and Human Services. </w:t>
      </w:r>
      <w:r w:rsidR="00771E7A">
        <w:t>HIPAA Privacy Rule: Research. We</w:t>
      </w:r>
      <w:r w:rsidRPr="00E0171B">
        <w:t>bsite</w:t>
      </w:r>
      <w:r w:rsidR="00771E7A">
        <w:t xml:space="preserve"> last reviewed June </w:t>
      </w:r>
      <w:r w:rsidR="00293144">
        <w:t>13, 2018</w:t>
      </w:r>
      <w:r w:rsidRPr="00E0171B">
        <w:t>.</w:t>
      </w:r>
      <w:r w:rsidR="00F753E7">
        <w:t xml:space="preserve"> Retrieved from </w:t>
      </w:r>
      <w:hyperlink r:id="rId24" w:history="1">
        <w:r w:rsidR="00F753E7">
          <w:rPr>
            <w:rStyle w:val="Hyperlink"/>
          </w:rPr>
          <w:t>https://www.hhs.gov/hipaa/for-professionals/special-topics/research/index.html</w:t>
        </w:r>
      </w:hyperlink>
      <w:r w:rsidR="00F753E7">
        <w:t>.</w:t>
      </w:r>
    </w:p>
  </w:footnote>
  <w:footnote w:id="39">
    <w:p w14:paraId="7A4DC6B0" w14:textId="2E2438D0" w:rsidR="00B34148" w:rsidRDefault="00B34148">
      <w:pPr>
        <w:pStyle w:val="FootnoteText"/>
      </w:pPr>
      <w:r>
        <w:rPr>
          <w:rStyle w:val="FootnoteReference"/>
        </w:rPr>
        <w:footnoteRef/>
      </w:r>
      <w:r>
        <w:t xml:space="preserve"> </w:t>
      </w:r>
      <w:r w:rsidR="00337AD0" w:rsidRPr="007D524A">
        <w:t xml:space="preserve">U.S. Dept. of Education and U.S. Dept. of Health and Human Services. Joint Guidance on the Application of the Family Educational Rights and Privacy Act (FERPA) and the Health Insurance Portability and Accountability Act of 1996 (HIPAA) to Student Health Records. </w:t>
      </w:r>
      <w:r w:rsidR="00337AD0">
        <w:t>December 2019</w:t>
      </w:r>
      <w:r w:rsidR="00337AD0" w:rsidRPr="007D524A">
        <w:t xml:space="preserve">. </w:t>
      </w:r>
      <w:r w:rsidR="00337AD0">
        <w:t xml:space="preserve">Retrieved from </w:t>
      </w:r>
      <w:hyperlink r:id="rId25" w:history="1">
        <w:r w:rsidR="00337AD0">
          <w:rPr>
            <w:rStyle w:val="Hyperlink"/>
          </w:rPr>
          <w:t>https://studentprivacy.ed.gov/resources/joint-guidance-application-ferpa-and-hipaa-student-health-records</w:t>
        </w:r>
      </w:hyperlink>
      <w:r w:rsidR="00337AD0" w:rsidRPr="007D524A">
        <w:t>.</w:t>
      </w:r>
    </w:p>
  </w:footnote>
  <w:footnote w:id="40">
    <w:p w14:paraId="48A2A507" w14:textId="6AF63FA8" w:rsidR="00B34148" w:rsidRDefault="00B34148">
      <w:pPr>
        <w:pStyle w:val="FootnoteText"/>
      </w:pPr>
      <w:r>
        <w:rPr>
          <w:rStyle w:val="FootnoteReference"/>
        </w:rPr>
        <w:footnoteRef/>
      </w:r>
      <w:r>
        <w:t xml:space="preserve"> </w:t>
      </w:r>
      <w:r w:rsidR="00D24395" w:rsidRPr="007D524A">
        <w:t xml:space="preserve">U.S. Dept. of Education and U.S. Dept. of Health and Human Services. Joint Guidance on the Application of the Family Educational Rights and Privacy Act (FERPA) and the Health Insurance Portability and Accountability Act of 1996 (HIPAA) to Student Health Records. </w:t>
      </w:r>
      <w:r w:rsidR="00D24395">
        <w:t>December 2019</w:t>
      </w:r>
      <w:r w:rsidR="00D24395" w:rsidRPr="007D524A">
        <w:t xml:space="preserve">. </w:t>
      </w:r>
      <w:r w:rsidR="00D24395">
        <w:t xml:space="preserve">Retrieved from </w:t>
      </w:r>
      <w:hyperlink r:id="rId26" w:history="1">
        <w:r w:rsidR="00D24395">
          <w:rPr>
            <w:rStyle w:val="Hyperlink"/>
          </w:rPr>
          <w:t>https://studentprivacy.ed.gov/resources/joint-guidance-application-ferpa-and-hipaa-student-health-records</w:t>
        </w:r>
      </w:hyperlink>
      <w:r w:rsidR="00D24395" w:rsidRPr="007D524A">
        <w:t>.</w:t>
      </w:r>
    </w:p>
  </w:footnote>
  <w:footnote w:id="41">
    <w:p w14:paraId="079D3C5C" w14:textId="0AD36D87" w:rsidR="00D04157" w:rsidRDefault="00D04157">
      <w:pPr>
        <w:pStyle w:val="FootnoteText"/>
      </w:pPr>
      <w:r>
        <w:rPr>
          <w:rStyle w:val="FootnoteReference"/>
        </w:rPr>
        <w:footnoteRef/>
      </w:r>
      <w:r>
        <w:t xml:space="preserve"> </w:t>
      </w:r>
      <w:r w:rsidR="00F014C4" w:rsidRPr="009523F1">
        <w:t>U.S. Dept. of Health and Human Services. Summary of HIPAA Privacy Rule</w:t>
      </w:r>
      <w:r w:rsidR="00F014C4">
        <w:t>.</w:t>
      </w:r>
      <w:r w:rsidR="00F014C4" w:rsidRPr="009523F1">
        <w:t xml:space="preserve"> </w:t>
      </w:r>
      <w:r w:rsidR="00F014C4">
        <w:t>W</w:t>
      </w:r>
      <w:r w:rsidR="00F014C4" w:rsidRPr="009523F1">
        <w:t>ebsite</w:t>
      </w:r>
      <w:r w:rsidR="00F014C4">
        <w:t xml:space="preserve"> last reviewed July 26, 2013. Retrieved from </w:t>
      </w:r>
      <w:hyperlink r:id="rId27" w:history="1">
        <w:r w:rsidR="00F014C4" w:rsidRPr="009B7EF8">
          <w:rPr>
            <w:rStyle w:val="Hyperlink"/>
          </w:rPr>
          <w:t>www.hhs.gov/ocr/privacy/hipaa/understanding/summary/index.html</w:t>
        </w:r>
      </w:hyperlink>
      <w:r w:rsidR="00F014C4" w:rsidRPr="009523F1">
        <w:t>.</w:t>
      </w:r>
    </w:p>
  </w:footnote>
  <w:footnote w:id="42">
    <w:p w14:paraId="4FD20F24" w14:textId="5A82F582" w:rsidR="00D04157" w:rsidRDefault="00D04157">
      <w:pPr>
        <w:pStyle w:val="FootnoteText"/>
      </w:pPr>
      <w:r>
        <w:rPr>
          <w:rStyle w:val="FootnoteReference"/>
        </w:rPr>
        <w:footnoteRef/>
      </w:r>
      <w:r>
        <w:t xml:space="preserve"> </w:t>
      </w:r>
      <w:r w:rsidRPr="00D04157">
        <w:t>U.S. Dept. of Health and Human Services. Office for Civil Rights. Frequently Asked Questions</w:t>
      </w:r>
      <w:r w:rsidR="005326B6">
        <w:t xml:space="preserve">, Number </w:t>
      </w:r>
      <w:r w:rsidR="00F72BA2">
        <w:t xml:space="preserve">397. Website last reviewed </w:t>
      </w:r>
      <w:r w:rsidR="006C4D1A">
        <w:t xml:space="preserve">July 26, 2013. Retrieved from </w:t>
      </w:r>
      <w:hyperlink r:id="rId28" w:history="1">
        <w:r w:rsidR="00F014C4" w:rsidRPr="009B7EF8">
          <w:rPr>
            <w:rStyle w:val="Hyperlink"/>
          </w:rPr>
          <w:t>http://www.hhs.gov/ocr/privacy/hipaa/faq/disclosures_for_law_enforcement_pur</w:t>
        </w:r>
        <w:r w:rsidR="00F014C4" w:rsidRPr="009B7EF8">
          <w:rPr>
            <w:rStyle w:val="Hyperlink"/>
          </w:rPr>
          <w:t>p</w:t>
        </w:r>
        <w:r w:rsidR="00F014C4" w:rsidRPr="009B7EF8">
          <w:rPr>
            <w:rStyle w:val="Hyperlink"/>
          </w:rPr>
          <w:t>oses/397.html</w:t>
        </w:r>
      </w:hyperlink>
      <w:r w:rsidR="00F014C4">
        <w:t xml:space="preserve"> </w:t>
      </w:r>
    </w:p>
  </w:footnote>
  <w:footnote w:id="43">
    <w:p w14:paraId="5246787B" w14:textId="17BAFF29" w:rsidR="00BF2EB6" w:rsidRDefault="00BF2EB6">
      <w:pPr>
        <w:pStyle w:val="FootnoteText"/>
      </w:pPr>
      <w:r>
        <w:rPr>
          <w:rStyle w:val="FootnoteReference"/>
        </w:rPr>
        <w:footnoteRef/>
      </w:r>
      <w:r>
        <w:t xml:space="preserve"> </w:t>
      </w:r>
      <w:r w:rsidR="005F2AD4" w:rsidRPr="00EE70A1">
        <w:t xml:space="preserve">U.S. Dept. of Education. Family Educational Rights and Privacy Act (FERPA) and H1N1. October 2009. </w:t>
      </w:r>
      <w:r w:rsidR="005F2AD4">
        <w:t xml:space="preserve">Retrieved from </w:t>
      </w:r>
      <w:hyperlink r:id="rId29" w:history="1">
        <w:r w:rsidR="005F2AD4" w:rsidRPr="009B7EF8">
          <w:rPr>
            <w:rStyle w:val="Hyperlink"/>
          </w:rPr>
          <w:t>http://www2.ed.gov/policy/gen/guid/fpco/pdf/ferpa-h1n1.pdf</w:t>
        </w:r>
      </w:hyperlink>
      <w:r w:rsidR="005F2AD4" w:rsidRPr="00EE70A1">
        <w:t>.</w:t>
      </w:r>
    </w:p>
  </w:footnote>
  <w:footnote w:id="44">
    <w:p w14:paraId="4BB83382" w14:textId="7CCFA507" w:rsidR="00BF2EB6" w:rsidRDefault="00BF2EB6">
      <w:pPr>
        <w:pStyle w:val="FootnoteText"/>
      </w:pPr>
      <w:r>
        <w:rPr>
          <w:rStyle w:val="FootnoteReference"/>
        </w:rPr>
        <w:footnoteRef/>
      </w:r>
      <w:r>
        <w:t xml:space="preserve"> </w:t>
      </w:r>
      <w:r w:rsidRPr="00BF2EB6">
        <w:t>34 C.F.R. §99.32.</w:t>
      </w:r>
    </w:p>
  </w:footnote>
  <w:footnote w:id="45">
    <w:p w14:paraId="334762F4" w14:textId="2EB3F634" w:rsidR="000A0EE2" w:rsidRDefault="000A0EE2">
      <w:pPr>
        <w:pStyle w:val="FootnoteText"/>
      </w:pPr>
      <w:r>
        <w:rPr>
          <w:rStyle w:val="FootnoteReference"/>
        </w:rPr>
        <w:footnoteRef/>
      </w:r>
      <w:r>
        <w:t xml:space="preserve"> </w:t>
      </w:r>
      <w:r w:rsidR="005F2AD4" w:rsidRPr="00EE70A1">
        <w:t xml:space="preserve">U.S. Dept. of Education. Family Educational Rights and Privacy Act (FERPA) and H1N1. October 2009. </w:t>
      </w:r>
      <w:r w:rsidR="005F2AD4">
        <w:t xml:space="preserve">Retrieved from </w:t>
      </w:r>
      <w:hyperlink r:id="rId30" w:history="1">
        <w:r w:rsidR="005F2AD4" w:rsidRPr="009B7EF8">
          <w:rPr>
            <w:rStyle w:val="Hyperlink"/>
          </w:rPr>
          <w:t>http://www2.ed.gov/policy/gen/guid/fpco/pdf/ferpa-h1n1.pdf</w:t>
        </w:r>
      </w:hyperlink>
      <w:r w:rsidR="005F2AD4" w:rsidRPr="00EE70A1">
        <w:t>.</w:t>
      </w:r>
    </w:p>
  </w:footnote>
  <w:footnote w:id="46">
    <w:p w14:paraId="755B0C58" w14:textId="3091EF5D" w:rsidR="00CB5219" w:rsidRDefault="00CB5219">
      <w:pPr>
        <w:pStyle w:val="FootnoteText"/>
      </w:pPr>
      <w:r>
        <w:rPr>
          <w:rStyle w:val="FootnoteReference"/>
        </w:rPr>
        <w:footnoteRef/>
      </w:r>
      <w:r>
        <w:t xml:space="preserve"> </w:t>
      </w:r>
      <w:r w:rsidR="00032652" w:rsidRPr="00032652">
        <w:t xml:space="preserve">U.S. Dept. of Education. Family Educational Rights and Privacy Act (FERPA) and the Disclosure of Student Information Related to Emergencies and Disasters. June 2010. </w:t>
      </w:r>
      <w:r w:rsidR="009D5E94">
        <w:t>Retrieved from</w:t>
      </w:r>
      <w:r w:rsidR="00032652" w:rsidRPr="00032652">
        <w:t xml:space="preserve"> </w:t>
      </w:r>
      <w:hyperlink r:id="rId31" w:history="1">
        <w:r w:rsidR="00E91F37" w:rsidRPr="009B7EF8">
          <w:rPr>
            <w:rStyle w:val="Hyperlink"/>
          </w:rPr>
          <w:t>http://www2.ed.gov/policy/gen/guid/fpco/pdf/ferpa-disaster-</w:t>
        </w:r>
        <w:r w:rsidR="00E91F37" w:rsidRPr="009B7EF8">
          <w:rPr>
            <w:rStyle w:val="Hyperlink"/>
          </w:rPr>
          <w:t>g</w:t>
        </w:r>
        <w:r w:rsidR="00E91F37" w:rsidRPr="009B7EF8">
          <w:rPr>
            <w:rStyle w:val="Hyperlink"/>
          </w:rPr>
          <w:t>uidance.pdf</w:t>
        </w:r>
      </w:hyperlink>
      <w:r w:rsidR="00032652" w:rsidRPr="00032652">
        <w:t>.</w:t>
      </w:r>
      <w:r w:rsidR="00E91F37">
        <w:t xml:space="preserve"> </w:t>
      </w:r>
      <w:r w:rsidR="00032652" w:rsidRPr="00032652">
        <w:rPr>
          <w:i/>
          <w:iCs/>
        </w:rPr>
        <w:t>See also</w:t>
      </w:r>
      <w:r w:rsidR="00032652">
        <w:t xml:space="preserve"> </w:t>
      </w:r>
      <w:r w:rsidR="00EE3A2A" w:rsidRPr="00EE70A1">
        <w:t xml:space="preserve">U.S. Dept. of Education. Family Educational Rights and Privacy Act (FERPA) and H1N1. October 2009. </w:t>
      </w:r>
      <w:r w:rsidR="00EE3A2A">
        <w:t xml:space="preserve">Retrieved from </w:t>
      </w:r>
      <w:hyperlink r:id="rId32" w:history="1">
        <w:r w:rsidR="00EE3A2A" w:rsidRPr="009B7EF8">
          <w:rPr>
            <w:rStyle w:val="Hyperlink"/>
          </w:rPr>
          <w:t>http://www2.ed.gov/policy/gen/guid/fpco/pdf/ferpa-h1n1.pdf</w:t>
        </w:r>
      </w:hyperlink>
      <w:r w:rsidR="00EE3A2A" w:rsidRPr="00EE70A1">
        <w:t>.</w:t>
      </w:r>
    </w:p>
  </w:footnote>
  <w:footnote w:id="47">
    <w:p w14:paraId="25906117" w14:textId="29EBE10B" w:rsidR="00572BE3" w:rsidRDefault="00572BE3">
      <w:pPr>
        <w:pStyle w:val="FootnoteText"/>
      </w:pPr>
      <w:r>
        <w:rPr>
          <w:rStyle w:val="FootnoteReference"/>
        </w:rPr>
        <w:footnoteRef/>
      </w:r>
      <w:r>
        <w:t xml:space="preserve"> </w:t>
      </w:r>
      <w:r w:rsidR="00BD63AA" w:rsidRPr="00032652">
        <w:t xml:space="preserve">U.S. Dept. of Education. Family Educational Rights and Privacy Act (FERPA) and the Disclosure of Student Information Related to Emergencies and Disasters. June 2010. </w:t>
      </w:r>
      <w:r w:rsidR="00BD63AA">
        <w:t>Retrieved from</w:t>
      </w:r>
      <w:r w:rsidR="00BD63AA" w:rsidRPr="00032652">
        <w:t xml:space="preserve"> </w:t>
      </w:r>
      <w:hyperlink r:id="rId33" w:history="1">
        <w:r w:rsidR="00BD63AA" w:rsidRPr="009B7EF8">
          <w:rPr>
            <w:rStyle w:val="Hyperlink"/>
          </w:rPr>
          <w:t>http://www2.ed.gov/policy/gen/guid/fpco/pdf/ferpa-disaster-guidance.pdf</w:t>
        </w:r>
      </w:hyperlink>
      <w:r w:rsidR="00BD63AA" w:rsidRPr="00032652">
        <w:t>.</w:t>
      </w:r>
    </w:p>
  </w:footnote>
  <w:footnote w:id="48">
    <w:p w14:paraId="1227FA58" w14:textId="415AA245" w:rsidR="00A11194" w:rsidRDefault="00A11194">
      <w:pPr>
        <w:pStyle w:val="FootnoteText"/>
      </w:pPr>
      <w:r>
        <w:rPr>
          <w:rStyle w:val="FootnoteReference"/>
        </w:rPr>
        <w:footnoteRef/>
      </w:r>
      <w:r>
        <w:t xml:space="preserve"> </w:t>
      </w:r>
      <w:r w:rsidR="00BD63AA" w:rsidRPr="00EE70A1">
        <w:t xml:space="preserve">U.S. Dept. of Education. Family Educational Rights and Privacy Act (FERPA) and H1N1. October 2009. </w:t>
      </w:r>
      <w:r w:rsidR="00BD63AA">
        <w:t xml:space="preserve">Retrieved from </w:t>
      </w:r>
      <w:hyperlink r:id="rId34" w:history="1">
        <w:r w:rsidR="00BD63AA" w:rsidRPr="009B7EF8">
          <w:rPr>
            <w:rStyle w:val="Hyperlink"/>
          </w:rPr>
          <w:t>http://www2.ed.gov/policy/gen/guid/fpco/pdf/ferpa-h1n1.pdf</w:t>
        </w:r>
      </w:hyperlink>
      <w:r w:rsidR="00BD63AA" w:rsidRPr="00EE70A1">
        <w:t>.</w:t>
      </w:r>
    </w:p>
  </w:footnote>
  <w:footnote w:id="49">
    <w:p w14:paraId="0533A596" w14:textId="1EDE1246" w:rsidR="00963211" w:rsidRDefault="00963211">
      <w:pPr>
        <w:pStyle w:val="FootnoteText"/>
      </w:pPr>
      <w:r>
        <w:rPr>
          <w:rStyle w:val="FootnoteReference"/>
        </w:rPr>
        <w:footnoteRef/>
      </w:r>
      <w:r>
        <w:t xml:space="preserve"> </w:t>
      </w:r>
      <w:r w:rsidR="00A93AB9" w:rsidRPr="00EE70A1">
        <w:t xml:space="preserve">U.S. Dept. of Education. Family Educational Rights and Privacy Act (FERPA) and H1N1. October 2009. </w:t>
      </w:r>
      <w:r w:rsidR="00A93AB9">
        <w:t xml:space="preserve">Retrieved from </w:t>
      </w:r>
      <w:hyperlink r:id="rId35" w:history="1">
        <w:r w:rsidR="00A93AB9" w:rsidRPr="009B7EF8">
          <w:rPr>
            <w:rStyle w:val="Hyperlink"/>
          </w:rPr>
          <w:t>http://www2.ed.gov/policy/gen/guid/fpco/pdf/ferpa-h1n1.pdf</w:t>
        </w:r>
      </w:hyperlink>
      <w:r w:rsidR="00A93AB9" w:rsidRPr="00EE70A1">
        <w:t>.</w:t>
      </w:r>
    </w:p>
  </w:footnote>
  <w:footnote w:id="50">
    <w:p w14:paraId="1D0D6344" w14:textId="3252C799" w:rsidR="00390E57" w:rsidRDefault="00390E57">
      <w:pPr>
        <w:pStyle w:val="FootnoteText"/>
      </w:pPr>
      <w:r>
        <w:rPr>
          <w:rStyle w:val="FootnoteReference"/>
        </w:rPr>
        <w:footnoteRef/>
      </w:r>
      <w:r>
        <w:t xml:space="preserve"> </w:t>
      </w:r>
      <w:r w:rsidR="00495821" w:rsidRPr="00032652">
        <w:t xml:space="preserve">U.S. Dept. of Education. Family Educational Rights and Privacy Act (FERPA) and the Disclosure of Student Information Related to Emergencies and Disasters. June 2010. </w:t>
      </w:r>
      <w:r w:rsidR="00495821">
        <w:t>Retrieved from</w:t>
      </w:r>
      <w:r w:rsidR="00495821" w:rsidRPr="00032652">
        <w:t xml:space="preserve"> </w:t>
      </w:r>
      <w:hyperlink r:id="rId36" w:history="1">
        <w:r w:rsidR="00495821" w:rsidRPr="009B7EF8">
          <w:rPr>
            <w:rStyle w:val="Hyperlink"/>
          </w:rPr>
          <w:t>http://www2.ed.gov/policy/gen/guid/fpco/pdf/ferpa-disaster-guidance.pdf</w:t>
        </w:r>
      </w:hyperlink>
      <w:r w:rsidR="00495821" w:rsidRPr="00032652">
        <w:t>.</w:t>
      </w:r>
    </w:p>
  </w:footnote>
  <w:footnote w:id="51">
    <w:p w14:paraId="03BF30FA" w14:textId="68E138A7" w:rsidR="00390E57" w:rsidRDefault="00390E57">
      <w:pPr>
        <w:pStyle w:val="FootnoteText"/>
      </w:pPr>
      <w:r>
        <w:rPr>
          <w:rStyle w:val="FootnoteReference"/>
        </w:rPr>
        <w:footnoteRef/>
      </w:r>
      <w:r>
        <w:t xml:space="preserve"> </w:t>
      </w:r>
      <w:r w:rsidR="00495821" w:rsidRPr="00032652">
        <w:t xml:space="preserve">U.S. Dept. of Education. Family Educational Rights and Privacy Act (FERPA) and the Disclosure of Student Information Related to Emergencies and Disasters. June 2010. </w:t>
      </w:r>
      <w:r w:rsidR="00495821">
        <w:t>Retrieved from</w:t>
      </w:r>
      <w:r w:rsidR="00495821" w:rsidRPr="00032652">
        <w:t xml:space="preserve"> </w:t>
      </w:r>
      <w:hyperlink r:id="rId37" w:history="1">
        <w:r w:rsidR="00495821" w:rsidRPr="009B7EF8">
          <w:rPr>
            <w:rStyle w:val="Hyperlink"/>
          </w:rPr>
          <w:t>http://www2.ed.gov/policy/gen/guid/fpco/pdf/ferpa-disaster-guidance.pdf</w:t>
        </w:r>
      </w:hyperlink>
      <w:r w:rsidR="00495821" w:rsidRPr="00032652">
        <w:t>.</w:t>
      </w:r>
      <w:r w:rsidR="00495821">
        <w:t xml:space="preserve"> </w:t>
      </w:r>
      <w:r w:rsidRPr="00390E57">
        <w:rPr>
          <w:i/>
          <w:iCs/>
        </w:rPr>
        <w:t>See also</w:t>
      </w:r>
      <w:r>
        <w:t xml:space="preserve"> </w:t>
      </w:r>
      <w:r w:rsidR="00495821" w:rsidRPr="00EE70A1">
        <w:t xml:space="preserve">U.S. Dept. of Education. Family Educational Rights and Privacy Act (FERPA) and H1N1. October 2009. </w:t>
      </w:r>
      <w:r w:rsidR="00495821">
        <w:t xml:space="preserve">Retrieved from </w:t>
      </w:r>
      <w:hyperlink r:id="rId38" w:history="1">
        <w:r w:rsidR="00495821" w:rsidRPr="009B7EF8">
          <w:rPr>
            <w:rStyle w:val="Hyperlink"/>
          </w:rPr>
          <w:t>http://www2.ed.gov/policy/gen/guid/fpco/pdf/ferpa-h1n1.pdf</w:t>
        </w:r>
      </w:hyperlink>
      <w:r w:rsidR="00495821" w:rsidRPr="00EE70A1">
        <w:t>.</w:t>
      </w:r>
    </w:p>
  </w:footnote>
  <w:footnote w:id="52">
    <w:p w14:paraId="6870C01E" w14:textId="733FBB93" w:rsidR="00237BED" w:rsidRDefault="00237BED">
      <w:pPr>
        <w:pStyle w:val="FootnoteText"/>
      </w:pPr>
      <w:r>
        <w:rPr>
          <w:rStyle w:val="FootnoteReference"/>
        </w:rPr>
        <w:footnoteRef/>
      </w:r>
      <w:r>
        <w:t xml:space="preserve"> </w:t>
      </w:r>
      <w:r w:rsidR="009C75A8" w:rsidRPr="00032652">
        <w:t xml:space="preserve">U.S. Dept. of Education. Family Educational Rights and Privacy Act (FERPA) and the Disclosure of Student Information Related to Emergencies and Disasters. June 2010. </w:t>
      </w:r>
      <w:r w:rsidR="009C75A8">
        <w:t>Retrieved from</w:t>
      </w:r>
      <w:r w:rsidR="009C75A8" w:rsidRPr="00032652">
        <w:t xml:space="preserve"> </w:t>
      </w:r>
      <w:hyperlink r:id="rId39" w:history="1">
        <w:r w:rsidR="009C75A8" w:rsidRPr="009B7EF8">
          <w:rPr>
            <w:rStyle w:val="Hyperlink"/>
          </w:rPr>
          <w:t>http://www2.ed.gov/policy/gen/guid/fpco/pdf/ferpa-disaster-guidance.pdf</w:t>
        </w:r>
      </w:hyperlink>
      <w:r w:rsidR="009C75A8" w:rsidRPr="00032652">
        <w:t>.</w:t>
      </w:r>
    </w:p>
  </w:footnote>
  <w:footnote w:id="53">
    <w:p w14:paraId="5B45AACD" w14:textId="27DCDA23" w:rsidR="00B20F5C" w:rsidRDefault="00B20F5C">
      <w:pPr>
        <w:pStyle w:val="FootnoteText"/>
      </w:pPr>
      <w:r>
        <w:rPr>
          <w:rStyle w:val="FootnoteReference"/>
        </w:rPr>
        <w:footnoteRef/>
      </w:r>
      <w:r>
        <w:t xml:space="preserve"> </w:t>
      </w:r>
      <w:r w:rsidR="00701012" w:rsidRPr="00032652">
        <w:t xml:space="preserve">U.S. Dept. of Education. Family Educational Rights and Privacy Act (FERPA) and the Disclosure of Student Information Related to Emergencies and Disasters. June 2010. </w:t>
      </w:r>
      <w:r w:rsidR="00701012">
        <w:t>Retrieved from</w:t>
      </w:r>
      <w:r w:rsidR="00701012" w:rsidRPr="00032652">
        <w:t xml:space="preserve"> </w:t>
      </w:r>
      <w:hyperlink r:id="rId40" w:history="1">
        <w:r w:rsidR="00701012" w:rsidRPr="009B7EF8">
          <w:rPr>
            <w:rStyle w:val="Hyperlink"/>
          </w:rPr>
          <w:t>http://www2.ed.gov/policy/gen/guid/fpco/pdf/ferpa-disaster-guidance.pdf</w:t>
        </w:r>
      </w:hyperlink>
      <w:r w:rsidR="00701012" w:rsidRPr="00032652">
        <w:t>.</w:t>
      </w:r>
      <w:r w:rsidR="00701012">
        <w:t xml:space="preserve"> </w:t>
      </w:r>
      <w:r w:rsidRPr="00AE21CB">
        <w:rPr>
          <w:i/>
          <w:iCs/>
        </w:rPr>
        <w:t>See also</w:t>
      </w:r>
      <w:r w:rsidRPr="00B20F5C">
        <w:t xml:space="preserve"> </w:t>
      </w:r>
      <w:r w:rsidR="00AE21CB" w:rsidRPr="00EE70A1">
        <w:t xml:space="preserve">U.S. Dept. of Education. Family Educational Rights and Privacy Act (FERPA) and H1N1. October 2009. </w:t>
      </w:r>
      <w:r w:rsidR="00AE21CB">
        <w:t xml:space="preserve">Retrieved from </w:t>
      </w:r>
      <w:hyperlink r:id="rId41" w:history="1">
        <w:r w:rsidR="00AE21CB" w:rsidRPr="009B7EF8">
          <w:rPr>
            <w:rStyle w:val="Hyperlink"/>
          </w:rPr>
          <w:t>http://www2.ed.gov/policy/gen/guid/fpco/pdf/ferpa-h1n1.pdf</w:t>
        </w:r>
      </w:hyperlink>
      <w:r w:rsidR="00AE21CB" w:rsidRPr="00EE70A1">
        <w:t>.</w:t>
      </w:r>
    </w:p>
  </w:footnote>
  <w:footnote w:id="54">
    <w:p w14:paraId="2B54BE5A" w14:textId="5EA942AF" w:rsidR="009C18EB" w:rsidRDefault="009C18EB">
      <w:pPr>
        <w:pStyle w:val="FootnoteText"/>
      </w:pPr>
      <w:r>
        <w:rPr>
          <w:rStyle w:val="FootnoteReference"/>
        </w:rPr>
        <w:footnoteRef/>
      </w:r>
      <w:r>
        <w:t xml:space="preserve"> </w:t>
      </w:r>
      <w:r w:rsidRPr="00F23BDC">
        <w:rPr>
          <w:rFonts w:eastAsia="Times New Roman" w:cstheme="minorHAnsi"/>
          <w:color w:val="000000" w:themeColor="text1"/>
        </w:rPr>
        <w:t>34 C.F.R §99.31.</w:t>
      </w:r>
    </w:p>
  </w:footnote>
  <w:footnote w:id="55">
    <w:p w14:paraId="63499834" w14:textId="197B9BF1" w:rsidR="009C18EB" w:rsidRDefault="009C18EB">
      <w:pPr>
        <w:pStyle w:val="FootnoteText"/>
      </w:pPr>
      <w:r>
        <w:rPr>
          <w:rStyle w:val="FootnoteReference"/>
        </w:rPr>
        <w:footnoteRef/>
      </w:r>
      <w:r>
        <w:t xml:space="preserve"> </w:t>
      </w:r>
      <w:r w:rsidR="00C044FA" w:rsidRPr="009523F1">
        <w:t>U.S. Dept. of Health and Human Services. Summary of HIPAA Privacy Rule</w:t>
      </w:r>
      <w:r w:rsidR="00C044FA">
        <w:t>.</w:t>
      </w:r>
      <w:r w:rsidR="00C044FA" w:rsidRPr="009523F1">
        <w:t xml:space="preserve"> </w:t>
      </w:r>
      <w:r w:rsidR="00C044FA">
        <w:t>W</w:t>
      </w:r>
      <w:r w:rsidR="00C044FA" w:rsidRPr="009523F1">
        <w:t>ebsite</w:t>
      </w:r>
      <w:r w:rsidR="00C044FA">
        <w:t xml:space="preserve"> last reviewed July 26, 2013. Retrieved from </w:t>
      </w:r>
      <w:hyperlink r:id="rId42" w:history="1">
        <w:r w:rsidR="00C044FA" w:rsidRPr="009B7EF8">
          <w:rPr>
            <w:rStyle w:val="Hyperlink"/>
          </w:rPr>
          <w:t>www.hhs.gov/ocr/privacy/hipaa/understanding/summary/index.html</w:t>
        </w:r>
      </w:hyperlink>
      <w:r w:rsidR="00C044FA" w:rsidRPr="009523F1">
        <w:t>.</w:t>
      </w:r>
    </w:p>
  </w:footnote>
  <w:footnote w:id="56">
    <w:p w14:paraId="24E566F6" w14:textId="140EEBFD" w:rsidR="00243529" w:rsidRDefault="00243529">
      <w:pPr>
        <w:pStyle w:val="FootnoteText"/>
      </w:pPr>
      <w:r>
        <w:rPr>
          <w:rStyle w:val="FootnoteReference"/>
        </w:rPr>
        <w:footnoteRef/>
      </w:r>
      <w:r>
        <w:t xml:space="preserve"> </w:t>
      </w:r>
      <w:r w:rsidR="004563A7" w:rsidRPr="00032652">
        <w:t xml:space="preserve">U.S. Dept. of Education. Family Educational Rights and Privacy Act (FERPA) and the Disclosure of Student Information Related to Emergencies and Disasters. June 2010. </w:t>
      </w:r>
      <w:r w:rsidR="004563A7">
        <w:t>Retrieved from</w:t>
      </w:r>
      <w:r w:rsidR="004563A7" w:rsidRPr="00032652">
        <w:t xml:space="preserve"> </w:t>
      </w:r>
      <w:hyperlink r:id="rId43" w:history="1">
        <w:r w:rsidR="004563A7" w:rsidRPr="009B7EF8">
          <w:rPr>
            <w:rStyle w:val="Hyperlink"/>
          </w:rPr>
          <w:t>http://www2.ed.gov/policy/gen/guid/fpco/pdf/ferpa-disaster-guidance.pdf</w:t>
        </w:r>
      </w:hyperlink>
      <w:r w:rsidR="004563A7" w:rsidRPr="0003265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A1A22" w14:textId="7E3142BB" w:rsidR="006F26FB" w:rsidRPr="006F26FB" w:rsidRDefault="006F26FB" w:rsidP="006F26FB">
    <w:pPr>
      <w:pStyle w:val="Header"/>
      <w:jc w:val="center"/>
      <w:rPr>
        <w:b/>
        <w:bCs/>
      </w:rPr>
    </w:pPr>
    <w:r w:rsidRPr="00BF0A14">
      <w:rPr>
        <w:b/>
        <w:bCs/>
        <w:highlight w:val="yellow"/>
      </w:rPr>
      <w:t>DRAFT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0731E"/>
    <w:multiLevelType w:val="hybridMultilevel"/>
    <w:tmpl w:val="2C7AB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D24BD"/>
    <w:multiLevelType w:val="hybridMultilevel"/>
    <w:tmpl w:val="5A0AA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71C8C"/>
    <w:multiLevelType w:val="hybridMultilevel"/>
    <w:tmpl w:val="D33C4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8F5889"/>
    <w:multiLevelType w:val="hybridMultilevel"/>
    <w:tmpl w:val="AC002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7C41F14"/>
    <w:multiLevelType w:val="multilevel"/>
    <w:tmpl w:val="20E4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345164"/>
    <w:multiLevelType w:val="multilevel"/>
    <w:tmpl w:val="20E4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6A264B"/>
    <w:multiLevelType w:val="multilevel"/>
    <w:tmpl w:val="20E4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7B3EB9"/>
    <w:multiLevelType w:val="multilevel"/>
    <w:tmpl w:val="20E4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5F3445"/>
    <w:multiLevelType w:val="multilevel"/>
    <w:tmpl w:val="20E4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DC659B"/>
    <w:multiLevelType w:val="multilevel"/>
    <w:tmpl w:val="20E4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C25BF8"/>
    <w:multiLevelType w:val="hybridMultilevel"/>
    <w:tmpl w:val="11B82B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A927BB9"/>
    <w:multiLevelType w:val="multilevel"/>
    <w:tmpl w:val="20E40F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8"/>
  </w:num>
  <w:num w:numId="2">
    <w:abstractNumId w:val="9"/>
  </w:num>
  <w:num w:numId="3">
    <w:abstractNumId w:val="5"/>
  </w:num>
  <w:num w:numId="4">
    <w:abstractNumId w:val="4"/>
  </w:num>
  <w:num w:numId="5">
    <w:abstractNumId w:val="11"/>
  </w:num>
  <w:num w:numId="6">
    <w:abstractNumId w:val="7"/>
  </w:num>
  <w:num w:numId="7">
    <w:abstractNumId w:val="1"/>
  </w:num>
  <w:num w:numId="8">
    <w:abstractNumId w:val="3"/>
  </w:num>
  <w:num w:numId="9">
    <w:abstractNumId w:val="0"/>
  </w:num>
  <w:num w:numId="10">
    <w:abstractNumId w:val="2"/>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defaultTabStop w:val="720"/>
  <w:characterSpacingControl w:val="doNotCompress"/>
  <w:hdrShapeDefaults>
    <o:shapedefaults v:ext="edit" spidmax="2049">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BDC"/>
    <w:rsid w:val="000018B5"/>
    <w:rsid w:val="000070BD"/>
    <w:rsid w:val="00014166"/>
    <w:rsid w:val="000168F0"/>
    <w:rsid w:val="00025F7A"/>
    <w:rsid w:val="000301F6"/>
    <w:rsid w:val="00031854"/>
    <w:rsid w:val="00031C7B"/>
    <w:rsid w:val="00032652"/>
    <w:rsid w:val="000516D3"/>
    <w:rsid w:val="00051E7B"/>
    <w:rsid w:val="000533CC"/>
    <w:rsid w:val="00087EFF"/>
    <w:rsid w:val="00092ABC"/>
    <w:rsid w:val="00097231"/>
    <w:rsid w:val="000A0EE2"/>
    <w:rsid w:val="000A238C"/>
    <w:rsid w:val="000E66DC"/>
    <w:rsid w:val="001004FA"/>
    <w:rsid w:val="00104278"/>
    <w:rsid w:val="00123F79"/>
    <w:rsid w:val="001333F0"/>
    <w:rsid w:val="00140002"/>
    <w:rsid w:val="00151278"/>
    <w:rsid w:val="001523D3"/>
    <w:rsid w:val="00176399"/>
    <w:rsid w:val="001822AF"/>
    <w:rsid w:val="00192A8A"/>
    <w:rsid w:val="001A3F6C"/>
    <w:rsid w:val="001B437D"/>
    <w:rsid w:val="001D2777"/>
    <w:rsid w:val="001D40F5"/>
    <w:rsid w:val="001D58F6"/>
    <w:rsid w:val="001D6210"/>
    <w:rsid w:val="001D73AB"/>
    <w:rsid w:val="001D7EFD"/>
    <w:rsid w:val="001E6C33"/>
    <w:rsid w:val="00202F80"/>
    <w:rsid w:val="00212370"/>
    <w:rsid w:val="00234D4A"/>
    <w:rsid w:val="00236ED1"/>
    <w:rsid w:val="00237BED"/>
    <w:rsid w:val="00243529"/>
    <w:rsid w:val="00272F81"/>
    <w:rsid w:val="002758A3"/>
    <w:rsid w:val="00282ABA"/>
    <w:rsid w:val="00293144"/>
    <w:rsid w:val="002C6B73"/>
    <w:rsid w:val="002D399D"/>
    <w:rsid w:val="002D54BA"/>
    <w:rsid w:val="002E055A"/>
    <w:rsid w:val="002F3C30"/>
    <w:rsid w:val="002F5E52"/>
    <w:rsid w:val="0030119F"/>
    <w:rsid w:val="00305D1B"/>
    <w:rsid w:val="00311AA5"/>
    <w:rsid w:val="00335D65"/>
    <w:rsid w:val="00337AD0"/>
    <w:rsid w:val="003540E7"/>
    <w:rsid w:val="00363484"/>
    <w:rsid w:val="0037010D"/>
    <w:rsid w:val="00390E57"/>
    <w:rsid w:val="003937CD"/>
    <w:rsid w:val="00393FC6"/>
    <w:rsid w:val="003B3452"/>
    <w:rsid w:val="003D530B"/>
    <w:rsid w:val="003E653E"/>
    <w:rsid w:val="003E6A75"/>
    <w:rsid w:val="003F222B"/>
    <w:rsid w:val="004074F8"/>
    <w:rsid w:val="00407FD5"/>
    <w:rsid w:val="004131B0"/>
    <w:rsid w:val="00416956"/>
    <w:rsid w:val="00420FB6"/>
    <w:rsid w:val="00427C31"/>
    <w:rsid w:val="00432080"/>
    <w:rsid w:val="00433CA5"/>
    <w:rsid w:val="004443A8"/>
    <w:rsid w:val="004563A7"/>
    <w:rsid w:val="00456561"/>
    <w:rsid w:val="004677C0"/>
    <w:rsid w:val="00476446"/>
    <w:rsid w:val="004813A2"/>
    <w:rsid w:val="00482164"/>
    <w:rsid w:val="00490C20"/>
    <w:rsid w:val="00495821"/>
    <w:rsid w:val="00495FF7"/>
    <w:rsid w:val="004A457C"/>
    <w:rsid w:val="004C18F1"/>
    <w:rsid w:val="004C50B7"/>
    <w:rsid w:val="004C5A12"/>
    <w:rsid w:val="004C5F06"/>
    <w:rsid w:val="004D3245"/>
    <w:rsid w:val="004D7014"/>
    <w:rsid w:val="004E1BC6"/>
    <w:rsid w:val="004F6570"/>
    <w:rsid w:val="00513C17"/>
    <w:rsid w:val="00525B41"/>
    <w:rsid w:val="005326B6"/>
    <w:rsid w:val="00535BE9"/>
    <w:rsid w:val="005546D6"/>
    <w:rsid w:val="00564207"/>
    <w:rsid w:val="00571AD2"/>
    <w:rsid w:val="00572BE3"/>
    <w:rsid w:val="00587954"/>
    <w:rsid w:val="005A2E81"/>
    <w:rsid w:val="005A6B2B"/>
    <w:rsid w:val="005B3B05"/>
    <w:rsid w:val="005B782C"/>
    <w:rsid w:val="005C48E0"/>
    <w:rsid w:val="005D4CCE"/>
    <w:rsid w:val="005D6F7B"/>
    <w:rsid w:val="005F1ABF"/>
    <w:rsid w:val="005F2AD4"/>
    <w:rsid w:val="00612971"/>
    <w:rsid w:val="00613449"/>
    <w:rsid w:val="00615F0E"/>
    <w:rsid w:val="00635DA3"/>
    <w:rsid w:val="0064296A"/>
    <w:rsid w:val="006571FA"/>
    <w:rsid w:val="00686C97"/>
    <w:rsid w:val="00692C5C"/>
    <w:rsid w:val="006949E1"/>
    <w:rsid w:val="006974B7"/>
    <w:rsid w:val="006A4745"/>
    <w:rsid w:val="006C4D1A"/>
    <w:rsid w:val="006D4148"/>
    <w:rsid w:val="006E3DF9"/>
    <w:rsid w:val="006F26FB"/>
    <w:rsid w:val="00701012"/>
    <w:rsid w:val="0070723A"/>
    <w:rsid w:val="0073798E"/>
    <w:rsid w:val="00763D22"/>
    <w:rsid w:val="00764D39"/>
    <w:rsid w:val="00771E7A"/>
    <w:rsid w:val="00784665"/>
    <w:rsid w:val="007977D2"/>
    <w:rsid w:val="007A16F6"/>
    <w:rsid w:val="007C6028"/>
    <w:rsid w:val="007D168C"/>
    <w:rsid w:val="007D4CFD"/>
    <w:rsid w:val="007D524A"/>
    <w:rsid w:val="00802301"/>
    <w:rsid w:val="008169AD"/>
    <w:rsid w:val="008379C5"/>
    <w:rsid w:val="00852560"/>
    <w:rsid w:val="0086408A"/>
    <w:rsid w:val="008742CF"/>
    <w:rsid w:val="00892089"/>
    <w:rsid w:val="008A0328"/>
    <w:rsid w:val="008C0FF1"/>
    <w:rsid w:val="008D0ABB"/>
    <w:rsid w:val="008D6091"/>
    <w:rsid w:val="008E2645"/>
    <w:rsid w:val="008E7A92"/>
    <w:rsid w:val="00900361"/>
    <w:rsid w:val="00916105"/>
    <w:rsid w:val="009167B6"/>
    <w:rsid w:val="009477FA"/>
    <w:rsid w:val="00950459"/>
    <w:rsid w:val="009523F1"/>
    <w:rsid w:val="00957605"/>
    <w:rsid w:val="00963211"/>
    <w:rsid w:val="0096329A"/>
    <w:rsid w:val="00975CEC"/>
    <w:rsid w:val="009761DD"/>
    <w:rsid w:val="00977275"/>
    <w:rsid w:val="00981E1F"/>
    <w:rsid w:val="00987DF6"/>
    <w:rsid w:val="00990A76"/>
    <w:rsid w:val="009A0904"/>
    <w:rsid w:val="009C18EB"/>
    <w:rsid w:val="009C2C13"/>
    <w:rsid w:val="009C75A8"/>
    <w:rsid w:val="009D5E94"/>
    <w:rsid w:val="009D5FED"/>
    <w:rsid w:val="009E7068"/>
    <w:rsid w:val="009F255A"/>
    <w:rsid w:val="00A11194"/>
    <w:rsid w:val="00A25BE2"/>
    <w:rsid w:val="00A302A9"/>
    <w:rsid w:val="00A34B18"/>
    <w:rsid w:val="00A47EE7"/>
    <w:rsid w:val="00A66930"/>
    <w:rsid w:val="00A70519"/>
    <w:rsid w:val="00A74CF9"/>
    <w:rsid w:val="00A93AB9"/>
    <w:rsid w:val="00A9668B"/>
    <w:rsid w:val="00AA2CC5"/>
    <w:rsid w:val="00AB6159"/>
    <w:rsid w:val="00AE1A29"/>
    <w:rsid w:val="00AE21CB"/>
    <w:rsid w:val="00B1050F"/>
    <w:rsid w:val="00B168DC"/>
    <w:rsid w:val="00B20F5C"/>
    <w:rsid w:val="00B21EA8"/>
    <w:rsid w:val="00B254AD"/>
    <w:rsid w:val="00B255F6"/>
    <w:rsid w:val="00B34148"/>
    <w:rsid w:val="00B40683"/>
    <w:rsid w:val="00B70B70"/>
    <w:rsid w:val="00B721FF"/>
    <w:rsid w:val="00B75B7F"/>
    <w:rsid w:val="00BB3D43"/>
    <w:rsid w:val="00BB7973"/>
    <w:rsid w:val="00BC7515"/>
    <w:rsid w:val="00BD1ED8"/>
    <w:rsid w:val="00BD50B9"/>
    <w:rsid w:val="00BD51E6"/>
    <w:rsid w:val="00BD63AA"/>
    <w:rsid w:val="00BE67EF"/>
    <w:rsid w:val="00BF2EB6"/>
    <w:rsid w:val="00BF7AC2"/>
    <w:rsid w:val="00C044A5"/>
    <w:rsid w:val="00C044FA"/>
    <w:rsid w:val="00C11F6D"/>
    <w:rsid w:val="00C20272"/>
    <w:rsid w:val="00C262BE"/>
    <w:rsid w:val="00C31485"/>
    <w:rsid w:val="00C46D60"/>
    <w:rsid w:val="00C624D4"/>
    <w:rsid w:val="00C67D56"/>
    <w:rsid w:val="00C70576"/>
    <w:rsid w:val="00C91700"/>
    <w:rsid w:val="00CB0F79"/>
    <w:rsid w:val="00CB5219"/>
    <w:rsid w:val="00CC361C"/>
    <w:rsid w:val="00CC4EB4"/>
    <w:rsid w:val="00CC6EA6"/>
    <w:rsid w:val="00CE1C24"/>
    <w:rsid w:val="00CE4B5C"/>
    <w:rsid w:val="00D038B8"/>
    <w:rsid w:val="00D04157"/>
    <w:rsid w:val="00D24395"/>
    <w:rsid w:val="00D25819"/>
    <w:rsid w:val="00D25C63"/>
    <w:rsid w:val="00D26D39"/>
    <w:rsid w:val="00D27D05"/>
    <w:rsid w:val="00D469AE"/>
    <w:rsid w:val="00D500AC"/>
    <w:rsid w:val="00D61B0F"/>
    <w:rsid w:val="00D724DF"/>
    <w:rsid w:val="00D83BAE"/>
    <w:rsid w:val="00D93E68"/>
    <w:rsid w:val="00DA1D71"/>
    <w:rsid w:val="00DA1E6D"/>
    <w:rsid w:val="00DA3DFF"/>
    <w:rsid w:val="00DA5E33"/>
    <w:rsid w:val="00DB6D1B"/>
    <w:rsid w:val="00DC342C"/>
    <w:rsid w:val="00DD1215"/>
    <w:rsid w:val="00DD6171"/>
    <w:rsid w:val="00DD6421"/>
    <w:rsid w:val="00DE3583"/>
    <w:rsid w:val="00E0171B"/>
    <w:rsid w:val="00E025CD"/>
    <w:rsid w:val="00E062D4"/>
    <w:rsid w:val="00E119C0"/>
    <w:rsid w:val="00E345D0"/>
    <w:rsid w:val="00E345F6"/>
    <w:rsid w:val="00E55ED9"/>
    <w:rsid w:val="00E67289"/>
    <w:rsid w:val="00E71C35"/>
    <w:rsid w:val="00E91F37"/>
    <w:rsid w:val="00EB0AA8"/>
    <w:rsid w:val="00EB28CA"/>
    <w:rsid w:val="00EE3A2A"/>
    <w:rsid w:val="00EE70A1"/>
    <w:rsid w:val="00EE7C5D"/>
    <w:rsid w:val="00EF118C"/>
    <w:rsid w:val="00F014C4"/>
    <w:rsid w:val="00F23BDC"/>
    <w:rsid w:val="00F31442"/>
    <w:rsid w:val="00F41FB9"/>
    <w:rsid w:val="00F42AFB"/>
    <w:rsid w:val="00F475B8"/>
    <w:rsid w:val="00F476AB"/>
    <w:rsid w:val="00F47ADD"/>
    <w:rsid w:val="00F50B66"/>
    <w:rsid w:val="00F72020"/>
    <w:rsid w:val="00F72BA2"/>
    <w:rsid w:val="00F735EC"/>
    <w:rsid w:val="00F753E7"/>
    <w:rsid w:val="00F83D13"/>
    <w:rsid w:val="00F934BC"/>
    <w:rsid w:val="00F94648"/>
    <w:rsid w:val="00FA4F78"/>
    <w:rsid w:val="00FB4068"/>
    <w:rsid w:val="00FC1631"/>
    <w:rsid w:val="00FF4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o:shapedefaults>
    <o:shapelayout v:ext="edit">
      <o:idmap v:ext="edit" data="1"/>
    </o:shapelayout>
  </w:shapeDefaults>
  <w:decimalSymbol w:val="."/>
  <w:listSeparator w:val=","/>
  <w14:docId w14:val="43DB5B42"/>
  <w15:chartTrackingRefBased/>
  <w15:docId w15:val="{A2385DC5-329B-4E20-A809-8DC5FDBE0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23BD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23BDC"/>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23BD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BD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23BD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23BD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23BDC"/>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23BDC"/>
    <w:rPr>
      <w:color w:val="0000FF"/>
      <w:u w:val="single"/>
    </w:rPr>
  </w:style>
  <w:style w:type="character" w:styleId="Emphasis">
    <w:name w:val="Emphasis"/>
    <w:basedOn w:val="DefaultParagraphFont"/>
    <w:uiPriority w:val="20"/>
    <w:qFormat/>
    <w:rsid w:val="00F23BDC"/>
    <w:rPr>
      <w:i/>
      <w:iCs/>
    </w:rPr>
  </w:style>
  <w:style w:type="character" w:styleId="Strong">
    <w:name w:val="Strong"/>
    <w:basedOn w:val="DefaultParagraphFont"/>
    <w:uiPriority w:val="22"/>
    <w:qFormat/>
    <w:rsid w:val="00F23BDC"/>
    <w:rPr>
      <w:b/>
      <w:bCs/>
    </w:rPr>
  </w:style>
  <w:style w:type="paragraph" w:styleId="Header">
    <w:name w:val="header"/>
    <w:basedOn w:val="Normal"/>
    <w:link w:val="HeaderChar"/>
    <w:uiPriority w:val="99"/>
    <w:unhideWhenUsed/>
    <w:rsid w:val="00363484"/>
    <w:pPr>
      <w:tabs>
        <w:tab w:val="center" w:pos="4680"/>
        <w:tab w:val="right" w:pos="9360"/>
      </w:tabs>
    </w:pPr>
  </w:style>
  <w:style w:type="character" w:customStyle="1" w:styleId="HeaderChar">
    <w:name w:val="Header Char"/>
    <w:basedOn w:val="DefaultParagraphFont"/>
    <w:link w:val="Header"/>
    <w:uiPriority w:val="99"/>
    <w:rsid w:val="00363484"/>
  </w:style>
  <w:style w:type="paragraph" w:styleId="Footer">
    <w:name w:val="footer"/>
    <w:basedOn w:val="Normal"/>
    <w:link w:val="FooterChar"/>
    <w:uiPriority w:val="99"/>
    <w:unhideWhenUsed/>
    <w:rsid w:val="00363484"/>
    <w:pPr>
      <w:tabs>
        <w:tab w:val="center" w:pos="4680"/>
        <w:tab w:val="right" w:pos="9360"/>
      </w:tabs>
    </w:pPr>
  </w:style>
  <w:style w:type="character" w:customStyle="1" w:styleId="FooterChar">
    <w:name w:val="Footer Char"/>
    <w:basedOn w:val="DefaultParagraphFont"/>
    <w:link w:val="Footer"/>
    <w:uiPriority w:val="99"/>
    <w:rsid w:val="00363484"/>
  </w:style>
  <w:style w:type="paragraph" w:styleId="ListParagraph">
    <w:name w:val="List Paragraph"/>
    <w:basedOn w:val="Normal"/>
    <w:uiPriority w:val="34"/>
    <w:qFormat/>
    <w:rsid w:val="00D038B8"/>
    <w:pPr>
      <w:ind w:left="720"/>
      <w:contextualSpacing/>
    </w:pPr>
  </w:style>
  <w:style w:type="character" w:styleId="UnresolvedMention">
    <w:name w:val="Unresolved Mention"/>
    <w:basedOn w:val="DefaultParagraphFont"/>
    <w:uiPriority w:val="99"/>
    <w:semiHidden/>
    <w:unhideWhenUsed/>
    <w:rsid w:val="00DD6171"/>
    <w:rPr>
      <w:color w:val="605E5C"/>
      <w:shd w:val="clear" w:color="auto" w:fill="E1DFDD"/>
    </w:rPr>
  </w:style>
  <w:style w:type="paragraph" w:customStyle="1" w:styleId="para15">
    <w:name w:val="para 1.5"/>
    <w:basedOn w:val="Normal"/>
    <w:qFormat/>
    <w:rsid w:val="00CB0F79"/>
    <w:pPr>
      <w:shd w:val="clear" w:color="auto" w:fill="FFFFFF"/>
      <w:spacing w:line="360" w:lineRule="auto"/>
      <w:textAlignment w:val="baseline"/>
    </w:pPr>
    <w:rPr>
      <w:rFonts w:eastAsia="Times New Roman" w:cstheme="minorHAnsi"/>
      <w:color w:val="000000" w:themeColor="text1"/>
      <w:szCs w:val="20"/>
    </w:rPr>
  </w:style>
  <w:style w:type="paragraph" w:styleId="FootnoteText">
    <w:name w:val="footnote text"/>
    <w:basedOn w:val="Normal"/>
    <w:link w:val="FootnoteTextChar"/>
    <w:uiPriority w:val="99"/>
    <w:unhideWhenUsed/>
    <w:rsid w:val="00D25819"/>
    <w:rPr>
      <w:sz w:val="20"/>
      <w:szCs w:val="20"/>
    </w:rPr>
  </w:style>
  <w:style w:type="character" w:customStyle="1" w:styleId="FootnoteTextChar">
    <w:name w:val="Footnote Text Char"/>
    <w:basedOn w:val="DefaultParagraphFont"/>
    <w:link w:val="FootnoteText"/>
    <w:uiPriority w:val="99"/>
    <w:rsid w:val="00D25819"/>
    <w:rPr>
      <w:sz w:val="20"/>
      <w:szCs w:val="20"/>
    </w:rPr>
  </w:style>
  <w:style w:type="character" w:styleId="FootnoteReference">
    <w:name w:val="footnote reference"/>
    <w:basedOn w:val="DefaultParagraphFont"/>
    <w:uiPriority w:val="99"/>
    <w:semiHidden/>
    <w:unhideWhenUsed/>
    <w:rsid w:val="00D25819"/>
    <w:rPr>
      <w:vertAlign w:val="superscript"/>
    </w:rPr>
  </w:style>
  <w:style w:type="character" w:styleId="FollowedHyperlink">
    <w:name w:val="FollowedHyperlink"/>
    <w:basedOn w:val="DefaultParagraphFont"/>
    <w:uiPriority w:val="99"/>
    <w:semiHidden/>
    <w:unhideWhenUsed/>
    <w:rsid w:val="004131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42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studentprivacy.ed.gov/resources/joint-guidance-application-ferpa-and-hipaa-student-health-records" TargetMode="External"/><Relationship Id="rId13" Type="http://schemas.openxmlformats.org/officeDocument/2006/relationships/hyperlink" Target="https://www.epic.org/privacy/medical/RS20934.pdf" TargetMode="External"/><Relationship Id="rId18" Type="http://schemas.openxmlformats.org/officeDocument/2006/relationships/hyperlink" Target="http://www.hhs.gov/ocr/privacy/hipaa/understanding/summary/index.html" TargetMode="External"/><Relationship Id="rId26" Type="http://schemas.openxmlformats.org/officeDocument/2006/relationships/hyperlink" Target="https://studentprivacy.ed.gov/resources/joint-guidance-application-ferpa-and-hipaa-student-health-records" TargetMode="External"/><Relationship Id="rId39" Type="http://schemas.openxmlformats.org/officeDocument/2006/relationships/hyperlink" Target="http://www2.ed.gov/policy/gen/guid/fpco/pdf/ferpa-disaster-guidance.pdf" TargetMode="External"/><Relationship Id="rId3" Type="http://schemas.openxmlformats.org/officeDocument/2006/relationships/hyperlink" Target="http://www.efrconline.org/admin/files/Accessing%20School%20Health%20Info%20031706.pdf" TargetMode="External"/><Relationship Id="rId21" Type="http://schemas.openxmlformats.org/officeDocument/2006/relationships/hyperlink" Target="http://www2.ed.gov/policy/gen/guid/fpco/pdf/ferpa-h1n1.pdf" TargetMode="External"/><Relationship Id="rId34" Type="http://schemas.openxmlformats.org/officeDocument/2006/relationships/hyperlink" Target="http://www2.ed.gov/policy/gen/guid/fpco/pdf/ferpa-h1n1.pdf" TargetMode="External"/><Relationship Id="rId42" Type="http://schemas.openxmlformats.org/officeDocument/2006/relationships/hyperlink" Target="http://www.hhs.gov/ocr/privacy/hipaa/understanding/summary/index.html" TargetMode="External"/><Relationship Id="rId7" Type="http://schemas.openxmlformats.org/officeDocument/2006/relationships/hyperlink" Target="http://www2.ed.gov/policy/gen/guid/fpco/pdf/ferpa-h1n1.pdf" TargetMode="External"/><Relationship Id="rId12" Type="http://schemas.openxmlformats.org/officeDocument/2006/relationships/hyperlink" Target="http://www2.ed.gov/policy/gen/guid/fpco/ferpa/index.html" TargetMode="External"/><Relationship Id="rId17" Type="http://schemas.openxmlformats.org/officeDocument/2006/relationships/hyperlink" Target="http://www.hhs.gov/ocr/privacy/hipaa/understanding/summary/index.html" TargetMode="External"/><Relationship Id="rId25" Type="http://schemas.openxmlformats.org/officeDocument/2006/relationships/hyperlink" Target="https://studentprivacy.ed.gov/resources/joint-guidance-application-ferpa-and-hipaa-student-health-records" TargetMode="External"/><Relationship Id="rId33" Type="http://schemas.openxmlformats.org/officeDocument/2006/relationships/hyperlink" Target="http://www2.ed.gov/policy/gen/guid/fpco/pdf/ferpa-disaster-guidance.pdf" TargetMode="External"/><Relationship Id="rId38" Type="http://schemas.openxmlformats.org/officeDocument/2006/relationships/hyperlink" Target="http://www2.ed.gov/policy/gen/guid/fpco/pdf/ferpa-h1n1.pdf" TargetMode="External"/><Relationship Id="rId2" Type="http://schemas.openxmlformats.org/officeDocument/2006/relationships/hyperlink" Target="http://www.efrconline.org/admin/files/Accessing%20School%20Health%20Info%20031706.pdf" TargetMode="External"/><Relationship Id="rId16" Type="http://schemas.openxmlformats.org/officeDocument/2006/relationships/hyperlink" Target="http://www.hhs.gov/ocr/privacy/hipaa/understanding/summary/index.html" TargetMode="External"/><Relationship Id="rId20" Type="http://schemas.openxmlformats.org/officeDocument/2006/relationships/hyperlink" Target="http://www2.ed.gov/policy/gen/guid/fpco/pdf/ferpa-h1n1.pdf" TargetMode="External"/><Relationship Id="rId29" Type="http://schemas.openxmlformats.org/officeDocument/2006/relationships/hyperlink" Target="http://www2.ed.gov/policy/gen/guid/fpco/pdf/ferpa-h1n1.pdf" TargetMode="External"/><Relationship Id="rId41" Type="http://schemas.openxmlformats.org/officeDocument/2006/relationships/hyperlink" Target="http://www2.ed.gov/policy/gen/guid/fpco/pdf/ferpa-h1n1.pdf" TargetMode="External"/><Relationship Id="rId1" Type="http://schemas.openxmlformats.org/officeDocument/2006/relationships/hyperlink" Target="http://www.efrconline.org/admin/files/Accessing%20School%20Health%20Info%20031706.pdf" TargetMode="External"/><Relationship Id="rId6" Type="http://schemas.openxmlformats.org/officeDocument/2006/relationships/hyperlink" Target="http://www2.ed.gov/policy/gen/guid/fpco/ferpa/index.html" TargetMode="External"/><Relationship Id="rId11" Type="http://schemas.openxmlformats.org/officeDocument/2006/relationships/hyperlink" Target="http://www2.ed.gov/policy/gen/guid/fpco/ferpa/index.html" TargetMode="External"/><Relationship Id="rId24" Type="http://schemas.openxmlformats.org/officeDocument/2006/relationships/hyperlink" Target="https://www.hhs.gov/hipaa/for-professionals/special-topics/research/index.html" TargetMode="External"/><Relationship Id="rId32" Type="http://schemas.openxmlformats.org/officeDocument/2006/relationships/hyperlink" Target="http://www2.ed.gov/policy/gen/guid/fpco/pdf/ferpa-h1n1.pdf" TargetMode="External"/><Relationship Id="rId37" Type="http://schemas.openxmlformats.org/officeDocument/2006/relationships/hyperlink" Target="http://www2.ed.gov/policy/gen/guid/fpco/pdf/ferpa-disaster-guidance.pdf" TargetMode="External"/><Relationship Id="rId40" Type="http://schemas.openxmlformats.org/officeDocument/2006/relationships/hyperlink" Target="http://www2.ed.gov/policy/gen/guid/fpco/pdf/ferpa-disaster-guidance.pdf" TargetMode="External"/><Relationship Id="rId5" Type="http://schemas.openxmlformats.org/officeDocument/2006/relationships/hyperlink" Target="http://www2.ed.gov/policy/gen/guid/fpco/pdf/ferpa-h1n1.pdf" TargetMode="External"/><Relationship Id="rId15" Type="http://schemas.openxmlformats.org/officeDocument/2006/relationships/hyperlink" Target="http://www.hhs.gov/ocr/privacy/hipaa/understanding/summary/index.html" TargetMode="External"/><Relationship Id="rId23" Type="http://schemas.openxmlformats.org/officeDocument/2006/relationships/hyperlink" Target="http://www2.ed.gov/policy/gen/guid/fpco/pdf/ferpa-h1n1.pdf" TargetMode="External"/><Relationship Id="rId28" Type="http://schemas.openxmlformats.org/officeDocument/2006/relationships/hyperlink" Target="http://www.hhs.gov/ocr/privacy/hipaa/faq/disclosures_for_law_enforcement_purposes/397.html" TargetMode="External"/><Relationship Id="rId36" Type="http://schemas.openxmlformats.org/officeDocument/2006/relationships/hyperlink" Target="http://www2.ed.gov/policy/gen/guid/fpco/pdf/ferpa-disaster-guidance.pdf" TargetMode="External"/><Relationship Id="rId10" Type="http://schemas.openxmlformats.org/officeDocument/2006/relationships/hyperlink" Target="http://www2.ed.gov/policy/gen/guid/fpco/ferpa/index.html" TargetMode="External"/><Relationship Id="rId19" Type="http://schemas.openxmlformats.org/officeDocument/2006/relationships/hyperlink" Target="http://www2.ed.gov/policy/gen/guid/fpco/pdf/ferpa-h1n1.pdf" TargetMode="External"/><Relationship Id="rId31" Type="http://schemas.openxmlformats.org/officeDocument/2006/relationships/hyperlink" Target="http://www2.ed.gov/policy/gen/guid/fpco/pdf/ferpa-disaster-guidance.pdf" TargetMode="External"/><Relationship Id="rId4" Type="http://schemas.openxmlformats.org/officeDocument/2006/relationships/hyperlink" Target="http://www.efrconline.org/admin/files/Accessing%20School%20Health%20Info%20031706.pdf" TargetMode="External"/><Relationship Id="rId9" Type="http://schemas.openxmlformats.org/officeDocument/2006/relationships/hyperlink" Target="https://studentprivacy.ed.gov/resources/joint-guidance-application-ferpa-and-hipaa-student-health-records" TargetMode="External"/><Relationship Id="rId14" Type="http://schemas.openxmlformats.org/officeDocument/2006/relationships/hyperlink" Target="http://www.hhs.gov/ocr/privacy/hipaa/understanding/summary/index.html" TargetMode="External"/><Relationship Id="rId22" Type="http://schemas.openxmlformats.org/officeDocument/2006/relationships/hyperlink" Target="http://www2.ed.gov/policy/gen/guid/fpco/pdf/ferpa-h1n1.pdf" TargetMode="External"/><Relationship Id="rId27" Type="http://schemas.openxmlformats.org/officeDocument/2006/relationships/hyperlink" Target="http://www.hhs.gov/ocr/privacy/hipaa/understanding/summary/index.html" TargetMode="External"/><Relationship Id="rId30" Type="http://schemas.openxmlformats.org/officeDocument/2006/relationships/hyperlink" Target="http://www2.ed.gov/policy/gen/guid/fpco/pdf/ferpa-h1n1.pdf" TargetMode="External"/><Relationship Id="rId35" Type="http://schemas.openxmlformats.org/officeDocument/2006/relationships/hyperlink" Target="http://www2.ed.gov/policy/gen/guid/fpco/pdf/ferpa-h1n1.pdf" TargetMode="External"/><Relationship Id="rId43" Type="http://schemas.openxmlformats.org/officeDocument/2006/relationships/hyperlink" Target="http://www2.ed.gov/policy/gen/guid/fpco/pdf/ferpa-disaster-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975</TotalTime>
  <Pages>14</Pages>
  <Words>3950</Words>
  <Characters>22520</Characters>
  <Application>Microsoft Office Word</Application>
  <DocSecurity>0</DocSecurity>
  <Lines>187</Lines>
  <Paragraphs>52</Paragraphs>
  <ScaleCrop>false</ScaleCrop>
  <Company/>
  <LinksUpToDate>false</LinksUpToDate>
  <CharactersWithSpaces>26418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Elliott</dc:creator>
  <cp:keywords/>
  <dc:description/>
  <cp:lastModifiedBy>Patricia Elliott</cp:lastModifiedBy>
  <cp:revision>265</cp:revision>
  <dcterms:created xsi:type="dcterms:W3CDTF">2020-03-15T20:06:00Z</dcterms:created>
  <dcterms:modified xsi:type="dcterms:W3CDTF">2020-03-16T15:48:00Z</dcterms:modified>
</cp:coreProperties>
</file>