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C2EB3" w14:textId="246BF53F" w:rsidR="00BF0A14" w:rsidRPr="00B249CB" w:rsidRDefault="00BF0A14" w:rsidP="00BF0A14">
      <w:pPr>
        <w:spacing w:line="480" w:lineRule="auto"/>
        <w:jc w:val="center"/>
        <w:rPr>
          <w:rFonts w:eastAsia="Times New Roman" w:cstheme="minorHAnsi"/>
          <w:b/>
          <w:bCs/>
          <w:sz w:val="24"/>
        </w:rPr>
      </w:pPr>
      <w:r w:rsidRPr="00B249CB">
        <w:rPr>
          <w:rFonts w:eastAsia="Times New Roman" w:cstheme="minorHAnsi"/>
          <w:b/>
          <w:bCs/>
          <w:sz w:val="24"/>
        </w:rPr>
        <w:t>FAMILY EDUCATIONAL RIGHTS AND PRIVACY ACT</w:t>
      </w:r>
    </w:p>
    <w:p w14:paraId="4DDA5FF2" w14:textId="42FA9483" w:rsidR="00BF0A14" w:rsidRPr="00B249CB" w:rsidRDefault="00BF0A14" w:rsidP="009047D5">
      <w:pPr>
        <w:pStyle w:val="15para"/>
      </w:pPr>
    </w:p>
    <w:p w14:paraId="222040EE" w14:textId="3D342F99" w:rsidR="00BF0A14" w:rsidRPr="00B249CB" w:rsidRDefault="00BF0A14" w:rsidP="009047D5">
      <w:pPr>
        <w:pStyle w:val="15para"/>
        <w:rPr>
          <w:b/>
          <w:bCs/>
          <w:sz w:val="24"/>
          <w:szCs w:val="22"/>
        </w:rPr>
      </w:pPr>
      <w:r w:rsidRPr="00B249CB">
        <w:rPr>
          <w:b/>
          <w:bCs/>
          <w:sz w:val="24"/>
          <w:szCs w:val="22"/>
        </w:rPr>
        <w:t>Overview</w:t>
      </w:r>
    </w:p>
    <w:p w14:paraId="2C8852FC" w14:textId="6B5CDE65" w:rsidR="00BF0A14" w:rsidRPr="007F7CE3" w:rsidRDefault="00BF0A14" w:rsidP="009047D5">
      <w:pPr>
        <w:pStyle w:val="15para"/>
      </w:pPr>
      <w:r w:rsidRPr="00B249CB">
        <w:t>The Family Educational Rights and Privacy Act (FERPA)</w:t>
      </w:r>
      <w:r w:rsidR="009343FC" w:rsidRPr="00B249CB">
        <w:t xml:space="preserve"> </w:t>
      </w:r>
      <w:r w:rsidRPr="00B249CB">
        <w:t>is a federal law intended to protect the privacy of student education records while allowing students and parents greater access to the records.</w:t>
      </w:r>
      <w:r w:rsidR="00CE3DF8" w:rsidRPr="00B249CB">
        <w:rPr>
          <w:rStyle w:val="FootnoteReference"/>
        </w:rPr>
        <w:footnoteReference w:id="1"/>
      </w:r>
      <w:r w:rsidRPr="00B249CB">
        <w:t xml:space="preserve"> FERPA, among other things, prevents the disclosure of a student’s education record without the consent of a parent or eligible student unless an exception to the law’s general consent requirement applies.</w:t>
      </w:r>
      <w:r w:rsidR="00842846">
        <w:rPr>
          <w:rStyle w:val="FootnoteReference"/>
        </w:rPr>
        <w:footnoteReference w:id="2"/>
      </w:r>
      <w:r w:rsidR="00842846">
        <w:t xml:space="preserve"> </w:t>
      </w:r>
      <w:r w:rsidRPr="00B249CB">
        <w:t>“Eligible students” are students who have turned 18 or attend school beyond the high school level at any age. Schools must notify parents and eligible students annually of their rights under FERPA; the exact method of this notice (e.g., newsletter, student handbook, etc.) is left to the discretion of each school.</w:t>
      </w:r>
      <w:r w:rsidR="007F7CE3">
        <w:rPr>
          <w:rStyle w:val="FootnoteReference"/>
        </w:rPr>
        <w:footnoteReference w:id="3"/>
      </w:r>
    </w:p>
    <w:p w14:paraId="04E44BBE" w14:textId="4A2AF05B" w:rsidR="00BF0A14" w:rsidRDefault="00BF0A14" w:rsidP="009047D5">
      <w:pPr>
        <w:pStyle w:val="15para"/>
      </w:pPr>
    </w:p>
    <w:p w14:paraId="6C53ACAC" w14:textId="7B97B80E" w:rsidR="00A460ED" w:rsidRPr="00A460ED" w:rsidRDefault="00A460ED" w:rsidP="009047D5">
      <w:pPr>
        <w:pStyle w:val="15para"/>
        <w:rPr>
          <w:b/>
          <w:bCs/>
          <w:sz w:val="24"/>
          <w:szCs w:val="22"/>
        </w:rPr>
      </w:pPr>
      <w:r w:rsidRPr="00A460ED">
        <w:rPr>
          <w:b/>
          <w:bCs/>
          <w:sz w:val="24"/>
          <w:szCs w:val="22"/>
        </w:rPr>
        <w:t>FERPA Coverage</w:t>
      </w:r>
    </w:p>
    <w:p w14:paraId="453A625C" w14:textId="74BB725B" w:rsidR="00BF0A14" w:rsidRPr="00B249CB" w:rsidRDefault="00BF0A14" w:rsidP="009047D5">
      <w:pPr>
        <w:pStyle w:val="15para"/>
      </w:pPr>
      <w:r w:rsidRPr="00B249CB">
        <w:t>FERPA applies to all educational institutions and agencies that receive any funds for programs administered by the U.S. Department of Education (ED or the Department)</w:t>
      </w:r>
      <w:r w:rsidR="007F7CE3">
        <w:t>.</w:t>
      </w:r>
      <w:r w:rsidR="007F7CE3">
        <w:rPr>
          <w:rStyle w:val="FootnoteReference"/>
        </w:rPr>
        <w:footnoteReference w:id="4"/>
      </w:r>
      <w:r w:rsidR="007F7CE3">
        <w:t xml:space="preserve"> </w:t>
      </w:r>
      <w:r w:rsidRPr="00B249CB">
        <w:t>Thus, all public schools and school districts and most public and private post-secondary institutions (e.g., colleges) are covered by FERPA.</w:t>
      </w:r>
      <w:r w:rsidR="00113BB6">
        <w:rPr>
          <w:rStyle w:val="FootnoteReference"/>
        </w:rPr>
        <w:footnoteReference w:id="5"/>
      </w:r>
      <w:r w:rsidR="00113BB6">
        <w:t xml:space="preserve"> </w:t>
      </w:r>
      <w:r w:rsidRPr="00B249CB">
        <w:t>Private and religious elementary and secondary schools are not subject to FERPA because they generally do not receive funding from ED</w:t>
      </w:r>
      <w:r w:rsidR="00712DDF">
        <w:t>.</w:t>
      </w:r>
      <w:r w:rsidR="00712DDF">
        <w:rPr>
          <w:rStyle w:val="FootnoteReference"/>
        </w:rPr>
        <w:footnoteReference w:id="6"/>
      </w:r>
      <w:r w:rsidR="00712DDF">
        <w:t xml:space="preserve"> </w:t>
      </w:r>
      <w:r w:rsidRPr="00B249CB">
        <w:t>ED ha</w:t>
      </w:r>
      <w:r w:rsidR="00A460ED">
        <w:t>d</w:t>
      </w:r>
      <w:r w:rsidRPr="00B249CB">
        <w:t xml:space="preserve"> historically interpreted FERPA to exclude “non-school” entities, which are not attended by students, from the scope of entities covered by the act. However, amendments to FERPA regulations changed </w:t>
      </w:r>
      <w:r w:rsidR="00A460ED">
        <w:t>this</w:t>
      </w:r>
      <w:r w:rsidRPr="00B249CB">
        <w:t xml:space="preserve">; the rule now acknowledges that the </w:t>
      </w:r>
      <w:r w:rsidRPr="00B249CB">
        <w:lastRenderedPageBreak/>
        <w:t>Department funds entities that do not have students and authorizes ED to enforce FERPA for programs funded by ED or that disclose or receive protected information under the act.</w:t>
      </w:r>
      <w:r w:rsidR="00501664">
        <w:rPr>
          <w:rStyle w:val="FootnoteReference"/>
        </w:rPr>
        <w:footnoteReference w:id="7"/>
      </w:r>
      <w:r w:rsidR="00501664">
        <w:t xml:space="preserve"> </w:t>
      </w:r>
    </w:p>
    <w:p w14:paraId="6BDC2EF2" w14:textId="77777777" w:rsidR="00BF0A14" w:rsidRPr="00B249CB" w:rsidRDefault="00BF0A14" w:rsidP="009047D5">
      <w:pPr>
        <w:pStyle w:val="15para"/>
      </w:pPr>
    </w:p>
    <w:p w14:paraId="7901FDB6" w14:textId="0D05D0BC" w:rsidR="00BF0A14" w:rsidRPr="00B249CB" w:rsidRDefault="00BF0A14" w:rsidP="009047D5">
      <w:pPr>
        <w:pStyle w:val="15para"/>
      </w:pPr>
      <w:r w:rsidRPr="00B249CB">
        <w:rPr>
          <w:b/>
          <w:sz w:val="24"/>
          <w:szCs w:val="22"/>
          <w:bdr w:val="none" w:sz="0" w:space="0" w:color="auto" w:frame="1"/>
        </w:rPr>
        <w:t>Rights Under FERPA</w:t>
      </w:r>
      <w:r w:rsidRPr="00B249CB">
        <w:rPr>
          <w:b/>
          <w:i/>
          <w:iCs/>
          <w:bdr w:val="none" w:sz="0" w:space="0" w:color="auto" w:frame="1"/>
        </w:rPr>
        <w:br/>
      </w:r>
      <w:r w:rsidRPr="00B249CB">
        <w:t>FERPA give parents and eligible students the right to:</w:t>
      </w:r>
    </w:p>
    <w:p w14:paraId="5C6F1C70" w14:textId="77777777" w:rsidR="00BF0A14" w:rsidRPr="00B249CB" w:rsidRDefault="00BF0A14" w:rsidP="00537D94">
      <w:pPr>
        <w:pStyle w:val="15para"/>
        <w:numPr>
          <w:ilvl w:val="0"/>
          <w:numId w:val="2"/>
        </w:numPr>
      </w:pPr>
      <w:r w:rsidRPr="00B249CB">
        <w:t>Review the student's education records maintained by the school.</w:t>
      </w:r>
    </w:p>
    <w:p w14:paraId="2DA2CF21" w14:textId="33258008" w:rsidR="00BF0A14" w:rsidRPr="00B249CB" w:rsidRDefault="00BF0A14" w:rsidP="00537D94">
      <w:pPr>
        <w:pStyle w:val="15para"/>
        <w:numPr>
          <w:ilvl w:val="0"/>
          <w:numId w:val="2"/>
        </w:numPr>
      </w:pPr>
      <w:r w:rsidRPr="00B249CB">
        <w:t>Request that a school correct records which they believe to be inaccurate or misleading.</w:t>
      </w:r>
    </w:p>
    <w:p w14:paraId="59F0E1AE" w14:textId="77777777" w:rsidR="00BF0A14" w:rsidRPr="00B249CB" w:rsidRDefault="00BF0A14" w:rsidP="00537D94">
      <w:pPr>
        <w:pStyle w:val="15para"/>
        <w:numPr>
          <w:ilvl w:val="0"/>
          <w:numId w:val="2"/>
        </w:numPr>
      </w:pPr>
      <w:r w:rsidRPr="00B249CB">
        <w:t>Require nondisclosure of the student’s education record or personally identifiable information from the record without prior written consent of a parent or eligible student (known as the “general consent rule”), unless an exception applies.</w:t>
      </w:r>
    </w:p>
    <w:p w14:paraId="79089D47" w14:textId="77777777" w:rsidR="001A0C3D" w:rsidRDefault="001A0C3D" w:rsidP="009047D5">
      <w:pPr>
        <w:pStyle w:val="15para"/>
      </w:pPr>
    </w:p>
    <w:p w14:paraId="090EAF00" w14:textId="2CFD09B3" w:rsidR="00BF0A14" w:rsidRPr="004E37B9" w:rsidRDefault="00BF0A14" w:rsidP="009047D5">
      <w:pPr>
        <w:pStyle w:val="15para"/>
      </w:pPr>
      <w:r w:rsidRPr="00B249CB">
        <w:t>In a written request for consent to disclose, a school must identify the records to be disclosed, the person or entity to whom the information is to be disclosed, and the purpose of the disclosure. A parent or eligible student has the right to request and receive a copy of the information disclosed to a third party.</w:t>
      </w:r>
      <w:r w:rsidR="004E37B9">
        <w:rPr>
          <w:rStyle w:val="FootnoteReference"/>
        </w:rPr>
        <w:footnoteReference w:id="8"/>
      </w:r>
    </w:p>
    <w:p w14:paraId="135C3DDD" w14:textId="77777777" w:rsidR="00BF0A14" w:rsidRPr="00B249CB" w:rsidRDefault="00BF0A14" w:rsidP="009047D5">
      <w:pPr>
        <w:pStyle w:val="15para"/>
        <w:rPr>
          <w:i/>
          <w:iCs/>
          <w:bdr w:val="none" w:sz="0" w:space="0" w:color="auto" w:frame="1"/>
        </w:rPr>
      </w:pPr>
    </w:p>
    <w:p w14:paraId="54BDF6DD" w14:textId="77777777" w:rsidR="00BF0A14" w:rsidRPr="00B249CB" w:rsidRDefault="00BF0A14" w:rsidP="009047D5">
      <w:pPr>
        <w:pStyle w:val="15para"/>
        <w:rPr>
          <w:b/>
          <w:sz w:val="24"/>
          <w:szCs w:val="22"/>
        </w:rPr>
      </w:pPr>
      <w:r w:rsidRPr="00B249CB">
        <w:rPr>
          <w:b/>
          <w:sz w:val="24"/>
          <w:szCs w:val="22"/>
          <w:bdr w:val="none" w:sz="0" w:space="0" w:color="auto" w:frame="1"/>
        </w:rPr>
        <w:t>Education Record Defined</w:t>
      </w:r>
    </w:p>
    <w:p w14:paraId="5E47EFEA" w14:textId="77777777" w:rsidR="00243014" w:rsidRDefault="00BF0A14" w:rsidP="009047D5">
      <w:pPr>
        <w:pStyle w:val="15para"/>
      </w:pPr>
      <w:r w:rsidRPr="00B249CB">
        <w:t>“Education record” is defined as records which are: (1) directly related to a student and (2) maintained by an educational agency or institution or by a person acting on behalf of the agency or institution.</w:t>
      </w:r>
      <w:r w:rsidR="001909EC">
        <w:rPr>
          <w:rStyle w:val="FootnoteReference"/>
        </w:rPr>
        <w:footnoteReference w:id="9"/>
      </w:r>
      <w:r w:rsidR="001909EC">
        <w:t xml:space="preserve"> </w:t>
      </w:r>
      <w:r w:rsidRPr="00B249CB">
        <w:t xml:space="preserve">A student’s health records, including immunization information and other records maintained by a school nurse, are considered part of the student’s education record and thus are protected from disclosure under FERPA. </w:t>
      </w:r>
    </w:p>
    <w:p w14:paraId="0C75718A" w14:textId="77777777" w:rsidR="00243014" w:rsidRDefault="00243014" w:rsidP="009047D5">
      <w:pPr>
        <w:pStyle w:val="15para"/>
      </w:pPr>
    </w:p>
    <w:p w14:paraId="38864EBD" w14:textId="77777777" w:rsidR="00243014" w:rsidRDefault="00BF0A14" w:rsidP="009047D5">
      <w:pPr>
        <w:pStyle w:val="15para"/>
        <w:rPr>
          <w:bdr w:val="none" w:sz="0" w:space="0" w:color="auto" w:frame="1"/>
        </w:rPr>
      </w:pPr>
      <w:r w:rsidRPr="00B249CB">
        <w:t>Records of medical and psychological treatment of eligible students at post-secondary institutions (“treatment records”) are excluded from the definition of education records under FERPA if the records are made, maintained, and used only in the treatment of the student and are disclosed only to persons providing treatment.</w:t>
      </w:r>
      <w:r w:rsidR="00496EE7">
        <w:rPr>
          <w:rStyle w:val="FootnoteReference"/>
        </w:rPr>
        <w:footnoteReference w:id="10"/>
      </w:r>
      <w:r w:rsidR="00BF6E7F">
        <w:t xml:space="preserve"> </w:t>
      </w:r>
      <w:r w:rsidRPr="00B249CB">
        <w:t xml:space="preserve">Treatment records can be disclosed for purposes other than treatment, but </w:t>
      </w:r>
      <w:r w:rsidRPr="00B249CB">
        <w:lastRenderedPageBreak/>
        <w:t>disclosure must be made with consent or under one of the exceptions to the consent requirement</w:t>
      </w:r>
      <w:r w:rsidR="000D70EA">
        <w:t>.</w:t>
      </w:r>
      <w:r w:rsidR="000D70EA">
        <w:rPr>
          <w:rStyle w:val="FootnoteReference"/>
        </w:rPr>
        <w:footnoteReference w:id="11"/>
      </w:r>
      <w:r w:rsidR="000D70EA">
        <w:t xml:space="preserve"> </w:t>
      </w:r>
      <w:r w:rsidRPr="00B249CB">
        <w:t>If treatment records are released for purposes other than treatment, then they are considered to be education records and all the FERPA requirements then apply.</w:t>
      </w:r>
      <w:r w:rsidR="00552A88">
        <w:rPr>
          <w:rStyle w:val="FootnoteReference"/>
        </w:rPr>
        <w:footnoteReference w:id="12"/>
      </w:r>
      <w:r w:rsidR="00552A88">
        <w:rPr>
          <w:bdr w:val="none" w:sz="0" w:space="0" w:color="auto" w:frame="1"/>
        </w:rPr>
        <w:t xml:space="preserve"> </w:t>
      </w:r>
    </w:p>
    <w:p w14:paraId="4F084CCB" w14:textId="77777777" w:rsidR="00243014" w:rsidRDefault="00243014" w:rsidP="009047D5">
      <w:pPr>
        <w:pStyle w:val="15para"/>
        <w:rPr>
          <w:bdr w:val="none" w:sz="0" w:space="0" w:color="auto" w:frame="1"/>
        </w:rPr>
      </w:pPr>
    </w:p>
    <w:p w14:paraId="16B4633D" w14:textId="1F1CE1FC" w:rsidR="00BF0A14" w:rsidRPr="00FB0981" w:rsidRDefault="00BF0A14" w:rsidP="009047D5">
      <w:pPr>
        <w:pStyle w:val="15para"/>
      </w:pPr>
      <w:r w:rsidRPr="00B249CB">
        <w:t>FERPA generally excludes from the definition of “education records”</w:t>
      </w:r>
      <w:r w:rsidR="00243014">
        <w:t>:</w:t>
      </w:r>
      <w:r w:rsidR="00243014" w:rsidRPr="00243014">
        <w:t xml:space="preserve"> </w:t>
      </w:r>
      <w:r w:rsidR="00243014" w:rsidRPr="00B249CB">
        <w:t>security videos</w:t>
      </w:r>
      <w:r w:rsidR="00243014">
        <w:t>; r</w:t>
      </w:r>
      <w:r w:rsidRPr="00B249CB">
        <w:t>ecords that are kept by a school’s law enforcement unit</w:t>
      </w:r>
      <w:r w:rsidR="00243014">
        <w:t>;</w:t>
      </w:r>
      <w:r w:rsidRPr="00B249CB">
        <w:t xml:space="preserve"> observations by instructors</w:t>
      </w:r>
      <w:r w:rsidR="00243014">
        <w:t>;</w:t>
      </w:r>
      <w:r w:rsidRPr="00B249CB">
        <w:t xml:space="preserve"> or records created after the student no longer attends the school.</w:t>
      </w:r>
      <w:r w:rsidR="00FB0981">
        <w:rPr>
          <w:rStyle w:val="FootnoteReference"/>
        </w:rPr>
        <w:footnoteReference w:id="13"/>
      </w:r>
      <w:r w:rsidR="00D4069E">
        <w:rPr>
          <w:bdr w:val="none" w:sz="0" w:space="0" w:color="auto" w:frame="1"/>
        </w:rPr>
        <w:t xml:space="preserve"> </w:t>
      </w:r>
      <w:r w:rsidRPr="00B249CB">
        <w:t>Records of special education students receiving services under the Individuals With Disabilities Education Act (IDEA) are covered as education records under FERPA.</w:t>
      </w:r>
      <w:r w:rsidR="00FB0981">
        <w:rPr>
          <w:rStyle w:val="FootnoteReference"/>
        </w:rPr>
        <w:footnoteReference w:id="14"/>
      </w:r>
    </w:p>
    <w:p w14:paraId="214FE4AB" w14:textId="77777777" w:rsidR="00BF0A14" w:rsidRPr="00B249CB" w:rsidRDefault="00BF0A14" w:rsidP="009047D5">
      <w:pPr>
        <w:pStyle w:val="15para"/>
        <w:rPr>
          <w:i/>
          <w:iCs/>
          <w:bdr w:val="none" w:sz="0" w:space="0" w:color="auto" w:frame="1"/>
        </w:rPr>
      </w:pPr>
    </w:p>
    <w:p w14:paraId="11042EDE" w14:textId="77777777" w:rsidR="00BF0A14" w:rsidRPr="00B249CB" w:rsidRDefault="00BF0A14" w:rsidP="009047D5">
      <w:pPr>
        <w:pStyle w:val="15para"/>
        <w:rPr>
          <w:b/>
          <w:sz w:val="24"/>
          <w:szCs w:val="22"/>
        </w:rPr>
      </w:pPr>
      <w:r w:rsidRPr="00B249CB">
        <w:rPr>
          <w:b/>
          <w:sz w:val="24"/>
          <w:szCs w:val="22"/>
          <w:bdr w:val="none" w:sz="0" w:space="0" w:color="auto" w:frame="1"/>
        </w:rPr>
        <w:t>Personally Identifiable Information Defined</w:t>
      </w:r>
    </w:p>
    <w:p w14:paraId="6886BDB5" w14:textId="6409E1C7" w:rsidR="00BF0A14" w:rsidRPr="0015560B" w:rsidRDefault="00BF0A14" w:rsidP="009047D5">
      <w:pPr>
        <w:pStyle w:val="15para"/>
      </w:pPr>
      <w:r w:rsidRPr="00B249CB">
        <w:t>FERPA regulations define “personally identifiable information” (PII) to include name, address, personal identifiers like Social Security number or date of birth, biometric data, or other information that could be used alone or in combination to identify a student.</w:t>
      </w:r>
      <w:r w:rsidR="0015560B">
        <w:rPr>
          <w:rStyle w:val="FootnoteReference"/>
        </w:rPr>
        <w:footnoteReference w:id="15"/>
      </w:r>
      <w:r w:rsidR="0015560B">
        <w:rPr>
          <w:bdr w:val="none" w:sz="0" w:space="0" w:color="auto" w:frame="1"/>
        </w:rPr>
        <w:t xml:space="preserve"> </w:t>
      </w:r>
      <w:r w:rsidRPr="00B249CB">
        <w:t>However, schools may disclose without consent “directory information” such as a student's name, address, telephone number, date and place of birth, honors and awards, and dates of attendance.</w:t>
      </w:r>
      <w:r w:rsidR="0015560B">
        <w:rPr>
          <w:rStyle w:val="FootnoteReference"/>
        </w:rPr>
        <w:footnoteReference w:id="16"/>
      </w:r>
      <w:r w:rsidR="0015560B">
        <w:t xml:space="preserve"> </w:t>
      </w:r>
      <w:r w:rsidRPr="00B249CB">
        <w:t xml:space="preserve">Schools must tell parents and eligible students about </w:t>
      </w:r>
      <w:r w:rsidRPr="00B249CB">
        <w:lastRenderedPageBreak/>
        <w:t>directory information and allow parents and eligible students a reasonable amount of time to request that the school not disclose directory information about them.</w:t>
      </w:r>
      <w:r w:rsidR="0015560B">
        <w:rPr>
          <w:rStyle w:val="FootnoteReference"/>
        </w:rPr>
        <w:footnoteReference w:id="17"/>
      </w:r>
    </w:p>
    <w:p w14:paraId="1428B866" w14:textId="77777777" w:rsidR="00BF0A14" w:rsidRPr="00B249CB" w:rsidRDefault="00BF0A14" w:rsidP="009047D5">
      <w:pPr>
        <w:pStyle w:val="15para"/>
        <w:rPr>
          <w:i/>
          <w:iCs/>
          <w:bdr w:val="none" w:sz="0" w:space="0" w:color="auto" w:frame="1"/>
        </w:rPr>
      </w:pPr>
    </w:p>
    <w:p w14:paraId="7936ED41" w14:textId="77777777" w:rsidR="00BF0A14" w:rsidRPr="00B249CB" w:rsidRDefault="00BF0A14" w:rsidP="009047D5">
      <w:pPr>
        <w:pStyle w:val="15para"/>
        <w:rPr>
          <w:b/>
          <w:sz w:val="24"/>
          <w:szCs w:val="22"/>
        </w:rPr>
      </w:pPr>
      <w:r w:rsidRPr="00B249CB">
        <w:rPr>
          <w:b/>
          <w:sz w:val="24"/>
          <w:szCs w:val="22"/>
          <w:bdr w:val="none" w:sz="0" w:space="0" w:color="auto" w:frame="1"/>
        </w:rPr>
        <w:t>Exceptions to FERPA</w:t>
      </w:r>
    </w:p>
    <w:p w14:paraId="4B38CC66" w14:textId="274ACEF3" w:rsidR="00BF0A14" w:rsidRPr="00B249CB" w:rsidRDefault="00BF0A14" w:rsidP="009047D5">
      <w:pPr>
        <w:pStyle w:val="15para"/>
      </w:pPr>
      <w:r w:rsidRPr="00B249CB">
        <w:t xml:space="preserve">FERPA contains </w:t>
      </w:r>
      <w:r w:rsidR="003B2294">
        <w:t>multiple</w:t>
      </w:r>
      <w:r w:rsidRPr="00B249CB">
        <w:t xml:space="preserve"> exceptions that allow schools to disclose PII from a student’s education record without consent of a parent or an eligible student. Schools may disclose de-identified information without written consent.</w:t>
      </w:r>
      <w:r w:rsidR="003B2294">
        <w:rPr>
          <w:rStyle w:val="FootnoteReference"/>
        </w:rPr>
        <w:footnoteReference w:id="18"/>
      </w:r>
      <w:r w:rsidR="003B2294">
        <w:rPr>
          <w:bdr w:val="none" w:sz="0" w:space="0" w:color="auto" w:frame="1"/>
        </w:rPr>
        <w:t xml:space="preserve"> </w:t>
      </w:r>
      <w:r w:rsidRPr="00B249CB">
        <w:t>In addition to disclosures to parents and eligible students, and for directory information, FERPA regulations identify the parties or circumstances in which disclosure of PII may be made without consent.</w:t>
      </w:r>
      <w:r w:rsidR="00503DE1">
        <w:rPr>
          <w:rStyle w:val="FootnoteReference"/>
        </w:rPr>
        <w:footnoteReference w:id="19"/>
      </w:r>
      <w:r w:rsidR="00503DE1">
        <w:t xml:space="preserve"> </w:t>
      </w:r>
      <w:r w:rsidRPr="00B249CB">
        <w:t>Historically, these exceptions have been narrowly construed by ED to err on the side of protecting the student’s privacy over making a disclosure. Thus, ED interpretations have resulted in a very narrow scope of circumstances and recipients for the release of education records without prior written consent by a parent or eligible student.</w:t>
      </w:r>
    </w:p>
    <w:p w14:paraId="5D065393" w14:textId="77777777" w:rsidR="00BF0A14" w:rsidRPr="00B249CB" w:rsidRDefault="00BF0A14" w:rsidP="009047D5">
      <w:pPr>
        <w:pStyle w:val="15para"/>
        <w:rPr>
          <w:i/>
          <w:iCs/>
          <w:bdr w:val="none" w:sz="0" w:space="0" w:color="auto" w:frame="1"/>
        </w:rPr>
      </w:pPr>
    </w:p>
    <w:p w14:paraId="44F921B6" w14:textId="77777777" w:rsidR="003D3257" w:rsidRPr="00B249CB" w:rsidRDefault="00BF0A14" w:rsidP="009047D5">
      <w:pPr>
        <w:pStyle w:val="15para"/>
        <w:rPr>
          <w:b/>
          <w:bdr w:val="none" w:sz="0" w:space="0" w:color="auto" w:frame="1"/>
        </w:rPr>
      </w:pPr>
      <w:r w:rsidRPr="00B249CB">
        <w:rPr>
          <w:b/>
          <w:bdr w:val="none" w:sz="0" w:space="0" w:color="auto" w:frame="1"/>
        </w:rPr>
        <w:t>School Officials</w:t>
      </w:r>
    </w:p>
    <w:p w14:paraId="56C1052B" w14:textId="2AF44D1D" w:rsidR="00BF0A14" w:rsidRPr="00B249CB" w:rsidRDefault="00BF0A14" w:rsidP="009047D5">
      <w:pPr>
        <w:pStyle w:val="15para"/>
      </w:pPr>
      <w:r w:rsidRPr="00B249CB">
        <w:t>Information may be given to school officials, including teachers, with a legitimate educational interest. A contractor, consultant, volunteer, or other party to which the school has outsourced activities may be considered a school official if the contractor, etc. is: (1) performing a function that a school employee would otherwise perform; (2) under the direct control of the school when using or maintaining the education records; and (3) subject to FERPA’s limitations on redisclosure of education records.</w:t>
      </w:r>
      <w:r w:rsidRPr="00B249CB">
        <w:rPr>
          <w:bdr w:val="none" w:sz="0" w:space="0" w:color="auto" w:frame="1"/>
          <w:vertAlign w:val="superscript"/>
        </w:rPr>
        <w:t>19, 20</w:t>
      </w:r>
      <w:r w:rsidRPr="00B249CB">
        <w:t> Schools must make a record of the requests for disclosure and each disclosure of PII it makes, as well as officials that may redisclose the information.</w:t>
      </w:r>
      <w:r w:rsidRPr="00B249CB">
        <w:rPr>
          <w:bdr w:val="none" w:sz="0" w:space="0" w:color="auto" w:frame="1"/>
          <w:vertAlign w:val="superscript"/>
        </w:rPr>
        <w:t>28</w:t>
      </w:r>
      <w:r w:rsidRPr="00B249CB">
        <w:t>  </w:t>
      </w:r>
    </w:p>
    <w:p w14:paraId="45F0297F" w14:textId="77777777" w:rsidR="00BF0A14" w:rsidRPr="00B249CB" w:rsidRDefault="00BF0A14" w:rsidP="009047D5">
      <w:pPr>
        <w:pStyle w:val="15para"/>
        <w:rPr>
          <w:i/>
          <w:iCs/>
          <w:bdr w:val="none" w:sz="0" w:space="0" w:color="auto" w:frame="1"/>
        </w:rPr>
      </w:pPr>
    </w:p>
    <w:p w14:paraId="399E0D44" w14:textId="77777777" w:rsidR="00C8476B" w:rsidRPr="00B249CB" w:rsidRDefault="00BF0A14" w:rsidP="009047D5">
      <w:pPr>
        <w:pStyle w:val="15para"/>
        <w:rPr>
          <w:b/>
          <w:bdr w:val="none" w:sz="0" w:space="0" w:color="auto" w:frame="1"/>
        </w:rPr>
      </w:pPr>
      <w:r w:rsidRPr="00B249CB">
        <w:rPr>
          <w:b/>
          <w:bdr w:val="none" w:sz="0" w:space="0" w:color="auto" w:frame="1"/>
        </w:rPr>
        <w:t>Specified Officials and Their Authorized Representatives</w:t>
      </w:r>
    </w:p>
    <w:p w14:paraId="2974D60A" w14:textId="3B6D1271" w:rsidR="00BF0A14" w:rsidRPr="00503DE1" w:rsidRDefault="00BF0A14" w:rsidP="009047D5">
      <w:pPr>
        <w:pStyle w:val="15para"/>
      </w:pPr>
      <w:r w:rsidRPr="00B249CB">
        <w:t xml:space="preserve">Disclosure without prior consent is permitted to </w:t>
      </w:r>
      <w:r w:rsidR="00D96FCD">
        <w:t>s</w:t>
      </w:r>
      <w:r w:rsidR="00D96FCD" w:rsidRPr="00D96FCD">
        <w:t>pecified officials and their authorized representatives</w:t>
      </w:r>
      <w:r w:rsidR="00D96FCD">
        <w:t xml:space="preserve">. The officials are: </w:t>
      </w:r>
      <w:r w:rsidR="00D96FCD" w:rsidRPr="00B249CB">
        <w:t>th</w:t>
      </w:r>
      <w:r w:rsidRPr="00B249CB">
        <w:t>e U.S. Comptroller General, the U.S. Attorney General, the ED Secretary, or state and local educational authorities.</w:t>
      </w:r>
      <w:r w:rsidRPr="00B249CB">
        <w:rPr>
          <w:bdr w:val="none" w:sz="0" w:space="0" w:color="auto" w:frame="1"/>
          <w:vertAlign w:val="superscript"/>
        </w:rPr>
        <w:t>19</w:t>
      </w:r>
      <w:r w:rsidR="00503DE1">
        <w:rPr>
          <w:bdr w:val="none" w:sz="0" w:space="0" w:color="auto" w:frame="1"/>
          <w:vertAlign w:val="superscript"/>
        </w:rPr>
        <w:t xml:space="preserve"> </w:t>
      </w:r>
      <w:r w:rsidRPr="00B249CB">
        <w:t xml:space="preserve">Disclosures to these officials—or their authorized representatives—must </w:t>
      </w:r>
      <w:r w:rsidRPr="00B249CB">
        <w:lastRenderedPageBreak/>
        <w:t>be made in connection with an audit or evaluation of federal or state-supported education programs or to enforce or comply with federal legal requirements related to those programs.</w:t>
      </w:r>
      <w:r w:rsidR="00503DE1">
        <w:rPr>
          <w:rStyle w:val="FootnoteReference"/>
        </w:rPr>
        <w:footnoteReference w:id="20"/>
      </w:r>
      <w:r w:rsidR="00503DE1">
        <w:rPr>
          <w:bdr w:val="none" w:sz="0" w:space="0" w:color="auto" w:frame="1"/>
        </w:rPr>
        <w:t xml:space="preserve"> </w:t>
      </w:r>
      <w:r w:rsidRPr="00B249CB">
        <w:t>FERPA’s regulations define an “authorized representative” as “any entity or individual designated by a state or local educational authority or agency headed by [</w:t>
      </w:r>
      <w:r w:rsidR="00D96FCD" w:rsidRPr="00B249CB">
        <w:t>the U.S. Comptroller General, the U.S. Attorney General, the ED Secretary, or state and local educational authorities</w:t>
      </w:r>
      <w:r w:rsidRPr="00B249CB">
        <w:t>].”</w:t>
      </w:r>
      <w:r w:rsidR="00503DE1">
        <w:rPr>
          <w:rStyle w:val="FootnoteReference"/>
        </w:rPr>
        <w:footnoteReference w:id="21"/>
      </w:r>
      <w:r w:rsidR="00503DE1">
        <w:rPr>
          <w:bdr w:val="none" w:sz="0" w:space="0" w:color="auto" w:frame="1"/>
        </w:rPr>
        <w:t xml:space="preserve"> </w:t>
      </w:r>
      <w:r w:rsidRPr="00B249CB">
        <w:t>Education records disclosed must be protected so that only the specified officials or their authorized representatives have access to PII, and the records must be destroyed when they are no longer needed for the purposes for which they were disclosed. However, these requirements can be waived if the parent or eligible student consents to the disclosure or if collection of PII is expressly authorized by federal law.</w:t>
      </w:r>
      <w:r w:rsidR="00503DE1">
        <w:rPr>
          <w:rStyle w:val="FootnoteReference"/>
        </w:rPr>
        <w:footnoteReference w:id="22"/>
      </w:r>
    </w:p>
    <w:p w14:paraId="0243FC80" w14:textId="77777777" w:rsidR="00BF0A14" w:rsidRPr="00B249CB" w:rsidRDefault="00BF0A14" w:rsidP="009047D5">
      <w:pPr>
        <w:pStyle w:val="15para"/>
      </w:pPr>
    </w:p>
    <w:p w14:paraId="053A7D31" w14:textId="26147B20" w:rsidR="00BF0A14" w:rsidRPr="00DC1AD5" w:rsidRDefault="00BF0A14" w:rsidP="009047D5">
      <w:pPr>
        <w:pStyle w:val="15para"/>
      </w:pPr>
      <w:r w:rsidRPr="00B249CB">
        <w:t xml:space="preserve">The “authorized representative” exception for disclosure without consent for audits, evaluations, or studies have been used in the past as a basis for creating memoranda of agreement (MOA) between state and local health and education agencies to share data. Even ED had </w:t>
      </w:r>
      <w:r w:rsidR="00025A31" w:rsidRPr="00B249CB">
        <w:t>a</w:t>
      </w:r>
      <w:r w:rsidRPr="00B249CB">
        <w:t xml:space="preserve"> MOA with the Centers for Disease Control and Prevention (CDC) in which ED designated the CDC as its authorized representative for the purposes of collecting information under the Metropolitan Atlanta Developmental Disabilities Surveillance Program.</w:t>
      </w:r>
      <w:r w:rsidR="00503DE1">
        <w:rPr>
          <w:rStyle w:val="FootnoteReference"/>
        </w:rPr>
        <w:footnoteReference w:id="23"/>
      </w:r>
      <w:r w:rsidR="00503DE1">
        <w:t xml:space="preserve"> </w:t>
      </w:r>
      <w:r w:rsidRPr="00B249CB">
        <w:t>However, ED guidance and amendments to FERPA regulations in 2008 ultimately narrowed the Department’s interpretation of the scope of “authorized representatives” to generally exclude other state and federal agencies because they were not under the “direct control” of the state educational authority.</w:t>
      </w:r>
      <w:r w:rsidR="00503DE1">
        <w:rPr>
          <w:rStyle w:val="FootnoteReference"/>
        </w:rPr>
        <w:footnoteReference w:id="24"/>
      </w:r>
      <w:r w:rsidR="00503DE1">
        <w:rPr>
          <w:bdr w:val="none" w:sz="0" w:space="0" w:color="auto" w:frame="1"/>
        </w:rPr>
        <w:t xml:space="preserve"> </w:t>
      </w:r>
      <w:r w:rsidR="00025A31">
        <w:rPr>
          <w:bdr w:val="none" w:sz="0" w:space="0" w:color="auto" w:frame="1"/>
        </w:rPr>
        <w:t>However, a</w:t>
      </w:r>
      <w:r w:rsidRPr="00B249CB">
        <w:t>mendments to the FERPA rules in December 2011 allowed non-education agencies to again serve as authorized representatives under FERPA for audits, evaluations, or studies related to educational programs.</w:t>
      </w:r>
      <w:r w:rsidR="00025A31">
        <w:rPr>
          <w:rStyle w:val="FootnoteReference"/>
        </w:rPr>
        <w:footnoteReference w:id="25"/>
      </w:r>
      <w:r w:rsidRPr="00B249CB">
        <w:t xml:space="preserve"> The revised rules also require that state or local educational authorities use “reasonable methods” to ensure that their authorized representatives comply with FERPA and that education authorities enter into written agreements with their representatives </w:t>
      </w:r>
      <w:r w:rsidRPr="00B249CB">
        <w:lastRenderedPageBreak/>
        <w:t>specifying the information disclosed and the handling of the information to protect PII. ED has issued guidance addressing the “reasonable methods” and written agreement requirements.</w:t>
      </w:r>
      <w:r w:rsidR="00DC1AD5">
        <w:rPr>
          <w:rStyle w:val="FootnoteReference"/>
        </w:rPr>
        <w:footnoteReference w:id="26"/>
      </w:r>
    </w:p>
    <w:p w14:paraId="2FE1673E" w14:textId="77777777" w:rsidR="00BF0A14" w:rsidRPr="00B249CB" w:rsidRDefault="00BF0A14" w:rsidP="009047D5">
      <w:pPr>
        <w:pStyle w:val="15para"/>
        <w:rPr>
          <w:i/>
          <w:iCs/>
          <w:bdr w:val="none" w:sz="0" w:space="0" w:color="auto" w:frame="1"/>
        </w:rPr>
      </w:pPr>
    </w:p>
    <w:p w14:paraId="23CA8C28" w14:textId="77777777" w:rsidR="004102C2" w:rsidRPr="00B249CB" w:rsidRDefault="00BF0A14" w:rsidP="009047D5">
      <w:pPr>
        <w:pStyle w:val="15para"/>
        <w:rPr>
          <w:b/>
          <w:bdr w:val="none" w:sz="0" w:space="0" w:color="auto" w:frame="1"/>
        </w:rPr>
      </w:pPr>
      <w:r w:rsidRPr="00B249CB">
        <w:rPr>
          <w:b/>
          <w:bdr w:val="none" w:sz="0" w:space="0" w:color="auto" w:frame="1"/>
        </w:rPr>
        <w:t>Health and Safety Emergencies</w:t>
      </w:r>
    </w:p>
    <w:p w14:paraId="754286F5" w14:textId="5AF0983D" w:rsidR="00BF0A14" w:rsidRPr="00676392" w:rsidRDefault="00BF0A14" w:rsidP="009047D5">
      <w:pPr>
        <w:pStyle w:val="15para"/>
      </w:pPr>
      <w:r w:rsidRPr="00B249CB">
        <w:t>A school may disclose PII from education records in connection with an emergency if the “information is necessary to protect the health or safety of the student or other individuals.”</w:t>
      </w:r>
      <w:r w:rsidR="00A54DD6">
        <w:rPr>
          <w:rStyle w:val="FootnoteReference"/>
        </w:rPr>
        <w:footnoteReference w:id="27"/>
      </w:r>
      <w:r w:rsidR="00A54DD6">
        <w:t xml:space="preserve"> </w:t>
      </w:r>
      <w:r w:rsidRPr="00B249CB">
        <w:t>Information may be disclosed to “appropriate parties,” which include the parents of an eligible student, as well as parties like law enforcement, public health officials, and trained medical personnel.</w:t>
      </w:r>
      <w:r w:rsidR="00290619">
        <w:rPr>
          <w:rStyle w:val="FootnoteReference"/>
        </w:rPr>
        <w:footnoteReference w:id="28"/>
      </w:r>
      <w:r w:rsidR="00290619">
        <w:rPr>
          <w:bdr w:val="none" w:sz="0" w:space="0" w:color="auto" w:frame="1"/>
        </w:rPr>
        <w:t xml:space="preserve"> </w:t>
      </w:r>
      <w:r w:rsidRPr="00B249CB">
        <w:t xml:space="preserve">In determining whether to make a disclosure for a health or safety emergency, a school “may take into account the totality of the circumstances pertaining to a threat to the health or safety of a student or other individuals.” If the school determines that there is an “articulable and significant threat” the school may disclose information necessary to protect the health or safety of the student or other individuals. ED will defer to the judgment of the school in </w:t>
      </w:r>
      <w:proofErr w:type="gramStart"/>
      <w:r w:rsidRPr="00B249CB">
        <w:t>making a determination</w:t>
      </w:r>
      <w:proofErr w:type="gramEnd"/>
      <w:r w:rsidRPr="00B249CB">
        <w:t xml:space="preserve"> that, based on the information available at the time, there was a rational basis for the determination. </w:t>
      </w:r>
      <w:r w:rsidR="00951B3C">
        <w:t>L</w:t>
      </w:r>
      <w:r w:rsidRPr="00B249CB">
        <w:t>imitations on the health and safety emergencies exception do not prevent a school from including appropriate information about a student’s disciplinary record in the education record or sharing the disciplinary information with teachers and school officials with a legitimate educational interest in the behavior of the student.</w:t>
      </w:r>
      <w:r w:rsidR="00676392">
        <w:rPr>
          <w:rStyle w:val="FootnoteReference"/>
        </w:rPr>
        <w:footnoteReference w:id="29"/>
      </w:r>
      <w:r w:rsidR="00676392">
        <w:rPr>
          <w:bdr w:val="none" w:sz="0" w:space="0" w:color="auto" w:frame="1"/>
        </w:rPr>
        <w:t xml:space="preserve"> </w:t>
      </w:r>
      <w:r w:rsidRPr="00B249CB">
        <w:t>School officials are required to make a record of the PII disclosed under the health and safety emergency exception that identifies the threat that gave rise to the disclosure, the parties the information was disclosed to, and the information disclosed.</w:t>
      </w:r>
      <w:r w:rsidR="00676392">
        <w:rPr>
          <w:rStyle w:val="FootnoteReference"/>
        </w:rPr>
        <w:footnoteReference w:id="30"/>
      </w:r>
    </w:p>
    <w:p w14:paraId="144066F8" w14:textId="77777777" w:rsidR="00BF0A14" w:rsidRPr="00B249CB" w:rsidRDefault="00BF0A14" w:rsidP="009047D5">
      <w:pPr>
        <w:pStyle w:val="15para"/>
      </w:pPr>
    </w:p>
    <w:p w14:paraId="05BB0101" w14:textId="56E6E08A" w:rsidR="00BF0A14" w:rsidRPr="00676392" w:rsidRDefault="00BF0A14" w:rsidP="009047D5">
      <w:pPr>
        <w:pStyle w:val="15para"/>
      </w:pPr>
      <w:r w:rsidRPr="00B249CB">
        <w:t xml:space="preserve">The health and safety exception has traditionally been narrowly construed by ED. Agency guidance states that an “emergency” under FERPA means “a situation in which there is an articulable and significant threat to the health or safety of students or other individuals.” However, an “emergency does not include the threat of a possible or eventual emergency for which the likelihood of occurrence is </w:t>
      </w:r>
      <w:r w:rsidRPr="00B249CB">
        <w:lastRenderedPageBreak/>
        <w:t>unknown.”</w:t>
      </w:r>
      <w:r w:rsidR="00676392">
        <w:rPr>
          <w:rStyle w:val="FootnoteReference"/>
        </w:rPr>
        <w:footnoteReference w:id="31"/>
      </w:r>
      <w:r w:rsidR="00676392">
        <w:rPr>
          <w:bdr w:val="none" w:sz="0" w:space="0" w:color="auto" w:frame="1"/>
        </w:rPr>
        <w:t xml:space="preserve"> </w:t>
      </w:r>
      <w:r w:rsidRPr="00B249CB">
        <w:t>In response to a university regarding potential conflicts between state notifiable diseases and conditions reporting requirements and FERPA, FPCO determined, among other things, that for those conditions the state health regulations require immediate reporting on an emergency basis would fall under the FERPA health and safety emergency exception. For conditions that did not require emergency reporting, the disclosure of PII in these circumstances would not meet the imminent threat requirement, so consent was required.</w:t>
      </w:r>
      <w:r w:rsidR="00676392">
        <w:rPr>
          <w:rStyle w:val="FootnoteReference"/>
        </w:rPr>
        <w:footnoteReference w:id="32"/>
      </w:r>
    </w:p>
    <w:p w14:paraId="72222CB9" w14:textId="77777777" w:rsidR="00BF0A14" w:rsidRPr="00B249CB" w:rsidRDefault="00BF0A14" w:rsidP="009047D5">
      <w:pPr>
        <w:pStyle w:val="15para"/>
        <w:rPr>
          <w:i/>
          <w:iCs/>
          <w:bdr w:val="none" w:sz="0" w:space="0" w:color="auto" w:frame="1"/>
        </w:rPr>
      </w:pPr>
    </w:p>
    <w:p w14:paraId="6AE26F55" w14:textId="77777777" w:rsidR="00662A97" w:rsidRPr="00B249CB" w:rsidRDefault="00BF0A14" w:rsidP="009047D5">
      <w:pPr>
        <w:pStyle w:val="15para"/>
        <w:rPr>
          <w:b/>
          <w:bdr w:val="none" w:sz="0" w:space="0" w:color="auto" w:frame="1"/>
        </w:rPr>
      </w:pPr>
      <w:r w:rsidRPr="00B249CB">
        <w:rPr>
          <w:b/>
          <w:bdr w:val="none" w:sz="0" w:space="0" w:color="auto" w:frame="1"/>
        </w:rPr>
        <w:t>Studies on Behalf of the School</w:t>
      </w:r>
    </w:p>
    <w:p w14:paraId="241A993D" w14:textId="55626072" w:rsidR="00BF0A14" w:rsidRPr="00B249CB" w:rsidRDefault="00BF0A14" w:rsidP="009047D5">
      <w:pPr>
        <w:pStyle w:val="15para"/>
      </w:pPr>
      <w:r w:rsidRPr="00B249CB">
        <w:t>Disclosures without consent may be made to organizations conducting certain studies for or on behalf of the school. “Organization” is defined to include “federal, state, and local agencies, and independent organizations.” These studies must relate to: (1) developing, validating, or administering predictive tests; (2) administering student aid programs; or (3) improving instruction. Education records disclosed must be protected so that only representatives of the organization have access to PII and the records must be destroyed when no longer needed for the purposes for which the study was conducted. The school must have a written agreement with the organization conducting the study that specifies the purpose and scope of the study and the information to be disclosed.</w:t>
      </w:r>
      <w:r w:rsidR="00676392">
        <w:rPr>
          <w:rStyle w:val="FootnoteReference"/>
        </w:rPr>
        <w:footnoteReference w:id="33"/>
      </w:r>
      <w:r w:rsidR="00676392" w:rsidRPr="00676392">
        <w:t xml:space="preserve"> </w:t>
      </w:r>
      <w:r w:rsidRPr="00B249CB">
        <w:t>The agreement must also address the organization’s protection of personally identifiable information and ultimate destruction of PII upon completion of the study.</w:t>
      </w:r>
      <w:r w:rsidR="00676392">
        <w:rPr>
          <w:rStyle w:val="FootnoteReference"/>
        </w:rPr>
        <w:footnoteReference w:id="34"/>
      </w:r>
      <w:r w:rsidR="00676392">
        <w:t xml:space="preserve"> </w:t>
      </w:r>
      <w:r w:rsidRPr="00B249CB">
        <w:t xml:space="preserve">FERPA regulations </w:t>
      </w:r>
      <w:r w:rsidR="00951B3C">
        <w:t>note</w:t>
      </w:r>
      <w:r w:rsidRPr="00B249CB">
        <w:t xml:space="preserve"> that state education agencies are allowed to make nonconsensual disclosures of PII for studies in the same way schools and other education officials are.</w:t>
      </w:r>
      <w:r w:rsidR="00AF61E5">
        <w:rPr>
          <w:rStyle w:val="FootnoteReference"/>
        </w:rPr>
        <w:footnoteReference w:id="35"/>
      </w:r>
      <w:r w:rsidRPr="00B249CB">
        <w:t xml:space="preserve"> Previous interpretations of the rules did not allow state education agencies to make disclosures for studies without consent</w:t>
      </w:r>
      <w:r w:rsidR="00676392">
        <w:t>.</w:t>
      </w:r>
      <w:r w:rsidR="00676392">
        <w:rPr>
          <w:rStyle w:val="FootnoteReference"/>
        </w:rPr>
        <w:footnoteReference w:id="36"/>
      </w:r>
    </w:p>
    <w:p w14:paraId="2B757F85" w14:textId="77777777" w:rsidR="00BF0A14" w:rsidRPr="00B249CB" w:rsidRDefault="00BF0A14" w:rsidP="009047D5">
      <w:pPr>
        <w:pStyle w:val="15para"/>
        <w:rPr>
          <w:i/>
          <w:iCs/>
          <w:bdr w:val="none" w:sz="0" w:space="0" w:color="auto" w:frame="1"/>
        </w:rPr>
      </w:pPr>
    </w:p>
    <w:p w14:paraId="39F6A806" w14:textId="77777777" w:rsidR="00662A97" w:rsidRPr="00B249CB" w:rsidRDefault="00BF0A14" w:rsidP="001E6629">
      <w:pPr>
        <w:pStyle w:val="15para"/>
        <w:keepNext/>
        <w:rPr>
          <w:b/>
          <w:bdr w:val="none" w:sz="0" w:space="0" w:color="auto" w:frame="1"/>
        </w:rPr>
      </w:pPr>
      <w:r w:rsidRPr="00B249CB">
        <w:rPr>
          <w:b/>
          <w:bdr w:val="none" w:sz="0" w:space="0" w:color="auto" w:frame="1"/>
        </w:rPr>
        <w:lastRenderedPageBreak/>
        <w:t>Ju</w:t>
      </w:r>
      <w:bookmarkStart w:id="2" w:name="_GoBack"/>
      <w:bookmarkEnd w:id="2"/>
      <w:r w:rsidRPr="00B249CB">
        <w:rPr>
          <w:b/>
          <w:bdr w:val="none" w:sz="0" w:space="0" w:color="auto" w:frame="1"/>
        </w:rPr>
        <w:t>dicial Actions</w:t>
      </w:r>
    </w:p>
    <w:p w14:paraId="55A9DA4C" w14:textId="17B69E7C" w:rsidR="00BF0A14" w:rsidRPr="0035120A" w:rsidRDefault="00BF0A14" w:rsidP="009047D5">
      <w:pPr>
        <w:pStyle w:val="15para"/>
      </w:pPr>
      <w:r w:rsidRPr="00B249CB">
        <w:t>Schools may disclose education records without consent to comply with a judicial order or lawfully issued subpoena. However, the school must make a reasonable effort to notify the parent or eligible student of the order/subpoena before the school complies with it to allow the parent or eligible student time to seek “protective action.” Schools are not required to give advance notice of a disclosure due to judicial action if the disclosure is being made in compliance with: (1) a federal grand jury subpoena for which the court has ordered that the existence or contents of the subpoena not be disclosed; (2) any other subpoena for which the court has ordered that the existence or contents of the subpoena not be disclosed; or (3) an ex parte court order obtained by the U.S. Attorney General or Assistant Attorney General concerning investigations or prosecutions related to an act of domestic or international terrorism. If a school initiates legal action against a parent or student, or if the school is sued by a parent or student, the school may disclose education records relevant to the matter to the court without a court order or subpoena.</w:t>
      </w:r>
      <w:r w:rsidR="0035120A">
        <w:rPr>
          <w:rStyle w:val="FootnoteReference"/>
        </w:rPr>
        <w:footnoteReference w:id="37"/>
      </w:r>
    </w:p>
    <w:p w14:paraId="70286C4C" w14:textId="77777777" w:rsidR="00BF0A14" w:rsidRPr="00B249CB" w:rsidRDefault="00BF0A14" w:rsidP="009047D5">
      <w:pPr>
        <w:pStyle w:val="15para"/>
        <w:rPr>
          <w:i/>
          <w:iCs/>
          <w:bdr w:val="none" w:sz="0" w:space="0" w:color="auto" w:frame="1"/>
        </w:rPr>
      </w:pPr>
    </w:p>
    <w:p w14:paraId="31681643" w14:textId="77777777" w:rsidR="00700B8C" w:rsidRPr="00B249CB" w:rsidRDefault="00BF0A14" w:rsidP="009047D5">
      <w:pPr>
        <w:pStyle w:val="15para"/>
        <w:rPr>
          <w:b/>
          <w:bdr w:val="none" w:sz="0" w:space="0" w:color="auto" w:frame="1"/>
        </w:rPr>
      </w:pPr>
      <w:r w:rsidRPr="00B249CB">
        <w:rPr>
          <w:b/>
          <w:bdr w:val="none" w:sz="0" w:space="0" w:color="auto" w:frame="1"/>
        </w:rPr>
        <w:t>Transferring Schools</w:t>
      </w:r>
    </w:p>
    <w:p w14:paraId="59CFA5E1" w14:textId="4E8D4C04" w:rsidR="00BF0A14" w:rsidRPr="0061496C" w:rsidRDefault="00BF0A14" w:rsidP="009047D5">
      <w:pPr>
        <w:pStyle w:val="15para"/>
      </w:pPr>
      <w:r w:rsidRPr="00B249CB">
        <w:t>A school may disclose a student’s education records to another school, school system, or education institution (e.g., college) to which the student is already enrolled or intends to enroll or transfer.</w:t>
      </w:r>
      <w:r w:rsidR="0035120A">
        <w:rPr>
          <w:rStyle w:val="FootnoteReference"/>
        </w:rPr>
        <w:footnoteReference w:id="38"/>
      </w:r>
      <w:r w:rsidR="0035120A">
        <w:rPr>
          <w:bdr w:val="none" w:sz="0" w:space="0" w:color="auto" w:frame="1"/>
        </w:rPr>
        <w:t xml:space="preserve"> </w:t>
      </w:r>
      <w:r w:rsidRPr="00B249CB">
        <w:t>Provisions in the No Child Left Behind Act of 2001 require states to assure ED that there are procedures in place to facilitate the transfer of disciplinary records regarding suspension or expulsion of a student enrolling or transferring to a public or private elementary or secondary school.</w:t>
      </w:r>
      <w:r w:rsidR="0035120A">
        <w:rPr>
          <w:rStyle w:val="FootnoteReference"/>
        </w:rPr>
        <w:footnoteReference w:id="39"/>
      </w:r>
      <w:r w:rsidR="0035120A">
        <w:t xml:space="preserve"> </w:t>
      </w:r>
      <w:r w:rsidRPr="00B249CB">
        <w:t>A school must attempt to notify the parents or student of the disclosure, give them a copy of the education record if requested, and give them the opportunity for a hearing if requested.</w:t>
      </w:r>
      <w:r w:rsidR="0061496C">
        <w:rPr>
          <w:rStyle w:val="FootnoteReference"/>
        </w:rPr>
        <w:footnoteReference w:id="40"/>
      </w:r>
    </w:p>
    <w:p w14:paraId="0E1B95C3" w14:textId="77777777" w:rsidR="00BF0A14" w:rsidRPr="00B249CB" w:rsidRDefault="00BF0A14" w:rsidP="009047D5">
      <w:pPr>
        <w:pStyle w:val="15para"/>
        <w:rPr>
          <w:i/>
          <w:iCs/>
          <w:bdr w:val="none" w:sz="0" w:space="0" w:color="auto" w:frame="1"/>
        </w:rPr>
      </w:pPr>
    </w:p>
    <w:p w14:paraId="45127368" w14:textId="77777777" w:rsidR="00700B8C" w:rsidRPr="00B249CB" w:rsidRDefault="00BF0A14" w:rsidP="009047D5">
      <w:pPr>
        <w:pStyle w:val="15para"/>
        <w:rPr>
          <w:b/>
          <w:bdr w:val="none" w:sz="0" w:space="0" w:color="auto" w:frame="1"/>
        </w:rPr>
      </w:pPr>
      <w:r w:rsidRPr="00B249CB">
        <w:rPr>
          <w:b/>
          <w:bdr w:val="none" w:sz="0" w:space="0" w:color="auto" w:frame="1"/>
        </w:rPr>
        <w:t>Financial Aid</w:t>
      </w:r>
    </w:p>
    <w:p w14:paraId="534D1854" w14:textId="0599AC64" w:rsidR="00BF0A14" w:rsidRPr="0061496C" w:rsidRDefault="00BF0A14" w:rsidP="009047D5">
      <w:pPr>
        <w:pStyle w:val="15para"/>
      </w:pPr>
      <w:r w:rsidRPr="00B249CB">
        <w:t>A school may disclose a student’s education record to appropriate parties if the disclosure is made in connection with the student’s application for or receipt of financial aid.</w:t>
      </w:r>
      <w:r w:rsidR="0061496C">
        <w:t xml:space="preserve"> </w:t>
      </w:r>
      <w:r w:rsidRPr="00B249CB">
        <w:t>The disclosure may be made without the student’s consent if the information is necessary to determine eligibility, amount, and conditions of financial aid or to enforce the terms and conditions of the aid.</w:t>
      </w:r>
      <w:r w:rsidR="0061496C">
        <w:rPr>
          <w:rStyle w:val="FootnoteReference"/>
        </w:rPr>
        <w:footnoteReference w:id="41"/>
      </w:r>
    </w:p>
    <w:p w14:paraId="4FAB3B16" w14:textId="77777777" w:rsidR="00BF0A14" w:rsidRPr="00B249CB" w:rsidRDefault="00BF0A14" w:rsidP="009047D5">
      <w:pPr>
        <w:pStyle w:val="15para"/>
        <w:rPr>
          <w:i/>
          <w:iCs/>
          <w:bdr w:val="none" w:sz="0" w:space="0" w:color="auto" w:frame="1"/>
        </w:rPr>
      </w:pPr>
    </w:p>
    <w:p w14:paraId="6126305D" w14:textId="77777777" w:rsidR="00700B8C" w:rsidRPr="00B249CB" w:rsidRDefault="00BF0A14" w:rsidP="009047D5">
      <w:pPr>
        <w:pStyle w:val="15para"/>
        <w:rPr>
          <w:b/>
          <w:bdr w:val="none" w:sz="0" w:space="0" w:color="auto" w:frame="1"/>
        </w:rPr>
      </w:pPr>
      <w:r w:rsidRPr="00B249CB">
        <w:rPr>
          <w:b/>
          <w:bdr w:val="none" w:sz="0" w:space="0" w:color="auto" w:frame="1"/>
        </w:rPr>
        <w:t>Accrediting Organizations</w:t>
      </w:r>
    </w:p>
    <w:p w14:paraId="77069C65" w14:textId="032AAAA9" w:rsidR="00BF0A14" w:rsidRPr="0061496C" w:rsidRDefault="00BF0A14" w:rsidP="009047D5">
      <w:pPr>
        <w:pStyle w:val="15para"/>
      </w:pPr>
      <w:r w:rsidRPr="00B249CB">
        <w:t>Disclosures may be made without consent to accrediting organizations.</w:t>
      </w:r>
      <w:r w:rsidR="0061496C">
        <w:rPr>
          <w:rStyle w:val="FootnoteReference"/>
        </w:rPr>
        <w:footnoteReference w:id="42"/>
      </w:r>
    </w:p>
    <w:p w14:paraId="53AAD3FD" w14:textId="77777777" w:rsidR="00BF0A14" w:rsidRPr="00B249CB" w:rsidRDefault="00BF0A14" w:rsidP="009047D5">
      <w:pPr>
        <w:pStyle w:val="15para"/>
        <w:rPr>
          <w:i/>
          <w:iCs/>
          <w:bdr w:val="none" w:sz="0" w:space="0" w:color="auto" w:frame="1"/>
        </w:rPr>
      </w:pPr>
    </w:p>
    <w:p w14:paraId="15BE142E" w14:textId="77777777" w:rsidR="00700B8C" w:rsidRPr="00B249CB" w:rsidRDefault="00BF0A14" w:rsidP="009047D5">
      <w:pPr>
        <w:pStyle w:val="15para"/>
        <w:rPr>
          <w:b/>
          <w:bdr w:val="none" w:sz="0" w:space="0" w:color="auto" w:frame="1"/>
        </w:rPr>
      </w:pPr>
      <w:r w:rsidRPr="00B249CB">
        <w:rPr>
          <w:b/>
          <w:bdr w:val="none" w:sz="0" w:space="0" w:color="auto" w:frame="1"/>
        </w:rPr>
        <w:t>Juvenile Justice Authorities</w:t>
      </w:r>
    </w:p>
    <w:p w14:paraId="5B937025" w14:textId="2FC9BAD6" w:rsidR="00BF0A14" w:rsidRPr="00B249CB" w:rsidRDefault="00BF0A14" w:rsidP="009047D5">
      <w:pPr>
        <w:pStyle w:val="15para"/>
      </w:pPr>
      <w:r w:rsidRPr="00B249CB">
        <w:t>Schools can disclose education records to state and local authorities within a juvenile justice system pursuant to specific state laws.</w:t>
      </w:r>
      <w:r w:rsidR="0061496C">
        <w:rPr>
          <w:rStyle w:val="FootnoteReference"/>
        </w:rPr>
        <w:footnoteReference w:id="43"/>
      </w:r>
    </w:p>
    <w:p w14:paraId="7B70E5C0" w14:textId="77777777" w:rsidR="00BF0A14" w:rsidRPr="00B249CB" w:rsidRDefault="00BF0A14" w:rsidP="009047D5">
      <w:pPr>
        <w:pStyle w:val="15para"/>
        <w:rPr>
          <w:i/>
          <w:iCs/>
          <w:bdr w:val="none" w:sz="0" w:space="0" w:color="auto" w:frame="1"/>
        </w:rPr>
      </w:pPr>
    </w:p>
    <w:p w14:paraId="352ADFF3" w14:textId="77777777" w:rsidR="00BF0A14" w:rsidRPr="00B249CB" w:rsidRDefault="00BF0A14" w:rsidP="0061496C">
      <w:pPr>
        <w:pStyle w:val="15para"/>
        <w:keepNext/>
        <w:rPr>
          <w:b/>
          <w:sz w:val="24"/>
          <w:szCs w:val="22"/>
        </w:rPr>
      </w:pPr>
      <w:r w:rsidRPr="00B249CB">
        <w:rPr>
          <w:b/>
          <w:sz w:val="24"/>
          <w:szCs w:val="22"/>
          <w:bdr w:val="none" w:sz="0" w:space="0" w:color="auto" w:frame="1"/>
        </w:rPr>
        <w:t>FERPA Liability and Enforcement</w:t>
      </w:r>
    </w:p>
    <w:p w14:paraId="48DE4804" w14:textId="6BC3F7B4" w:rsidR="00BF0A14" w:rsidRPr="0061496C" w:rsidRDefault="00BF0A14" w:rsidP="009047D5">
      <w:pPr>
        <w:pStyle w:val="15para"/>
      </w:pPr>
      <w:r w:rsidRPr="00B249CB">
        <w:t>FERPA and its implementing regulations do not address any liability or immunity issues.</w:t>
      </w:r>
      <w:r w:rsidR="0061496C">
        <w:rPr>
          <w:rStyle w:val="FootnoteReference"/>
        </w:rPr>
        <w:footnoteReference w:id="44"/>
      </w:r>
      <w:r w:rsidR="0061496C">
        <w:t xml:space="preserve"> </w:t>
      </w:r>
      <w:r w:rsidRPr="00B249CB">
        <w:t>There is no private cause of action in FERPA; individual parents or students may not bring a lawsuit to enforce the act’s provisions</w:t>
      </w:r>
      <w:r w:rsidR="00AF61E5">
        <w:t xml:space="preserve">. A parent or eligible student may request that </w:t>
      </w:r>
      <w:r w:rsidR="0045114E">
        <w:t>an educational institution/agency</w:t>
      </w:r>
      <w:r w:rsidR="00AF61E5">
        <w:t xml:space="preserve"> amend the </w:t>
      </w:r>
      <w:r w:rsidR="0045114E">
        <w:t xml:space="preserve">student’s </w:t>
      </w:r>
      <w:r w:rsidR="00AF61E5">
        <w:t xml:space="preserve">educational records </w:t>
      </w:r>
      <w:r w:rsidR="0045114E">
        <w:t>o</w:t>
      </w:r>
      <w:r w:rsidR="00AF61E5" w:rsidRPr="00AF61E5">
        <w:t xml:space="preserve">n the grounds that the information </w:t>
      </w:r>
      <w:r w:rsidR="0045114E">
        <w:t>in the records is “</w:t>
      </w:r>
      <w:r w:rsidR="00AF61E5" w:rsidRPr="00AF61E5">
        <w:t>inaccurate, misleading, or in violation of the privacy rights of the student.</w:t>
      </w:r>
      <w:r w:rsidR="0045114E">
        <w:t>”</w:t>
      </w:r>
      <w:r w:rsidR="0045114E">
        <w:rPr>
          <w:rStyle w:val="FootnoteReference"/>
        </w:rPr>
        <w:footnoteReference w:id="45"/>
      </w:r>
      <w:r w:rsidRPr="00B249CB">
        <w:t xml:space="preserve"> </w:t>
      </w:r>
      <w:r w:rsidR="0045114E">
        <w:t>If the educational institution/agency declines to amend the records, the parent or eligible student has the right to request a hearing with the educational institution/agency</w:t>
      </w:r>
      <w:r w:rsidRPr="00B249CB">
        <w:t>.</w:t>
      </w:r>
      <w:r w:rsidR="0045114E">
        <w:rPr>
          <w:rStyle w:val="FootnoteReference"/>
        </w:rPr>
        <w:footnoteReference w:id="46"/>
      </w:r>
      <w:r w:rsidRPr="00B249CB">
        <w:t xml:space="preserve"> </w:t>
      </w:r>
      <w:r w:rsidR="0045114E">
        <w:t>If after a hearing the educational institution/agency declines to amend the student’s records, the parent or eligible student has a “</w:t>
      </w:r>
      <w:r w:rsidR="0045114E" w:rsidRPr="0045114E">
        <w:t>right to place a statement in the record commenting on the contested information in the record or stating why he or she disagrees with the decision of the agency or institution, or bot</w:t>
      </w:r>
      <w:r w:rsidR="0045114E">
        <w:t>h.”</w:t>
      </w:r>
      <w:r w:rsidR="0045114E">
        <w:rPr>
          <w:rStyle w:val="FootnoteReference"/>
        </w:rPr>
        <w:footnoteReference w:id="47"/>
      </w:r>
      <w:r w:rsidR="0045114E">
        <w:t xml:space="preserve"> P</w:t>
      </w:r>
      <w:r w:rsidRPr="00B249CB">
        <w:t>ersons who believe their rights under FERPA have been violated may file a complaint with the ED’s Family Policy Compliance Office (FPCO), which investigates the complaint.</w:t>
      </w:r>
      <w:r w:rsidR="0045114E">
        <w:rPr>
          <w:rStyle w:val="FootnoteReference"/>
        </w:rPr>
        <w:footnoteReference w:id="48"/>
      </w:r>
      <w:r w:rsidRPr="00B249CB">
        <w:t xml:space="preserve"> FPCO is authorized to, among other things, revoke funding for institutions found in violation of FERPA and its regulations.</w:t>
      </w:r>
      <w:r w:rsidR="0061496C">
        <w:rPr>
          <w:rStyle w:val="FootnoteReference"/>
        </w:rPr>
        <w:footnoteReference w:id="49"/>
      </w:r>
      <w:r w:rsidR="0061496C">
        <w:t xml:space="preserve"> </w:t>
      </w:r>
      <w:r w:rsidRPr="00B249CB">
        <w:t>FPCO is also authorized to bar education entities or agencies and other recipients of PII that violate FERPA regulations from receiving PII for five years after a violation.</w:t>
      </w:r>
      <w:r w:rsidR="0061496C">
        <w:rPr>
          <w:rStyle w:val="FootnoteReference"/>
        </w:rPr>
        <w:footnoteReference w:id="50"/>
      </w:r>
      <w:r w:rsidR="0061496C">
        <w:t xml:space="preserve"> </w:t>
      </w:r>
    </w:p>
    <w:p w14:paraId="127D9A05" w14:textId="77777777" w:rsidR="00BF0A14" w:rsidRPr="00857C7C" w:rsidRDefault="00BF0A14" w:rsidP="009047D5">
      <w:pPr>
        <w:pStyle w:val="15para"/>
        <w:rPr>
          <w:bdr w:val="none" w:sz="0" w:space="0" w:color="auto" w:frame="1"/>
        </w:rPr>
      </w:pPr>
    </w:p>
    <w:p w14:paraId="778A801D" w14:textId="77777777" w:rsidR="00BF0A14" w:rsidRPr="00B249CB" w:rsidRDefault="00BF0A14" w:rsidP="00FF08EE">
      <w:pPr>
        <w:pStyle w:val="15para"/>
        <w:keepNext/>
        <w:rPr>
          <w:b/>
          <w:sz w:val="24"/>
          <w:szCs w:val="22"/>
        </w:rPr>
      </w:pPr>
      <w:r w:rsidRPr="00B249CB">
        <w:rPr>
          <w:b/>
          <w:sz w:val="24"/>
          <w:szCs w:val="22"/>
          <w:bdr w:val="none" w:sz="0" w:space="0" w:color="auto" w:frame="1"/>
        </w:rPr>
        <w:lastRenderedPageBreak/>
        <w:t>FERPA and State Laws</w:t>
      </w:r>
    </w:p>
    <w:p w14:paraId="6CAE31E9" w14:textId="71BD9D78" w:rsidR="00417EEC" w:rsidRDefault="00417EEC" w:rsidP="009047D5">
      <w:pPr>
        <w:pStyle w:val="15para"/>
      </w:pPr>
    </w:p>
    <w:p w14:paraId="4D5E2216" w14:textId="77777777" w:rsidR="00FF08EE" w:rsidRDefault="00891948" w:rsidP="00891948">
      <w:pPr>
        <w:pStyle w:val="15para"/>
        <w:jc w:val="center"/>
        <w:rPr>
          <w:i/>
          <w:iCs/>
          <w:highlight w:val="yellow"/>
        </w:rPr>
      </w:pPr>
      <w:r w:rsidRPr="00FF08EE">
        <w:rPr>
          <w:i/>
          <w:iCs/>
          <w:highlight w:val="yellow"/>
        </w:rPr>
        <w:t>[</w:t>
      </w:r>
      <w:r w:rsidR="00FF08EE" w:rsidRPr="00FF08EE">
        <w:rPr>
          <w:b/>
          <w:bCs/>
          <w:i/>
          <w:iCs/>
          <w:highlight w:val="yellow"/>
        </w:rPr>
        <w:t xml:space="preserve">PE </w:t>
      </w:r>
      <w:r w:rsidRPr="00FF08EE">
        <w:rPr>
          <w:b/>
          <w:bCs/>
          <w:i/>
          <w:iCs/>
          <w:highlight w:val="yellow"/>
        </w:rPr>
        <w:t>Note</w:t>
      </w:r>
      <w:r w:rsidRPr="00FF08EE">
        <w:rPr>
          <w:i/>
          <w:iCs/>
          <w:highlight w:val="yellow"/>
        </w:rPr>
        <w:t xml:space="preserve">: </w:t>
      </w:r>
      <w:r w:rsidR="00FF08EE">
        <w:rPr>
          <w:i/>
          <w:iCs/>
          <w:highlight w:val="yellow"/>
        </w:rPr>
        <w:t>I’m still n</w:t>
      </w:r>
      <w:r w:rsidR="00FF08EE" w:rsidRPr="00FF08EE">
        <w:rPr>
          <w:i/>
          <w:iCs/>
          <w:highlight w:val="yellow"/>
        </w:rPr>
        <w:t xml:space="preserve">ot happy with the </w:t>
      </w:r>
      <w:r w:rsidR="00FF08EE">
        <w:rPr>
          <w:i/>
          <w:iCs/>
          <w:highlight w:val="yellow"/>
        </w:rPr>
        <w:t xml:space="preserve">draft </w:t>
      </w:r>
      <w:r w:rsidR="00FF08EE" w:rsidRPr="00FF08EE">
        <w:rPr>
          <w:i/>
          <w:iCs/>
          <w:highlight w:val="yellow"/>
        </w:rPr>
        <w:t xml:space="preserve">contents of this section. It </w:t>
      </w:r>
      <w:r w:rsidRPr="00FF08EE">
        <w:rPr>
          <w:i/>
          <w:iCs/>
          <w:highlight w:val="yellow"/>
        </w:rPr>
        <w:t xml:space="preserve">requires substantial additional research about FERPA-state law preemption and the many facets of this issue. </w:t>
      </w:r>
    </w:p>
    <w:p w14:paraId="124EFF1B" w14:textId="1AD3E0A7" w:rsidR="00417EEC" w:rsidRPr="00891948" w:rsidRDefault="00891948" w:rsidP="00891948">
      <w:pPr>
        <w:pStyle w:val="15para"/>
        <w:jc w:val="center"/>
        <w:rPr>
          <w:i/>
          <w:iCs/>
        </w:rPr>
      </w:pPr>
      <w:r w:rsidRPr="00FF08EE">
        <w:rPr>
          <w:i/>
          <w:iCs/>
          <w:highlight w:val="yellow"/>
        </w:rPr>
        <w:t>Will be supplied in a later draft.]</w:t>
      </w:r>
    </w:p>
    <w:sectPr w:rsidR="00417EEC" w:rsidRPr="00891948" w:rsidSect="00FF3848">
      <w:headerReference w:type="default" r:id="rId8"/>
      <w:footerReference w:type="default" r:id="rId9"/>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CCCDB" w14:textId="77777777" w:rsidR="00BF0A14" w:rsidRDefault="00BF0A14" w:rsidP="00BF0A14">
      <w:r>
        <w:separator/>
      </w:r>
    </w:p>
  </w:endnote>
  <w:endnote w:type="continuationSeparator" w:id="0">
    <w:p w14:paraId="2918C05F" w14:textId="77777777" w:rsidR="00BF0A14" w:rsidRDefault="00BF0A14" w:rsidP="00BF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7690"/>
      <w:docPartObj>
        <w:docPartGallery w:val="Page Numbers (Bottom of Page)"/>
        <w:docPartUnique/>
      </w:docPartObj>
    </w:sdtPr>
    <w:sdtEndPr>
      <w:rPr>
        <w:noProof/>
      </w:rPr>
    </w:sdtEndPr>
    <w:sdtContent>
      <w:p w14:paraId="1ED0896D" w14:textId="309B79ED" w:rsidR="009A76FA" w:rsidRDefault="009A76FA" w:rsidP="009A76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F7D48" w14:textId="77777777" w:rsidR="00BF0A14" w:rsidRDefault="00BF0A14" w:rsidP="00BF0A14">
      <w:r>
        <w:separator/>
      </w:r>
    </w:p>
  </w:footnote>
  <w:footnote w:type="continuationSeparator" w:id="0">
    <w:p w14:paraId="20C7FBCF" w14:textId="77777777" w:rsidR="00BF0A14" w:rsidRDefault="00BF0A14" w:rsidP="00BF0A14">
      <w:r>
        <w:continuationSeparator/>
      </w:r>
    </w:p>
  </w:footnote>
  <w:footnote w:id="1">
    <w:p w14:paraId="610FCDBE" w14:textId="2AC86A6E" w:rsidR="00CE3DF8" w:rsidRPr="00FF3848" w:rsidRDefault="001A5C87">
      <w:pPr>
        <w:pStyle w:val="FootnoteText"/>
        <w:rPr>
          <w:rFonts w:cstheme="minorHAnsi"/>
        </w:rPr>
      </w:pPr>
      <w:r w:rsidRPr="00FF3848">
        <w:rPr>
          <w:rFonts w:cstheme="minorHAnsi"/>
          <w:b/>
          <w:bCs/>
          <w:highlight w:val="yellow"/>
        </w:rPr>
        <w:t>Footnotes will be streamlined and edited to style guide once text is finalized</w:t>
      </w:r>
    </w:p>
    <w:p w14:paraId="427E0A8C" w14:textId="0DDFE2E3" w:rsidR="00CE3DF8" w:rsidRPr="00FF3848" w:rsidRDefault="00CE3DF8">
      <w:pPr>
        <w:pStyle w:val="FootnoteText"/>
        <w:rPr>
          <w:rFonts w:cstheme="minorHAnsi"/>
        </w:rPr>
      </w:pPr>
      <w:r w:rsidRPr="00FF3848">
        <w:rPr>
          <w:rStyle w:val="FootnoteReference"/>
          <w:rFonts w:cstheme="minorHAnsi"/>
        </w:rPr>
        <w:footnoteRef/>
      </w:r>
      <w:r w:rsidRPr="00FF3848">
        <w:rPr>
          <w:rFonts w:cstheme="minorHAnsi"/>
        </w:rPr>
        <w:t xml:space="preserve"> Family Educational Rights and Privacy Act (FERPA) codified at 20 U.S.C. §1232g.</w:t>
      </w:r>
    </w:p>
  </w:footnote>
  <w:footnote w:id="2">
    <w:p w14:paraId="4F687AC2" w14:textId="684F3EEA" w:rsidR="00842846" w:rsidRPr="00FF3848" w:rsidRDefault="00842846">
      <w:pPr>
        <w:pStyle w:val="FootnoteText"/>
        <w:rPr>
          <w:rFonts w:cstheme="minorHAnsi"/>
        </w:rPr>
      </w:pPr>
      <w:r w:rsidRPr="00FF3848">
        <w:rPr>
          <w:rStyle w:val="FootnoteReference"/>
          <w:rFonts w:cstheme="minorHAnsi"/>
        </w:rPr>
        <w:footnoteRef/>
      </w:r>
      <w:r w:rsidRPr="00FF3848">
        <w:rPr>
          <w:rFonts w:cstheme="minorHAnsi"/>
        </w:rPr>
        <w:t xml:space="preserve"> </w:t>
      </w:r>
      <w:r w:rsidR="003A24A0" w:rsidRPr="00FF3848">
        <w:rPr>
          <w:rFonts w:cstheme="minorHAnsi"/>
        </w:rPr>
        <w:t>Family Educational Rights and Privacy Act (FERPA) codified at 20 U.S.C. §1232g.</w:t>
      </w:r>
    </w:p>
  </w:footnote>
  <w:footnote w:id="3">
    <w:p w14:paraId="64CCAF31" w14:textId="0F949815" w:rsidR="007F7CE3" w:rsidRPr="00FF3848" w:rsidRDefault="007F7CE3">
      <w:pPr>
        <w:pStyle w:val="FootnoteText"/>
        <w:rPr>
          <w:rFonts w:cstheme="minorHAnsi"/>
        </w:rPr>
      </w:pPr>
      <w:r w:rsidRPr="00FF3848">
        <w:rPr>
          <w:rStyle w:val="FootnoteReference"/>
          <w:rFonts w:cstheme="minorHAnsi"/>
        </w:rPr>
        <w:footnoteRef/>
      </w:r>
      <w:r w:rsidRPr="00FF3848">
        <w:rPr>
          <w:rFonts w:cstheme="minorHAnsi"/>
        </w:rPr>
        <w:t xml:space="preserve"> </w:t>
      </w:r>
      <w:r w:rsidR="003A24A0" w:rsidRPr="00FF3848">
        <w:rPr>
          <w:rFonts w:cstheme="minorHAnsi"/>
        </w:rPr>
        <w:t>34 CFR 99.2.</w:t>
      </w:r>
    </w:p>
  </w:footnote>
  <w:footnote w:id="4">
    <w:p w14:paraId="03C91DF0" w14:textId="1BCF8A6C" w:rsidR="007F7CE3" w:rsidRPr="00FF3848" w:rsidRDefault="007F7CE3">
      <w:pPr>
        <w:pStyle w:val="FootnoteText"/>
        <w:rPr>
          <w:rFonts w:cstheme="minorHAnsi"/>
        </w:rPr>
      </w:pPr>
      <w:r w:rsidRPr="00FF3848">
        <w:rPr>
          <w:rStyle w:val="FootnoteReference"/>
          <w:rFonts w:cstheme="minorHAnsi"/>
        </w:rPr>
        <w:footnoteRef/>
      </w:r>
      <w:r w:rsidRPr="00FF3848">
        <w:rPr>
          <w:rFonts w:cstheme="minorHAnsi"/>
        </w:rPr>
        <w:t xml:space="preserve"> </w:t>
      </w:r>
      <w:r w:rsidR="003A24A0" w:rsidRPr="00FF3848">
        <w:rPr>
          <w:rFonts w:cstheme="minorHAnsi"/>
        </w:rPr>
        <w:t xml:space="preserve">U.S. Dept. of Education. Student Privacy 101: Student Privacy at the U.S. Department of Education. Retrieved from </w:t>
      </w:r>
      <w:hyperlink r:id="rId1" w:history="1">
        <w:r w:rsidR="003A24A0" w:rsidRPr="00FF3848">
          <w:rPr>
            <w:rStyle w:val="Hyperlink"/>
            <w:rFonts w:cstheme="minorHAnsi"/>
          </w:rPr>
          <w:t>https://studentprivacy.ed.gov/?src=fpco</w:t>
        </w:r>
      </w:hyperlink>
      <w:r w:rsidR="003A24A0" w:rsidRPr="00FF3848">
        <w:rPr>
          <w:rFonts w:cstheme="minorHAnsi"/>
        </w:rPr>
        <w:t>.</w:t>
      </w:r>
    </w:p>
  </w:footnote>
  <w:footnote w:id="5">
    <w:p w14:paraId="50C45171" w14:textId="0584B439" w:rsidR="00113BB6" w:rsidRPr="00FF3848" w:rsidRDefault="00113BB6">
      <w:pPr>
        <w:pStyle w:val="FootnoteText"/>
        <w:rPr>
          <w:rFonts w:cstheme="minorHAnsi"/>
        </w:rPr>
      </w:pPr>
      <w:r w:rsidRPr="00FF3848">
        <w:rPr>
          <w:rStyle w:val="FootnoteReference"/>
          <w:rFonts w:cstheme="minorHAnsi"/>
        </w:rPr>
        <w:footnoteRef/>
      </w:r>
      <w:r w:rsidRPr="00FF3848">
        <w:rPr>
          <w:rFonts w:cstheme="minorHAnsi"/>
        </w:rPr>
        <w:t xml:space="preserve"> </w:t>
      </w:r>
      <w:bookmarkStart w:id="0" w:name="_Hlk34673133"/>
      <w:r w:rsidRPr="00FF3848">
        <w:rPr>
          <w:rFonts w:cstheme="minorHAnsi"/>
        </w:rPr>
        <w:t xml:space="preserve">U.S. Dept. of Education and U.S. Dept. of Health and Human Services. “Joint Guidance on the Application of the Family Educational Rights and Privacy Act (FERPA) and the Health Insurance Portability and Accountability Act of 1996 (HIPAA) to Student Health Records.” </w:t>
      </w:r>
      <w:r w:rsidR="003A24A0" w:rsidRPr="00FF3848">
        <w:rPr>
          <w:rFonts w:cstheme="minorHAnsi"/>
        </w:rPr>
        <w:t>December 2019</w:t>
      </w:r>
      <w:r w:rsidRPr="00FF3848">
        <w:rPr>
          <w:rFonts w:cstheme="minorHAnsi"/>
        </w:rPr>
        <w:t xml:space="preserve">. </w:t>
      </w:r>
      <w:r w:rsidR="003A24A0" w:rsidRPr="00FF3848">
        <w:rPr>
          <w:rFonts w:cstheme="minorHAnsi"/>
        </w:rPr>
        <w:t xml:space="preserve">Retrieved from </w:t>
      </w:r>
      <w:hyperlink r:id="rId2" w:history="1">
        <w:r w:rsidR="003A24A0" w:rsidRPr="00FF3848">
          <w:rPr>
            <w:rStyle w:val="Hyperlink"/>
            <w:rFonts w:cstheme="minorHAnsi"/>
          </w:rPr>
          <w:t>https://studentprivacy.ed.gov/sites/default/files/resource_document/file/2019%20HIPAA%20FERPA%20Joint%20Guidance%20508.pdf</w:t>
        </w:r>
      </w:hyperlink>
      <w:r w:rsidR="003A24A0" w:rsidRPr="00FF3848">
        <w:rPr>
          <w:rFonts w:cstheme="minorHAnsi"/>
        </w:rPr>
        <w:t>.</w:t>
      </w:r>
      <w:bookmarkEnd w:id="0"/>
    </w:p>
  </w:footnote>
  <w:footnote w:id="6">
    <w:p w14:paraId="4F2F8DF3" w14:textId="435E138C" w:rsidR="00712DDF" w:rsidRPr="00FF3848" w:rsidRDefault="00712DDF">
      <w:pPr>
        <w:pStyle w:val="FootnoteText"/>
        <w:rPr>
          <w:rFonts w:cstheme="minorHAnsi"/>
        </w:rPr>
      </w:pPr>
      <w:r w:rsidRPr="00FF3848">
        <w:rPr>
          <w:rStyle w:val="FootnoteReference"/>
          <w:rFonts w:cstheme="minorHAnsi"/>
        </w:rPr>
        <w:footnoteRef/>
      </w:r>
      <w:r w:rsidRPr="00FF3848">
        <w:rPr>
          <w:rFonts w:cstheme="minorHAnsi"/>
        </w:rPr>
        <w:t xml:space="preserve"> </w:t>
      </w:r>
      <w:r w:rsidR="003A24A0" w:rsidRPr="00FF3848">
        <w:rPr>
          <w:rFonts w:cstheme="minorHAnsi"/>
        </w:rPr>
        <w:t xml:space="preserve">U.S. Dept. of Education and U.S. Dept. of Health and Human Services. “Joint Guidance on the Application of the Family Educational Rights and Privacy Act (FERPA) and the Health Insurance Portability and Accountability Act of 1996 (HIPAA) to Student Health Records.” December 2019. Retrieved from </w:t>
      </w:r>
      <w:hyperlink r:id="rId3" w:history="1">
        <w:r w:rsidR="003A24A0" w:rsidRPr="00FF3848">
          <w:rPr>
            <w:rStyle w:val="Hyperlink"/>
            <w:rFonts w:cstheme="minorHAnsi"/>
          </w:rPr>
          <w:t>https://studentprivacy.ed.gov/sites/default/files/resource_document/file/2019%20HIPAA%20FERPA%20Joint%20Guidance%20508.pdf</w:t>
        </w:r>
      </w:hyperlink>
      <w:r w:rsidR="003A24A0" w:rsidRPr="00FF3848">
        <w:rPr>
          <w:rFonts w:cstheme="minorHAnsi"/>
        </w:rPr>
        <w:t>.</w:t>
      </w:r>
    </w:p>
  </w:footnote>
  <w:footnote w:id="7">
    <w:p w14:paraId="2A13E8AF" w14:textId="64EC8DB1" w:rsidR="00501664" w:rsidRPr="00FF3848" w:rsidRDefault="00501664">
      <w:pPr>
        <w:pStyle w:val="FootnoteText"/>
        <w:rPr>
          <w:rFonts w:cstheme="minorHAnsi"/>
        </w:rPr>
      </w:pPr>
      <w:r w:rsidRPr="00FF3848">
        <w:rPr>
          <w:rStyle w:val="FootnoteReference"/>
          <w:rFonts w:cstheme="minorHAnsi"/>
        </w:rPr>
        <w:footnoteRef/>
      </w:r>
      <w:r w:rsidRPr="00FF3848">
        <w:rPr>
          <w:rFonts w:cstheme="minorHAnsi"/>
        </w:rPr>
        <w:t xml:space="preserve"> U.S. Dept. of Education. Final Rulemaking. “Family Educational Rights and Privacy.” 76 F.R. 75604 (December 2, 2011).</w:t>
      </w:r>
    </w:p>
  </w:footnote>
  <w:footnote w:id="8">
    <w:p w14:paraId="0269DAF1" w14:textId="3F7799A4" w:rsidR="004E37B9" w:rsidRPr="00FF3848" w:rsidRDefault="004E37B9">
      <w:pPr>
        <w:pStyle w:val="FootnoteText"/>
        <w:rPr>
          <w:rFonts w:cstheme="minorHAnsi"/>
        </w:rPr>
      </w:pPr>
      <w:r w:rsidRPr="00FF3848">
        <w:rPr>
          <w:rStyle w:val="FootnoteReference"/>
          <w:rFonts w:cstheme="minorHAnsi"/>
        </w:rPr>
        <w:footnoteRef/>
      </w:r>
      <w:r w:rsidRPr="00FF3848">
        <w:rPr>
          <w:rFonts w:cstheme="minorHAnsi"/>
        </w:rPr>
        <w:t xml:space="preserve"> Family Educational Rights and Privacy Act (FERPA) codified at 20 U.S.C. §1232g.</w:t>
      </w:r>
    </w:p>
  </w:footnote>
  <w:footnote w:id="9">
    <w:p w14:paraId="1B465DFC" w14:textId="41215C32" w:rsidR="001909EC" w:rsidRPr="00FF3848" w:rsidRDefault="001909EC">
      <w:pPr>
        <w:pStyle w:val="FootnoteText"/>
        <w:rPr>
          <w:rFonts w:cstheme="minorHAnsi"/>
        </w:rPr>
      </w:pPr>
      <w:r w:rsidRPr="00FF3848">
        <w:rPr>
          <w:rStyle w:val="FootnoteReference"/>
          <w:rFonts w:cstheme="minorHAnsi"/>
        </w:rPr>
        <w:footnoteRef/>
      </w:r>
      <w:r w:rsidRPr="00FF3848">
        <w:rPr>
          <w:rFonts w:cstheme="minorHAnsi"/>
        </w:rPr>
        <w:t xml:space="preserve"> 34 CFR 99.</w:t>
      </w:r>
      <w:r w:rsidR="00243014" w:rsidRPr="00FF3848">
        <w:rPr>
          <w:rFonts w:cstheme="minorHAnsi"/>
        </w:rPr>
        <w:t>2.</w:t>
      </w:r>
    </w:p>
  </w:footnote>
  <w:footnote w:id="10">
    <w:p w14:paraId="4A47B2A7" w14:textId="2CC61BE3" w:rsidR="00496EE7" w:rsidRPr="00FF3848" w:rsidRDefault="00496EE7">
      <w:pPr>
        <w:pStyle w:val="FootnoteText"/>
        <w:rPr>
          <w:rFonts w:cstheme="minorHAnsi"/>
        </w:rPr>
      </w:pPr>
      <w:r w:rsidRPr="00FF3848">
        <w:rPr>
          <w:rStyle w:val="FootnoteReference"/>
          <w:rFonts w:cstheme="minorHAnsi"/>
        </w:rPr>
        <w:footnoteRef/>
      </w:r>
      <w:r w:rsidRPr="00FF3848">
        <w:rPr>
          <w:rFonts w:cstheme="minorHAnsi"/>
        </w:rPr>
        <w:t xml:space="preserve"> </w:t>
      </w:r>
      <w:r w:rsidR="00486586" w:rsidRPr="00FF3848">
        <w:rPr>
          <w:rFonts w:cstheme="minorHAnsi"/>
        </w:rPr>
        <w:t>Family Educational Rights and Privacy Act (FERPA) codified at 20 U.S.C. §1232g</w:t>
      </w:r>
      <w:r w:rsidR="00BF6E7F" w:rsidRPr="00FF3848">
        <w:rPr>
          <w:rFonts w:cstheme="minorHAnsi"/>
        </w:rPr>
        <w:t xml:space="preserve">. </w:t>
      </w:r>
      <w:r w:rsidRPr="00FF3848">
        <w:rPr>
          <w:rFonts w:cstheme="minorHAnsi"/>
        </w:rPr>
        <w:t xml:space="preserve">34 CFR Part 99. </w:t>
      </w:r>
      <w:r w:rsidR="00BF6E7F" w:rsidRPr="00FF3848">
        <w:rPr>
          <w:rFonts w:cstheme="minorHAnsi"/>
          <w:i/>
          <w:iCs/>
        </w:rPr>
        <w:t>See also</w:t>
      </w:r>
      <w:r w:rsidR="00BF6E7F" w:rsidRPr="00FF3848">
        <w:rPr>
          <w:rFonts w:cstheme="minorHAnsi"/>
        </w:rPr>
        <w:t xml:space="preserve"> </w:t>
      </w:r>
      <w:r w:rsidR="00A97A16" w:rsidRPr="00FF3848">
        <w:rPr>
          <w:rFonts w:cstheme="minorHAnsi"/>
        </w:rPr>
        <w:t xml:space="preserve">U.S. Dept. of Education and U.S. Dept. of Health and Human Services. “Joint Guidance on the Application of the Family Educational Rights and Privacy Act (FERPA) and the Health Insurance Portability and Accountability Act of 1996 (HIPAA) to Student Health Records.” December 2019. Retrieved from </w:t>
      </w:r>
      <w:hyperlink r:id="rId4" w:history="1">
        <w:r w:rsidR="00A97A16" w:rsidRPr="00FF3848">
          <w:rPr>
            <w:rStyle w:val="Hyperlink"/>
            <w:rFonts w:cstheme="minorHAnsi"/>
          </w:rPr>
          <w:t>https://studentprivacy.ed.gov/sites/default/files/resource_document/file/2019%20HIPAA%20FERPA%20Joint%20Guidance%20508.pdf</w:t>
        </w:r>
      </w:hyperlink>
      <w:r w:rsidR="00A97A16" w:rsidRPr="00FF3848">
        <w:rPr>
          <w:rFonts w:cstheme="minorHAnsi"/>
        </w:rPr>
        <w:t>.</w:t>
      </w:r>
    </w:p>
  </w:footnote>
  <w:footnote w:id="11">
    <w:p w14:paraId="63C71643" w14:textId="3A3F6CDD" w:rsidR="000D70EA" w:rsidRPr="00FF3848" w:rsidRDefault="000D70EA">
      <w:pPr>
        <w:pStyle w:val="FootnoteText"/>
        <w:rPr>
          <w:rFonts w:cstheme="minorHAnsi"/>
        </w:rPr>
      </w:pPr>
      <w:r w:rsidRPr="00FF3848">
        <w:rPr>
          <w:rStyle w:val="FootnoteReference"/>
          <w:rFonts w:cstheme="minorHAnsi"/>
        </w:rPr>
        <w:footnoteRef/>
      </w:r>
      <w:r w:rsidRPr="00FF3848">
        <w:rPr>
          <w:rFonts w:cstheme="minorHAnsi"/>
        </w:rPr>
        <w:t xml:space="preserve"> </w:t>
      </w:r>
      <w:r w:rsidR="00C81824" w:rsidRPr="00FF3848">
        <w:rPr>
          <w:rFonts w:cstheme="minorHAnsi"/>
        </w:rPr>
        <w:t xml:space="preserve">U.S. Dept. of Education and U.S. Dept. of Health and Human Services. “Joint Guidance on the Application of the Family Educational Rights and Privacy Act (FERPA) and the Health Insurance Portability and Accountability Act of 1996 (HIPAA) to Student Health Records.” December 2019. Retrieved from </w:t>
      </w:r>
      <w:hyperlink r:id="rId5" w:history="1">
        <w:r w:rsidR="00C81824" w:rsidRPr="00FF3848">
          <w:rPr>
            <w:rStyle w:val="Hyperlink"/>
            <w:rFonts w:cstheme="minorHAnsi"/>
          </w:rPr>
          <w:t>https://studentprivacy.ed.gov/sites/default/files/resource_document/file/2019%20HIPAA%20FERPA%20Joint%20Guidance%20508.pdf</w:t>
        </w:r>
      </w:hyperlink>
      <w:r w:rsidR="00C81824" w:rsidRPr="00FF3848">
        <w:rPr>
          <w:rFonts w:cstheme="minorHAnsi"/>
        </w:rPr>
        <w:t>.</w:t>
      </w:r>
    </w:p>
  </w:footnote>
  <w:footnote w:id="12">
    <w:p w14:paraId="75E747DD" w14:textId="6DEBFA83" w:rsidR="00552A88" w:rsidRPr="00FF3848" w:rsidRDefault="00552A88">
      <w:pPr>
        <w:pStyle w:val="FootnoteText"/>
        <w:rPr>
          <w:rFonts w:cstheme="minorHAnsi"/>
        </w:rPr>
      </w:pPr>
      <w:r w:rsidRPr="00FF3848">
        <w:rPr>
          <w:rStyle w:val="FootnoteReference"/>
          <w:rFonts w:cstheme="minorHAnsi"/>
        </w:rPr>
        <w:footnoteRef/>
      </w:r>
      <w:r w:rsidRPr="00FF3848">
        <w:rPr>
          <w:rFonts w:cstheme="minorHAnsi"/>
        </w:rPr>
        <w:t xml:space="preserve"> </w:t>
      </w:r>
      <w:r w:rsidR="00C81824" w:rsidRPr="00FF3848">
        <w:rPr>
          <w:rFonts w:cstheme="minorHAnsi"/>
        </w:rPr>
        <w:t xml:space="preserve">U.S. Dept. of Education and U.S. Dept. of Health and Human Services. “Joint Guidance on the Application of the Family Educational Rights and Privacy Act (FERPA) and the Health Insurance Portability and Accountability Act of 1996 (HIPAA) to Student Health Records.” December 2019. Retrieved from </w:t>
      </w:r>
      <w:hyperlink r:id="rId6" w:history="1">
        <w:r w:rsidR="00C81824" w:rsidRPr="00FF3848">
          <w:rPr>
            <w:rStyle w:val="Hyperlink"/>
            <w:rFonts w:cstheme="minorHAnsi"/>
          </w:rPr>
          <w:t>https://studentprivacy.ed.gov/sites/default/files/resource_document/file/2019%20HIPAA%20FERPA%20Joint%20Guidance%20508.pdf</w:t>
        </w:r>
      </w:hyperlink>
      <w:r w:rsidR="00C81824" w:rsidRPr="00FF3848">
        <w:rPr>
          <w:rFonts w:cstheme="minorHAnsi"/>
        </w:rPr>
        <w:t>.</w:t>
      </w:r>
    </w:p>
  </w:footnote>
  <w:footnote w:id="13">
    <w:p w14:paraId="49FAFA7A" w14:textId="5224BC30" w:rsidR="00FB0981" w:rsidRPr="00FF3848" w:rsidRDefault="00FB0981">
      <w:pPr>
        <w:pStyle w:val="FootnoteText"/>
        <w:rPr>
          <w:rFonts w:cstheme="minorHAnsi"/>
        </w:rPr>
      </w:pPr>
      <w:r w:rsidRPr="00FF3848">
        <w:rPr>
          <w:rStyle w:val="FootnoteReference"/>
          <w:rFonts w:cstheme="minorHAnsi"/>
        </w:rPr>
        <w:footnoteRef/>
      </w:r>
      <w:r w:rsidRPr="00FF3848">
        <w:rPr>
          <w:rFonts w:cstheme="minorHAnsi"/>
        </w:rPr>
        <w:t xml:space="preserve"> 34 CFR Part 99.</w:t>
      </w:r>
    </w:p>
  </w:footnote>
  <w:footnote w:id="14">
    <w:p w14:paraId="1D0C6AED" w14:textId="53C774DE" w:rsidR="00FB0981" w:rsidRPr="00FF3848" w:rsidRDefault="00FB0981">
      <w:pPr>
        <w:pStyle w:val="FootnoteText"/>
        <w:rPr>
          <w:rFonts w:cstheme="minorHAnsi"/>
        </w:rPr>
      </w:pPr>
      <w:r w:rsidRPr="00FF3848">
        <w:rPr>
          <w:rStyle w:val="FootnoteReference"/>
          <w:rFonts w:cstheme="minorHAnsi"/>
        </w:rPr>
        <w:footnoteRef/>
      </w:r>
      <w:r w:rsidRPr="00FF3848">
        <w:rPr>
          <w:rFonts w:cstheme="minorHAnsi"/>
        </w:rPr>
        <w:t xml:space="preserve"> 34 CFR Part 99.</w:t>
      </w:r>
    </w:p>
  </w:footnote>
  <w:footnote w:id="15">
    <w:p w14:paraId="0877CDE9" w14:textId="225C762B" w:rsidR="0015560B" w:rsidRPr="00FF3848" w:rsidRDefault="0015560B">
      <w:pPr>
        <w:pStyle w:val="FootnoteText"/>
        <w:rPr>
          <w:rFonts w:cstheme="minorHAnsi"/>
        </w:rPr>
      </w:pPr>
      <w:r w:rsidRPr="00FF3848">
        <w:rPr>
          <w:rStyle w:val="FootnoteReference"/>
          <w:rFonts w:cstheme="minorHAnsi"/>
        </w:rPr>
        <w:footnoteRef/>
      </w:r>
      <w:r w:rsidRPr="00FF3848">
        <w:rPr>
          <w:rFonts w:cstheme="minorHAnsi"/>
        </w:rPr>
        <w:t xml:space="preserve"> 34 CFR Part 99.</w:t>
      </w:r>
    </w:p>
  </w:footnote>
  <w:footnote w:id="16">
    <w:p w14:paraId="68D0B194" w14:textId="059B4AC4" w:rsidR="0015560B" w:rsidRPr="00FF3848" w:rsidRDefault="0015560B">
      <w:pPr>
        <w:pStyle w:val="FootnoteText"/>
        <w:rPr>
          <w:rFonts w:cstheme="minorHAnsi"/>
        </w:rPr>
      </w:pPr>
      <w:r w:rsidRPr="00FF3848">
        <w:rPr>
          <w:rStyle w:val="FootnoteReference"/>
          <w:rFonts w:cstheme="minorHAnsi"/>
        </w:rPr>
        <w:footnoteRef/>
      </w:r>
      <w:r w:rsidRPr="00FF3848">
        <w:rPr>
          <w:rFonts w:cstheme="minorHAnsi"/>
        </w:rPr>
        <w:t xml:space="preserve"> </w:t>
      </w:r>
      <w:bookmarkStart w:id="1" w:name="_Hlk34673324"/>
      <w:r w:rsidR="0038197B" w:rsidRPr="00FF3848">
        <w:rPr>
          <w:rFonts w:cstheme="minorHAnsi"/>
        </w:rPr>
        <w:t xml:space="preserve">U.S. Dept. of Education and U.S. Dept. of Health and Human Services. “Joint Guidance on the Application of the Family Educational Rights and Privacy Act (FERPA) and the Health Insurance Portability and Accountability Act of 1996 (HIPAA) to Student Health Records.” December 2019. Retrieved from </w:t>
      </w:r>
      <w:hyperlink r:id="rId7" w:history="1">
        <w:r w:rsidR="0038197B" w:rsidRPr="00FF3848">
          <w:rPr>
            <w:rStyle w:val="Hyperlink"/>
            <w:rFonts w:cstheme="minorHAnsi"/>
          </w:rPr>
          <w:t>https://studentprivacy.ed.gov/sites/default/files/resource_document/file/2019%20HIPAA%20FERPA%20Joint%20Guidance%20508.pdf</w:t>
        </w:r>
      </w:hyperlink>
      <w:r w:rsidR="0038197B" w:rsidRPr="00FF3848">
        <w:rPr>
          <w:rFonts w:cstheme="minorHAnsi"/>
        </w:rPr>
        <w:t>.</w:t>
      </w:r>
      <w:bookmarkEnd w:id="1"/>
    </w:p>
  </w:footnote>
  <w:footnote w:id="17">
    <w:p w14:paraId="6A278A79" w14:textId="772B6480" w:rsidR="0015560B" w:rsidRPr="00FF3848" w:rsidRDefault="0015560B">
      <w:pPr>
        <w:pStyle w:val="FootnoteText"/>
        <w:rPr>
          <w:rFonts w:cstheme="minorHAnsi"/>
        </w:rPr>
      </w:pPr>
      <w:r w:rsidRPr="00FF3848">
        <w:rPr>
          <w:rStyle w:val="FootnoteReference"/>
          <w:rFonts w:cstheme="minorHAnsi"/>
        </w:rPr>
        <w:footnoteRef/>
      </w:r>
      <w:r w:rsidRPr="00FF3848">
        <w:rPr>
          <w:rFonts w:cstheme="minorHAnsi"/>
        </w:rPr>
        <w:t xml:space="preserve"> </w:t>
      </w:r>
      <w:r w:rsidR="0038197B" w:rsidRPr="00FF3848">
        <w:rPr>
          <w:rFonts w:cstheme="minorHAnsi"/>
        </w:rPr>
        <w:t xml:space="preserve">U.S. Dept. of Education and U.S. Dept. of Health and Human Services. “Joint Guidance on the Application of the Family Educational Rights and Privacy Act (FERPA) and the Health Insurance Portability and Accountability Act of 1996 (HIPAA) to Student Health Records.” December 2019. Retrieved from </w:t>
      </w:r>
      <w:hyperlink r:id="rId8" w:history="1">
        <w:r w:rsidR="0038197B" w:rsidRPr="00FF3848">
          <w:rPr>
            <w:rStyle w:val="Hyperlink"/>
            <w:rFonts w:cstheme="minorHAnsi"/>
          </w:rPr>
          <w:t>https://studentprivacy.ed.gov/sites/default/files/resource_document/file/2019%20HIPAA%20FERPA%20Joint%20Guidance%20508.pdf</w:t>
        </w:r>
      </w:hyperlink>
      <w:r w:rsidR="0038197B" w:rsidRPr="00FF3848">
        <w:rPr>
          <w:rFonts w:cstheme="minorHAnsi"/>
        </w:rPr>
        <w:t>.</w:t>
      </w:r>
    </w:p>
  </w:footnote>
  <w:footnote w:id="18">
    <w:p w14:paraId="656DEC42" w14:textId="0E0281A3" w:rsidR="003B2294" w:rsidRPr="00FF3848" w:rsidRDefault="003B2294">
      <w:pPr>
        <w:pStyle w:val="FootnoteText"/>
        <w:rPr>
          <w:rFonts w:cstheme="minorHAnsi"/>
        </w:rPr>
      </w:pPr>
      <w:r w:rsidRPr="00FF3848">
        <w:rPr>
          <w:rStyle w:val="FootnoteReference"/>
          <w:rFonts w:cstheme="minorHAnsi"/>
        </w:rPr>
        <w:footnoteRef/>
      </w:r>
      <w:r w:rsidRPr="00FF3848">
        <w:rPr>
          <w:rFonts w:cstheme="minorHAnsi"/>
        </w:rPr>
        <w:t xml:space="preserve"> </w:t>
      </w:r>
      <w:r w:rsidR="00503DE1" w:rsidRPr="00FF3848">
        <w:rPr>
          <w:rFonts w:cstheme="minorHAnsi"/>
        </w:rPr>
        <w:t>34 CFR 99.</w:t>
      </w:r>
      <w:r w:rsidR="00243014" w:rsidRPr="00FF3848">
        <w:rPr>
          <w:rFonts w:cstheme="minorHAnsi"/>
        </w:rPr>
        <w:t>31.</w:t>
      </w:r>
    </w:p>
  </w:footnote>
  <w:footnote w:id="19">
    <w:p w14:paraId="7BF2055C" w14:textId="44880163" w:rsidR="00503DE1" w:rsidRPr="00FF3848" w:rsidRDefault="00503DE1" w:rsidP="00025A31">
      <w:pPr>
        <w:pStyle w:val="FootnoteText"/>
        <w:rPr>
          <w:rFonts w:cstheme="minorHAnsi"/>
        </w:rPr>
      </w:pPr>
      <w:r w:rsidRPr="00FF3848">
        <w:rPr>
          <w:rStyle w:val="FootnoteReference"/>
          <w:rFonts w:cstheme="minorHAnsi"/>
        </w:rPr>
        <w:footnoteRef/>
      </w:r>
      <w:r w:rsidRPr="00FF3848">
        <w:rPr>
          <w:rFonts w:cstheme="minorHAnsi"/>
        </w:rPr>
        <w:t xml:space="preserve"> 34 CFR </w:t>
      </w:r>
      <w:r w:rsidR="00025A31" w:rsidRPr="00FF3848">
        <w:rPr>
          <w:rFonts w:cstheme="minorHAnsi"/>
        </w:rPr>
        <w:t>99.31 and 99.35.</w:t>
      </w:r>
      <w:r w:rsidRPr="00FF3848">
        <w:rPr>
          <w:rFonts w:cstheme="minorHAnsi"/>
        </w:rPr>
        <w:t xml:space="preserve"> </w:t>
      </w:r>
      <w:r w:rsidRPr="00FF3848">
        <w:rPr>
          <w:rFonts w:cstheme="minorHAnsi"/>
          <w:i/>
          <w:iCs/>
        </w:rPr>
        <w:t xml:space="preserve">See also </w:t>
      </w:r>
      <w:r w:rsidRPr="00FF3848">
        <w:rPr>
          <w:rFonts w:cstheme="minorHAnsi"/>
        </w:rPr>
        <w:t xml:space="preserve">U.S. Dept. of Education. </w:t>
      </w:r>
      <w:r w:rsidR="00025A31" w:rsidRPr="00FF3848">
        <w:rPr>
          <w:rFonts w:cstheme="minorHAnsi"/>
        </w:rPr>
        <w:t xml:space="preserve">Student Privacy 101: Student Privacy at the U.S. Department </w:t>
      </w:r>
      <w:r w:rsidR="003A24A0" w:rsidRPr="00FF3848">
        <w:rPr>
          <w:rFonts w:cstheme="minorHAnsi"/>
        </w:rPr>
        <w:t>of</w:t>
      </w:r>
      <w:r w:rsidR="00025A31" w:rsidRPr="00FF3848">
        <w:rPr>
          <w:rFonts w:cstheme="minorHAnsi"/>
        </w:rPr>
        <w:t xml:space="preserve"> Education. Retrieved from </w:t>
      </w:r>
      <w:hyperlink r:id="rId9" w:history="1">
        <w:r w:rsidR="00025A31" w:rsidRPr="00FF3848">
          <w:rPr>
            <w:rStyle w:val="Hyperlink"/>
            <w:rFonts w:cstheme="minorHAnsi"/>
          </w:rPr>
          <w:t>https://studentprivacy.ed.gov/?src=fpco</w:t>
        </w:r>
      </w:hyperlink>
      <w:r w:rsidR="00025A31" w:rsidRPr="00FF3848">
        <w:rPr>
          <w:rFonts w:cstheme="minorHAnsi"/>
        </w:rPr>
        <w:t xml:space="preserve">. </w:t>
      </w:r>
    </w:p>
  </w:footnote>
  <w:footnote w:id="20">
    <w:p w14:paraId="00939380" w14:textId="15CD949B" w:rsidR="00503DE1" w:rsidRPr="00FF3848" w:rsidRDefault="00503DE1">
      <w:pPr>
        <w:pStyle w:val="FootnoteText"/>
        <w:rPr>
          <w:rFonts w:cstheme="minorHAnsi"/>
        </w:rPr>
      </w:pPr>
      <w:r w:rsidRPr="00FF3848">
        <w:rPr>
          <w:rStyle w:val="FootnoteReference"/>
          <w:rFonts w:cstheme="minorHAnsi"/>
        </w:rPr>
        <w:footnoteRef/>
      </w:r>
      <w:r w:rsidRPr="00FF3848">
        <w:rPr>
          <w:rFonts w:cstheme="minorHAnsi"/>
        </w:rPr>
        <w:t xml:space="preserve"> 34 C.F.R. §99.35.</w:t>
      </w:r>
    </w:p>
  </w:footnote>
  <w:footnote w:id="21">
    <w:p w14:paraId="6D7AB047" w14:textId="53AF8AA4" w:rsidR="00503DE1" w:rsidRPr="00FF3848" w:rsidRDefault="00503DE1">
      <w:pPr>
        <w:pStyle w:val="FootnoteText"/>
        <w:rPr>
          <w:rFonts w:cstheme="minorHAnsi"/>
        </w:rPr>
      </w:pPr>
      <w:r w:rsidRPr="00FF3848">
        <w:rPr>
          <w:rStyle w:val="FootnoteReference"/>
          <w:rFonts w:cstheme="minorHAnsi"/>
        </w:rPr>
        <w:footnoteRef/>
      </w:r>
      <w:r w:rsidRPr="00FF3848">
        <w:rPr>
          <w:rFonts w:cstheme="minorHAnsi"/>
        </w:rPr>
        <w:t xml:space="preserve"> </w:t>
      </w:r>
      <w:r w:rsidR="00BD585B" w:rsidRPr="00FF3848">
        <w:rPr>
          <w:rFonts w:cstheme="minorHAnsi"/>
        </w:rPr>
        <w:t>34 C.F.R. §99.3.</w:t>
      </w:r>
    </w:p>
  </w:footnote>
  <w:footnote w:id="22">
    <w:p w14:paraId="09B6D0E5" w14:textId="67196DB7" w:rsidR="00503DE1" w:rsidRPr="00FF3848" w:rsidRDefault="00503DE1">
      <w:pPr>
        <w:pStyle w:val="FootnoteText"/>
        <w:rPr>
          <w:rFonts w:cstheme="minorHAnsi"/>
        </w:rPr>
      </w:pPr>
      <w:r w:rsidRPr="00FF3848">
        <w:rPr>
          <w:rStyle w:val="FootnoteReference"/>
          <w:rFonts w:cstheme="minorHAnsi"/>
        </w:rPr>
        <w:footnoteRef/>
      </w:r>
      <w:r w:rsidRPr="00FF3848">
        <w:rPr>
          <w:rFonts w:cstheme="minorHAnsi"/>
        </w:rPr>
        <w:t xml:space="preserve"> 34 C.F.R. §99.35.</w:t>
      </w:r>
    </w:p>
  </w:footnote>
  <w:footnote w:id="23">
    <w:p w14:paraId="4410CD7B" w14:textId="50FE7FA4" w:rsidR="00503DE1" w:rsidRPr="00FF3848" w:rsidRDefault="00503DE1">
      <w:pPr>
        <w:pStyle w:val="FootnoteText"/>
        <w:rPr>
          <w:rFonts w:cstheme="minorHAnsi"/>
        </w:rPr>
      </w:pPr>
      <w:r w:rsidRPr="00FF3848">
        <w:rPr>
          <w:rStyle w:val="FootnoteReference"/>
          <w:rFonts w:cstheme="minorHAnsi"/>
        </w:rPr>
        <w:footnoteRef/>
      </w:r>
      <w:r w:rsidRPr="00FF3848">
        <w:rPr>
          <w:rFonts w:cstheme="minorHAnsi"/>
        </w:rPr>
        <w:t xml:space="preserve"> U.S. Dept. of Education. Final Rulemaking. “Family Educational Rights and Privacy.” 76 F.R. 75604 (December 2, 2011).</w:t>
      </w:r>
    </w:p>
  </w:footnote>
  <w:footnote w:id="24">
    <w:p w14:paraId="659F94DA" w14:textId="07877621" w:rsidR="00503DE1" w:rsidRPr="00FF3848" w:rsidRDefault="00503DE1">
      <w:pPr>
        <w:pStyle w:val="FootnoteText"/>
        <w:rPr>
          <w:rFonts w:cstheme="minorHAnsi"/>
        </w:rPr>
      </w:pPr>
      <w:r w:rsidRPr="00FF3848">
        <w:rPr>
          <w:rStyle w:val="FootnoteReference"/>
          <w:rFonts w:cstheme="minorHAnsi"/>
        </w:rPr>
        <w:footnoteRef/>
      </w:r>
      <w:r w:rsidRPr="00FF3848">
        <w:rPr>
          <w:rFonts w:cstheme="minorHAnsi"/>
        </w:rPr>
        <w:t xml:space="preserve"> U.S. Dept. of Education. Notice of Proposed Rulemaking. “Family Educational Rights and Privacy.” 76 F.R. 19726 (April 8, 2011). </w:t>
      </w:r>
      <w:r w:rsidRPr="00FF3848">
        <w:rPr>
          <w:rFonts w:cstheme="minorHAnsi"/>
          <w:i/>
          <w:iCs/>
        </w:rPr>
        <w:t>See also</w:t>
      </w:r>
      <w:r w:rsidRPr="00FF3848">
        <w:rPr>
          <w:rFonts w:cstheme="minorHAnsi"/>
        </w:rPr>
        <w:t xml:space="preserve"> </w:t>
      </w:r>
      <w:r w:rsidRPr="00FF3848">
        <w:rPr>
          <w:rFonts w:eastAsia="Times New Roman" w:cstheme="minorHAnsi"/>
        </w:rPr>
        <w:t xml:space="preserve">U.S. Dept. of Education. “Memorandum from William D. Hansen, Deputy Secretary of Education, to State Officials.” January 30, 2003. </w:t>
      </w:r>
      <w:r w:rsidR="00BD585B" w:rsidRPr="00FF3848">
        <w:rPr>
          <w:rFonts w:eastAsia="Times New Roman" w:cstheme="minorHAnsi"/>
        </w:rPr>
        <w:t xml:space="preserve">Retrieved from </w:t>
      </w:r>
      <w:hyperlink r:id="rId10" w:history="1">
        <w:r w:rsidR="00BD585B" w:rsidRPr="00FF3848">
          <w:rPr>
            <w:rStyle w:val="Hyperlink"/>
            <w:rFonts w:cstheme="minorHAnsi"/>
          </w:rPr>
          <w:t>https://www2.ed.gov/policy/gen/guid/secletter/030130.html</w:t>
        </w:r>
      </w:hyperlink>
      <w:r w:rsidR="00BD585B" w:rsidRPr="00FF3848">
        <w:rPr>
          <w:rFonts w:cstheme="minorHAnsi"/>
        </w:rPr>
        <w:t>.</w:t>
      </w:r>
    </w:p>
  </w:footnote>
  <w:footnote w:id="25">
    <w:p w14:paraId="7AC450A4" w14:textId="69F48725" w:rsidR="00025A31" w:rsidRPr="00FF3848" w:rsidRDefault="00025A31">
      <w:pPr>
        <w:pStyle w:val="FootnoteText"/>
        <w:rPr>
          <w:rFonts w:cstheme="minorHAnsi"/>
        </w:rPr>
      </w:pPr>
      <w:r w:rsidRPr="00FF3848">
        <w:rPr>
          <w:rStyle w:val="FootnoteReference"/>
          <w:rFonts w:cstheme="minorHAnsi"/>
        </w:rPr>
        <w:footnoteRef/>
      </w:r>
      <w:r w:rsidRPr="00FF3848">
        <w:rPr>
          <w:rFonts w:cstheme="minorHAnsi"/>
        </w:rPr>
        <w:t xml:space="preserve"> 34 C.F.R. §99.35.</w:t>
      </w:r>
    </w:p>
  </w:footnote>
  <w:footnote w:id="26">
    <w:p w14:paraId="241392DC" w14:textId="2D9DBD0E" w:rsidR="00D96FCD" w:rsidRPr="00FF3848" w:rsidRDefault="00DC1AD5" w:rsidP="00D96FCD">
      <w:pPr>
        <w:pStyle w:val="FootnoteText"/>
        <w:rPr>
          <w:rFonts w:cstheme="minorHAnsi"/>
        </w:rPr>
      </w:pPr>
      <w:r w:rsidRPr="00FF3848">
        <w:rPr>
          <w:rStyle w:val="FootnoteReference"/>
          <w:rFonts w:cstheme="minorHAnsi"/>
        </w:rPr>
        <w:footnoteRef/>
      </w:r>
      <w:r w:rsidRPr="00FF3848">
        <w:rPr>
          <w:rFonts w:cstheme="minorHAnsi"/>
        </w:rPr>
        <w:t xml:space="preserve"> U.S. Dept. of Education. </w:t>
      </w:r>
      <w:r w:rsidR="00D96FCD" w:rsidRPr="00FF3848">
        <w:rPr>
          <w:rFonts w:cstheme="minorHAnsi"/>
        </w:rPr>
        <w:t>Privacy Technical Assistance Center. The Family Educational Rights and</w:t>
      </w:r>
      <w:r w:rsidR="00D96FCD" w:rsidRPr="00FF3848">
        <w:rPr>
          <w:rFonts w:cstheme="minorHAnsi"/>
        </w:rPr>
        <w:tab/>
        <w:t>Privacy Act</w:t>
      </w:r>
    </w:p>
    <w:p w14:paraId="7CD8DD52" w14:textId="01D29D97" w:rsidR="00DC1AD5" w:rsidRPr="00FF3848" w:rsidRDefault="00D96FCD" w:rsidP="00D96FCD">
      <w:pPr>
        <w:pStyle w:val="FootnoteText"/>
        <w:rPr>
          <w:rFonts w:cstheme="minorHAnsi"/>
        </w:rPr>
      </w:pPr>
      <w:r w:rsidRPr="00FF3848">
        <w:rPr>
          <w:rFonts w:cstheme="minorHAnsi"/>
        </w:rPr>
        <w:t xml:space="preserve">Guidance for Reasonable Methods and Written Agreements. June 2015. Retrieved from </w:t>
      </w:r>
      <w:hyperlink r:id="rId11" w:history="1">
        <w:r w:rsidRPr="00FF3848">
          <w:rPr>
            <w:rStyle w:val="Hyperlink"/>
            <w:rFonts w:cstheme="minorHAnsi"/>
          </w:rPr>
          <w:t>https://studentprivacy.ed.gov/resources/guidance-reasonable-methods-and-written-agreements</w:t>
        </w:r>
      </w:hyperlink>
      <w:r w:rsidRPr="00FF3848">
        <w:rPr>
          <w:rFonts w:cstheme="minorHAnsi"/>
        </w:rPr>
        <w:t xml:space="preserve">. </w:t>
      </w:r>
    </w:p>
  </w:footnote>
  <w:footnote w:id="27">
    <w:p w14:paraId="070EE003" w14:textId="01D94623" w:rsidR="00A54DD6" w:rsidRPr="00FF3848" w:rsidRDefault="00A54DD6">
      <w:pPr>
        <w:pStyle w:val="FootnoteText"/>
        <w:rPr>
          <w:rFonts w:cstheme="minorHAnsi"/>
        </w:rPr>
      </w:pPr>
      <w:r w:rsidRPr="00FF3848">
        <w:rPr>
          <w:rStyle w:val="FootnoteReference"/>
          <w:rFonts w:cstheme="minorHAnsi"/>
        </w:rPr>
        <w:footnoteRef/>
      </w:r>
      <w:r w:rsidRPr="00FF3848">
        <w:rPr>
          <w:rFonts w:cstheme="minorHAnsi"/>
        </w:rPr>
        <w:t xml:space="preserve"> 34 C.F.R §99.31 and </w:t>
      </w:r>
      <w:r w:rsidRPr="00FF3848">
        <w:rPr>
          <w:rFonts w:eastAsia="Times New Roman" w:cstheme="minorHAnsi"/>
        </w:rPr>
        <w:t>34 C.F.R. §99.36.</w:t>
      </w:r>
    </w:p>
  </w:footnote>
  <w:footnote w:id="28">
    <w:p w14:paraId="14FFE990" w14:textId="463388EC" w:rsidR="00290619" w:rsidRPr="00FF3848" w:rsidRDefault="00290619">
      <w:pPr>
        <w:pStyle w:val="FootnoteText"/>
        <w:rPr>
          <w:rFonts w:cstheme="minorHAnsi"/>
        </w:rPr>
      </w:pPr>
      <w:r w:rsidRPr="00FF3848">
        <w:rPr>
          <w:rStyle w:val="FootnoteReference"/>
          <w:rFonts w:cstheme="minorHAnsi"/>
        </w:rPr>
        <w:footnoteRef/>
      </w:r>
      <w:r w:rsidRPr="00FF3848">
        <w:rPr>
          <w:rFonts w:cstheme="minorHAnsi"/>
        </w:rPr>
        <w:t xml:space="preserve"> </w:t>
      </w:r>
      <w:r w:rsidRPr="00FF3848">
        <w:rPr>
          <w:rFonts w:eastAsia="Times New Roman" w:cstheme="minorHAnsi"/>
        </w:rPr>
        <w:t xml:space="preserve">34 C.F.R. §99.36. </w:t>
      </w:r>
      <w:r w:rsidRPr="00FF3848">
        <w:rPr>
          <w:rFonts w:eastAsia="Times New Roman" w:cstheme="minorHAnsi"/>
          <w:i/>
          <w:iCs/>
        </w:rPr>
        <w:t>See also</w:t>
      </w:r>
      <w:r w:rsidRPr="00FF3848">
        <w:rPr>
          <w:rFonts w:eastAsia="Times New Roman" w:cstheme="minorHAnsi"/>
        </w:rPr>
        <w:t xml:space="preserve"> </w:t>
      </w:r>
      <w:r w:rsidRPr="00FF3848">
        <w:rPr>
          <w:rFonts w:cstheme="minorHAnsi"/>
        </w:rPr>
        <w:t xml:space="preserve">U.S. Dept. of Education. “Family Educational Rights and Privacy Act (FERPA) and H1N1.” October 2009. </w:t>
      </w:r>
      <w:r w:rsidR="00BD585B" w:rsidRPr="00FF3848">
        <w:rPr>
          <w:rFonts w:cstheme="minorHAnsi"/>
        </w:rPr>
        <w:t>Retrieved from</w:t>
      </w:r>
      <w:r w:rsidRPr="00FF3848">
        <w:rPr>
          <w:rFonts w:cstheme="minorHAnsi"/>
        </w:rPr>
        <w:t xml:space="preserve"> </w:t>
      </w:r>
      <w:hyperlink r:id="rId12" w:history="1">
        <w:r w:rsidR="00BD585B" w:rsidRPr="00FF3848">
          <w:rPr>
            <w:rStyle w:val="Hyperlink"/>
            <w:rFonts w:cstheme="minorHAnsi"/>
          </w:rPr>
          <w:t>http://www2.ed.gov/policy/gen/guid/fpco/pdf/ferpa-h1n1.pdf</w:t>
        </w:r>
      </w:hyperlink>
      <w:r w:rsidRPr="00FF3848">
        <w:rPr>
          <w:rFonts w:cstheme="minorHAnsi"/>
        </w:rPr>
        <w:t>.</w:t>
      </w:r>
      <w:r w:rsidR="00BD585B" w:rsidRPr="00FF3848">
        <w:rPr>
          <w:rFonts w:cstheme="minorHAnsi"/>
        </w:rPr>
        <w:t xml:space="preserve"> </w:t>
      </w:r>
    </w:p>
  </w:footnote>
  <w:footnote w:id="29">
    <w:p w14:paraId="249F73D7" w14:textId="2969DA62" w:rsidR="00676392" w:rsidRPr="00FF3848" w:rsidRDefault="00676392">
      <w:pPr>
        <w:pStyle w:val="FootnoteText"/>
        <w:rPr>
          <w:rFonts w:cstheme="minorHAnsi"/>
        </w:rPr>
      </w:pPr>
      <w:r w:rsidRPr="00FF3848">
        <w:rPr>
          <w:rStyle w:val="FootnoteReference"/>
          <w:rFonts w:cstheme="minorHAnsi"/>
        </w:rPr>
        <w:footnoteRef/>
      </w:r>
      <w:r w:rsidRPr="00FF3848">
        <w:rPr>
          <w:rFonts w:cstheme="minorHAnsi"/>
        </w:rPr>
        <w:t xml:space="preserve"> 34 C.F.R. §99.36.</w:t>
      </w:r>
    </w:p>
  </w:footnote>
  <w:footnote w:id="30">
    <w:p w14:paraId="054BFC0D" w14:textId="1B3C9DBF" w:rsidR="00676392" w:rsidRPr="00FF3848" w:rsidRDefault="00676392">
      <w:pPr>
        <w:pStyle w:val="FootnoteText"/>
        <w:rPr>
          <w:rFonts w:cstheme="minorHAnsi"/>
        </w:rPr>
      </w:pPr>
      <w:r w:rsidRPr="00FF3848">
        <w:rPr>
          <w:rStyle w:val="FootnoteReference"/>
          <w:rFonts w:cstheme="minorHAnsi"/>
        </w:rPr>
        <w:footnoteRef/>
      </w:r>
      <w:r w:rsidRPr="00FF3848">
        <w:rPr>
          <w:rFonts w:cstheme="minorHAnsi"/>
        </w:rPr>
        <w:t xml:space="preserve"> 34 C.F.R. §99.32.</w:t>
      </w:r>
    </w:p>
  </w:footnote>
  <w:footnote w:id="31">
    <w:p w14:paraId="00FABF04" w14:textId="1B6928DE" w:rsidR="00676392" w:rsidRPr="00FF3848" w:rsidRDefault="00676392">
      <w:pPr>
        <w:pStyle w:val="FootnoteText"/>
        <w:rPr>
          <w:rFonts w:cstheme="minorHAnsi"/>
        </w:rPr>
      </w:pPr>
      <w:r w:rsidRPr="00FF3848">
        <w:rPr>
          <w:rStyle w:val="FootnoteReference"/>
          <w:rFonts w:cstheme="minorHAnsi"/>
        </w:rPr>
        <w:footnoteRef/>
      </w:r>
      <w:r w:rsidRPr="00FF3848">
        <w:rPr>
          <w:rFonts w:cstheme="minorHAnsi"/>
        </w:rPr>
        <w:t xml:space="preserve"> </w:t>
      </w:r>
      <w:r w:rsidR="005B2755" w:rsidRPr="00FF3848">
        <w:rPr>
          <w:rFonts w:cstheme="minorHAnsi"/>
        </w:rPr>
        <w:t xml:space="preserve">U.S. Dept. of Education. “Family Educational Rights and Privacy Act (FERPA) and H1N1.” October 2009. Retrieved from </w:t>
      </w:r>
      <w:hyperlink r:id="rId13" w:history="1">
        <w:r w:rsidR="005B2755" w:rsidRPr="00FF3848">
          <w:rPr>
            <w:rStyle w:val="Hyperlink"/>
            <w:rFonts w:cstheme="minorHAnsi"/>
          </w:rPr>
          <w:t>http://www2.ed.gov/policy/gen/guid/fpco/pdf/ferpa-h1n1.pdf</w:t>
        </w:r>
      </w:hyperlink>
      <w:r w:rsidR="005B2755" w:rsidRPr="00FF3848">
        <w:rPr>
          <w:rFonts w:cstheme="minorHAnsi"/>
        </w:rPr>
        <w:t>.</w:t>
      </w:r>
    </w:p>
  </w:footnote>
  <w:footnote w:id="32">
    <w:p w14:paraId="7240E379" w14:textId="70F1DED8" w:rsidR="00676392" w:rsidRPr="00FF3848" w:rsidRDefault="00676392">
      <w:pPr>
        <w:pStyle w:val="FootnoteText"/>
        <w:rPr>
          <w:rFonts w:cstheme="minorHAnsi"/>
        </w:rPr>
      </w:pPr>
      <w:r w:rsidRPr="00FF3848">
        <w:rPr>
          <w:rStyle w:val="FootnoteReference"/>
          <w:rFonts w:cstheme="minorHAnsi"/>
        </w:rPr>
        <w:footnoteRef/>
      </w:r>
      <w:r w:rsidRPr="00FF3848">
        <w:rPr>
          <w:rFonts w:cstheme="minorHAnsi"/>
        </w:rPr>
        <w:t xml:space="preserve"> U.S. Dept. of Education. Family Policy Compliance Office. “Letter to University of New Mexico re: Applicability of FERPA to Health and Other State Reporting Requirements.” November 29, 2004. </w:t>
      </w:r>
      <w:r w:rsidR="005B2755" w:rsidRPr="00FF3848">
        <w:rPr>
          <w:rFonts w:cstheme="minorHAnsi"/>
        </w:rPr>
        <w:t>Retrieved from</w:t>
      </w:r>
      <w:r w:rsidRPr="00FF3848">
        <w:rPr>
          <w:rFonts w:cstheme="minorHAnsi"/>
        </w:rPr>
        <w:t xml:space="preserve"> </w:t>
      </w:r>
      <w:hyperlink r:id="rId14" w:history="1">
        <w:r w:rsidR="005B2755" w:rsidRPr="00FF3848">
          <w:rPr>
            <w:rStyle w:val="Hyperlink"/>
            <w:rFonts w:cstheme="minorHAnsi"/>
          </w:rPr>
          <w:t>http://www2.ed.gov/policy/gen/guid/fpco/ferpa/library/baiseunmslc.html</w:t>
        </w:r>
      </w:hyperlink>
      <w:r w:rsidRPr="00FF3848">
        <w:rPr>
          <w:rFonts w:cstheme="minorHAnsi"/>
        </w:rPr>
        <w:t>.</w:t>
      </w:r>
      <w:r w:rsidR="005B2755" w:rsidRPr="00FF3848">
        <w:rPr>
          <w:rFonts w:cstheme="minorHAnsi"/>
        </w:rPr>
        <w:t xml:space="preserve"> </w:t>
      </w:r>
    </w:p>
  </w:footnote>
  <w:footnote w:id="33">
    <w:p w14:paraId="44CF39A4" w14:textId="2E432F4F" w:rsidR="00676392" w:rsidRPr="00FF3848" w:rsidRDefault="00676392">
      <w:pPr>
        <w:pStyle w:val="FootnoteText"/>
        <w:rPr>
          <w:rFonts w:cstheme="minorHAnsi"/>
        </w:rPr>
      </w:pPr>
      <w:r w:rsidRPr="00FF3848">
        <w:rPr>
          <w:rStyle w:val="FootnoteReference"/>
          <w:rFonts w:cstheme="minorHAnsi"/>
        </w:rPr>
        <w:footnoteRef/>
      </w:r>
      <w:r w:rsidRPr="00FF3848">
        <w:rPr>
          <w:rFonts w:cstheme="minorHAnsi"/>
        </w:rPr>
        <w:t xml:space="preserve"> 34 C.F.R §99.31.</w:t>
      </w:r>
    </w:p>
  </w:footnote>
  <w:footnote w:id="34">
    <w:p w14:paraId="037BDA06" w14:textId="09FEEEB9" w:rsidR="00676392" w:rsidRPr="00FF3848" w:rsidRDefault="00676392">
      <w:pPr>
        <w:pStyle w:val="FootnoteText"/>
        <w:rPr>
          <w:rFonts w:cstheme="minorHAnsi"/>
        </w:rPr>
      </w:pPr>
      <w:r w:rsidRPr="00FF3848">
        <w:rPr>
          <w:rStyle w:val="FootnoteReference"/>
          <w:rFonts w:cstheme="minorHAnsi"/>
        </w:rPr>
        <w:footnoteRef/>
      </w:r>
      <w:r w:rsidRPr="00FF3848">
        <w:rPr>
          <w:rFonts w:cstheme="minorHAnsi"/>
        </w:rPr>
        <w:t xml:space="preserve"> 34 C.F.R §99.31. </w:t>
      </w:r>
      <w:r w:rsidRPr="00FF3848">
        <w:rPr>
          <w:rFonts w:eastAsia="Times New Roman" w:cstheme="minorHAnsi"/>
        </w:rPr>
        <w:t>U.S. Dept. of Education. Final Rulemaking. “Family Educational Rights and Privacy.” 76 F.R. 75604 (December 2, 2011).</w:t>
      </w:r>
    </w:p>
  </w:footnote>
  <w:footnote w:id="35">
    <w:p w14:paraId="3A1ADBEB" w14:textId="574FF7B2" w:rsidR="00AF61E5" w:rsidRPr="00FF3848" w:rsidRDefault="00AF61E5" w:rsidP="00AF61E5">
      <w:pPr>
        <w:pStyle w:val="FootnoteText"/>
        <w:rPr>
          <w:rFonts w:cstheme="minorHAnsi"/>
        </w:rPr>
      </w:pPr>
      <w:r w:rsidRPr="00FF3848">
        <w:rPr>
          <w:rStyle w:val="FootnoteReference"/>
          <w:rFonts w:cstheme="minorHAnsi"/>
        </w:rPr>
        <w:footnoteRef/>
      </w:r>
      <w:r w:rsidRPr="00FF3848">
        <w:rPr>
          <w:rFonts w:cstheme="minorHAnsi"/>
        </w:rPr>
        <w:t xml:space="preserve"> U.S. Dept. of Education. Final Rulemaking. “Family Educational Rights and Privacy.” 76 F.R. 75604 (December 2, 2011). </w:t>
      </w:r>
      <w:r w:rsidRPr="00FF3848">
        <w:rPr>
          <w:rFonts w:cstheme="minorHAnsi"/>
          <w:i/>
          <w:iCs/>
        </w:rPr>
        <w:t>See also</w:t>
      </w:r>
      <w:r w:rsidRPr="00FF3848">
        <w:rPr>
          <w:rFonts w:cstheme="minorHAnsi"/>
        </w:rPr>
        <w:t xml:space="preserve"> U.S. Dept. of Education. Privacy Technical Assistance Center. The Family Educational Rights </w:t>
      </w:r>
      <w:r w:rsidR="00883465" w:rsidRPr="00FF3848">
        <w:rPr>
          <w:rFonts w:cstheme="minorHAnsi"/>
        </w:rPr>
        <w:t>Privacy</w:t>
      </w:r>
      <w:r w:rsidRPr="00FF3848">
        <w:rPr>
          <w:rFonts w:cstheme="minorHAnsi"/>
        </w:rPr>
        <w:t xml:space="preserve"> Act Guidance for Reasonable Methods and Written Agreements. June 2015. Retrieved from </w:t>
      </w:r>
      <w:hyperlink r:id="rId15" w:history="1">
        <w:r w:rsidRPr="00FF3848">
          <w:rPr>
            <w:rStyle w:val="Hyperlink"/>
            <w:rFonts w:cstheme="minorHAnsi"/>
          </w:rPr>
          <w:t>https://studentprivacy.ed.gov/resources/guidance-reasonable-methods-and-written-agreements</w:t>
        </w:r>
      </w:hyperlink>
      <w:r w:rsidRPr="00FF3848">
        <w:rPr>
          <w:rFonts w:cstheme="minorHAnsi"/>
        </w:rPr>
        <w:t xml:space="preserve">. </w:t>
      </w:r>
    </w:p>
  </w:footnote>
  <w:footnote w:id="36">
    <w:p w14:paraId="7F889740" w14:textId="1418D234" w:rsidR="00676392" w:rsidRPr="00FF3848" w:rsidRDefault="00676392">
      <w:pPr>
        <w:pStyle w:val="FootnoteText"/>
        <w:rPr>
          <w:rFonts w:cstheme="minorHAnsi"/>
        </w:rPr>
      </w:pPr>
      <w:r w:rsidRPr="00FF3848">
        <w:rPr>
          <w:rStyle w:val="FootnoteReference"/>
          <w:rFonts w:cstheme="minorHAnsi"/>
        </w:rPr>
        <w:footnoteRef/>
      </w:r>
      <w:r w:rsidRPr="00FF3848">
        <w:rPr>
          <w:rFonts w:cstheme="minorHAnsi"/>
        </w:rPr>
        <w:t xml:space="preserve"> </w:t>
      </w:r>
      <w:r w:rsidRPr="00FF3848">
        <w:rPr>
          <w:rFonts w:eastAsia="Times New Roman" w:cstheme="minorHAnsi"/>
        </w:rPr>
        <w:t>U.S. Dept. of Education. Final Rulemaking. “Family Educational Rights and Privacy.” 76 F.R. 75604 (December 2, 2011).</w:t>
      </w:r>
    </w:p>
  </w:footnote>
  <w:footnote w:id="37">
    <w:p w14:paraId="53EAC66D" w14:textId="4E85D25D" w:rsidR="0035120A" w:rsidRPr="00FF3848" w:rsidRDefault="0035120A">
      <w:pPr>
        <w:pStyle w:val="FootnoteText"/>
        <w:rPr>
          <w:rFonts w:cstheme="minorHAnsi"/>
        </w:rPr>
      </w:pPr>
      <w:r w:rsidRPr="00FF3848">
        <w:rPr>
          <w:rStyle w:val="FootnoteReference"/>
          <w:rFonts w:cstheme="minorHAnsi"/>
        </w:rPr>
        <w:footnoteRef/>
      </w:r>
      <w:r w:rsidRPr="00FF3848">
        <w:rPr>
          <w:rFonts w:cstheme="minorHAnsi"/>
        </w:rPr>
        <w:t xml:space="preserve"> 34 C.F.R §99.31.</w:t>
      </w:r>
    </w:p>
  </w:footnote>
  <w:footnote w:id="38">
    <w:p w14:paraId="66249ABD" w14:textId="2AF068E0" w:rsidR="0035120A" w:rsidRPr="00FF3848" w:rsidRDefault="0035120A">
      <w:pPr>
        <w:pStyle w:val="FootnoteText"/>
        <w:rPr>
          <w:rFonts w:cstheme="minorHAnsi"/>
        </w:rPr>
      </w:pPr>
      <w:r w:rsidRPr="00FF3848">
        <w:rPr>
          <w:rStyle w:val="FootnoteReference"/>
          <w:rFonts w:cstheme="minorHAnsi"/>
        </w:rPr>
        <w:footnoteRef/>
      </w:r>
      <w:r w:rsidRPr="00FF3848">
        <w:rPr>
          <w:rFonts w:cstheme="minorHAnsi"/>
        </w:rPr>
        <w:t xml:space="preserve"> 34 C.F.R §99.31.</w:t>
      </w:r>
    </w:p>
  </w:footnote>
  <w:footnote w:id="39">
    <w:p w14:paraId="0CCF70AF" w14:textId="4D853981" w:rsidR="0035120A" w:rsidRPr="00FF3848" w:rsidRDefault="0035120A" w:rsidP="0061496C">
      <w:pPr>
        <w:pStyle w:val="15para"/>
        <w:spacing w:line="240" w:lineRule="auto"/>
        <w:rPr>
          <w:rFonts w:asciiTheme="minorHAnsi" w:hAnsiTheme="minorHAnsi" w:cstheme="minorHAnsi"/>
          <w:sz w:val="20"/>
        </w:rPr>
      </w:pPr>
      <w:r w:rsidRPr="00FF3848">
        <w:rPr>
          <w:rStyle w:val="FootnoteReference"/>
          <w:rFonts w:asciiTheme="minorHAnsi" w:hAnsiTheme="minorHAnsi" w:cstheme="minorHAnsi"/>
          <w:sz w:val="20"/>
        </w:rPr>
        <w:footnoteRef/>
      </w:r>
      <w:r w:rsidRPr="00FF3848">
        <w:rPr>
          <w:rFonts w:asciiTheme="minorHAnsi" w:hAnsiTheme="minorHAnsi" w:cstheme="minorHAnsi"/>
          <w:sz w:val="20"/>
        </w:rPr>
        <w:t xml:space="preserve"> 34 C.F.R §99.31. No Child Left Behind Act of 2001. (Pub. L. 107-110). See 20 U.S.C. §7165(b).</w:t>
      </w:r>
    </w:p>
  </w:footnote>
  <w:footnote w:id="40">
    <w:p w14:paraId="1DAA0867" w14:textId="6AD5A0B4" w:rsidR="0061496C" w:rsidRPr="00FF3848" w:rsidRDefault="0061496C">
      <w:pPr>
        <w:pStyle w:val="FootnoteText"/>
        <w:rPr>
          <w:rFonts w:cstheme="minorHAnsi"/>
        </w:rPr>
      </w:pPr>
      <w:r w:rsidRPr="00FF3848">
        <w:rPr>
          <w:rStyle w:val="FootnoteReference"/>
          <w:rFonts w:cstheme="minorHAnsi"/>
        </w:rPr>
        <w:footnoteRef/>
      </w:r>
      <w:r w:rsidRPr="00FF3848">
        <w:rPr>
          <w:rFonts w:cstheme="minorHAnsi"/>
        </w:rPr>
        <w:t xml:space="preserve"> 34 C.F.R. §99.34.</w:t>
      </w:r>
    </w:p>
  </w:footnote>
  <w:footnote w:id="41">
    <w:p w14:paraId="73771ADE" w14:textId="4D226FEF" w:rsidR="0061496C" w:rsidRPr="00FF3848" w:rsidRDefault="0061496C">
      <w:pPr>
        <w:pStyle w:val="FootnoteText"/>
        <w:rPr>
          <w:rFonts w:cstheme="minorHAnsi"/>
        </w:rPr>
      </w:pPr>
      <w:r w:rsidRPr="00FF3848">
        <w:rPr>
          <w:rStyle w:val="FootnoteReference"/>
          <w:rFonts w:cstheme="minorHAnsi"/>
        </w:rPr>
        <w:footnoteRef/>
      </w:r>
      <w:r w:rsidRPr="00FF3848">
        <w:rPr>
          <w:rFonts w:cstheme="minorHAnsi"/>
        </w:rPr>
        <w:t xml:space="preserve"> 34 C.F.R §99.31.</w:t>
      </w:r>
    </w:p>
  </w:footnote>
  <w:footnote w:id="42">
    <w:p w14:paraId="16E1C461" w14:textId="5D163915" w:rsidR="0061496C" w:rsidRPr="00FF3848" w:rsidRDefault="0061496C">
      <w:pPr>
        <w:pStyle w:val="FootnoteText"/>
        <w:rPr>
          <w:rFonts w:cstheme="minorHAnsi"/>
        </w:rPr>
      </w:pPr>
      <w:r w:rsidRPr="00FF3848">
        <w:rPr>
          <w:rStyle w:val="FootnoteReference"/>
          <w:rFonts w:cstheme="minorHAnsi"/>
        </w:rPr>
        <w:footnoteRef/>
      </w:r>
      <w:r w:rsidRPr="00FF3848">
        <w:rPr>
          <w:rFonts w:cstheme="minorHAnsi"/>
        </w:rPr>
        <w:t xml:space="preserve"> 34 C.F.R §99.31.</w:t>
      </w:r>
    </w:p>
  </w:footnote>
  <w:footnote w:id="43">
    <w:p w14:paraId="6836C90B" w14:textId="0712D24F" w:rsidR="0061496C" w:rsidRPr="00FF3848" w:rsidRDefault="0061496C">
      <w:pPr>
        <w:pStyle w:val="FootnoteText"/>
        <w:rPr>
          <w:rFonts w:cstheme="minorHAnsi"/>
        </w:rPr>
      </w:pPr>
      <w:r w:rsidRPr="00FF3848">
        <w:rPr>
          <w:rStyle w:val="FootnoteReference"/>
          <w:rFonts w:cstheme="minorHAnsi"/>
        </w:rPr>
        <w:footnoteRef/>
      </w:r>
      <w:r w:rsidRPr="00FF3848">
        <w:rPr>
          <w:rFonts w:cstheme="minorHAnsi"/>
        </w:rPr>
        <w:t xml:space="preserve"> 34 C.F.R §99.31 and </w:t>
      </w:r>
      <w:r w:rsidRPr="00FF3848">
        <w:rPr>
          <w:rFonts w:eastAsia="Times New Roman" w:cstheme="minorHAnsi"/>
        </w:rPr>
        <w:t>34 C.F.R. §99.35.</w:t>
      </w:r>
    </w:p>
  </w:footnote>
  <w:footnote w:id="44">
    <w:p w14:paraId="6FC7F976" w14:textId="0AFBEB6C" w:rsidR="0061496C" w:rsidRPr="00FF3848" w:rsidRDefault="0061496C">
      <w:pPr>
        <w:pStyle w:val="FootnoteText"/>
        <w:rPr>
          <w:rFonts w:cstheme="minorHAnsi"/>
        </w:rPr>
      </w:pPr>
      <w:r w:rsidRPr="00FF3848">
        <w:rPr>
          <w:rStyle w:val="FootnoteReference"/>
          <w:rFonts w:cstheme="minorHAnsi"/>
        </w:rPr>
        <w:footnoteRef/>
      </w:r>
      <w:r w:rsidRPr="00FF3848">
        <w:rPr>
          <w:rFonts w:cstheme="minorHAnsi"/>
        </w:rPr>
        <w:t xml:space="preserve"> Family Educational Rights and Privacy Act (FERPA) codified at 20 U.S.C. §1232g. </w:t>
      </w:r>
      <w:r w:rsidRPr="00FF3848">
        <w:rPr>
          <w:rFonts w:cstheme="minorHAnsi"/>
          <w:i/>
          <w:iCs/>
        </w:rPr>
        <w:t>See also</w:t>
      </w:r>
      <w:r w:rsidRPr="00FF3848">
        <w:rPr>
          <w:rFonts w:cstheme="minorHAnsi"/>
        </w:rPr>
        <w:t xml:space="preserve"> </w:t>
      </w:r>
      <w:r w:rsidRPr="00FF3848">
        <w:rPr>
          <w:rFonts w:eastAsia="Times New Roman" w:cstheme="minorHAnsi"/>
        </w:rPr>
        <w:t>34 CFR Part 99.</w:t>
      </w:r>
    </w:p>
  </w:footnote>
  <w:footnote w:id="45">
    <w:p w14:paraId="3A67016A" w14:textId="75ED2540" w:rsidR="0045114E" w:rsidRPr="00FF3848" w:rsidRDefault="0045114E">
      <w:pPr>
        <w:pStyle w:val="FootnoteText"/>
        <w:rPr>
          <w:rFonts w:cstheme="minorHAnsi"/>
        </w:rPr>
      </w:pPr>
      <w:r w:rsidRPr="00FF3848">
        <w:rPr>
          <w:rStyle w:val="FootnoteReference"/>
          <w:rFonts w:cstheme="minorHAnsi"/>
        </w:rPr>
        <w:footnoteRef/>
      </w:r>
      <w:r w:rsidRPr="00FF3848">
        <w:rPr>
          <w:rFonts w:cstheme="minorHAnsi"/>
        </w:rPr>
        <w:t xml:space="preserve"> 34 CFR 99.20.</w:t>
      </w:r>
    </w:p>
  </w:footnote>
  <w:footnote w:id="46">
    <w:p w14:paraId="60252664" w14:textId="4CA43C95" w:rsidR="0045114E" w:rsidRPr="00FF3848" w:rsidRDefault="0045114E">
      <w:pPr>
        <w:pStyle w:val="FootnoteText"/>
        <w:rPr>
          <w:rFonts w:cstheme="minorHAnsi"/>
        </w:rPr>
      </w:pPr>
      <w:r w:rsidRPr="00FF3848">
        <w:rPr>
          <w:rStyle w:val="FootnoteReference"/>
          <w:rFonts w:cstheme="minorHAnsi"/>
        </w:rPr>
        <w:footnoteRef/>
      </w:r>
      <w:r w:rsidRPr="00FF3848">
        <w:rPr>
          <w:rFonts w:cstheme="minorHAnsi"/>
        </w:rPr>
        <w:t xml:space="preserve"> 34 CFR 99.21.</w:t>
      </w:r>
    </w:p>
  </w:footnote>
  <w:footnote w:id="47">
    <w:p w14:paraId="4BDA15BF" w14:textId="48085FC4" w:rsidR="0045114E" w:rsidRPr="00FF3848" w:rsidRDefault="0045114E">
      <w:pPr>
        <w:pStyle w:val="FootnoteText"/>
        <w:rPr>
          <w:rFonts w:cstheme="minorHAnsi"/>
        </w:rPr>
      </w:pPr>
      <w:r w:rsidRPr="00FF3848">
        <w:rPr>
          <w:rStyle w:val="FootnoteReference"/>
          <w:rFonts w:cstheme="minorHAnsi"/>
        </w:rPr>
        <w:footnoteRef/>
      </w:r>
      <w:r w:rsidRPr="00FF3848">
        <w:rPr>
          <w:rFonts w:cstheme="minorHAnsi"/>
        </w:rPr>
        <w:t xml:space="preserve"> 34 CFR 99.21.</w:t>
      </w:r>
    </w:p>
  </w:footnote>
  <w:footnote w:id="48">
    <w:p w14:paraId="580299EB" w14:textId="7866385B" w:rsidR="0045114E" w:rsidRPr="00FF3848" w:rsidRDefault="0045114E" w:rsidP="00604132">
      <w:pPr>
        <w:pStyle w:val="FootnoteText"/>
        <w:rPr>
          <w:rFonts w:cstheme="minorHAnsi"/>
        </w:rPr>
      </w:pPr>
      <w:r w:rsidRPr="00FF3848">
        <w:rPr>
          <w:rStyle w:val="FootnoteReference"/>
          <w:rFonts w:cstheme="minorHAnsi"/>
        </w:rPr>
        <w:footnoteRef/>
      </w:r>
      <w:r w:rsidRPr="00FF3848">
        <w:rPr>
          <w:rFonts w:cstheme="minorHAnsi"/>
        </w:rPr>
        <w:t xml:space="preserve"> 34 CFR 99.63.</w:t>
      </w:r>
      <w:r w:rsidR="00604132" w:rsidRPr="00FF3848">
        <w:rPr>
          <w:rFonts w:cstheme="minorHAnsi"/>
        </w:rPr>
        <w:t xml:space="preserve"> </w:t>
      </w:r>
      <w:r w:rsidR="00604132" w:rsidRPr="00FF3848">
        <w:rPr>
          <w:rFonts w:cstheme="minorHAnsi"/>
          <w:i/>
          <w:iCs/>
        </w:rPr>
        <w:t>See also</w:t>
      </w:r>
      <w:r w:rsidR="00604132" w:rsidRPr="00FF3848">
        <w:rPr>
          <w:rFonts w:cstheme="minorHAnsi"/>
        </w:rPr>
        <w:t xml:space="preserve"> U.S. Dept. of Education. Privacy Technical Assistance Center and the Student Privacy Policy Office. File a Complaint. Retrieved from </w:t>
      </w:r>
      <w:hyperlink r:id="rId16" w:history="1">
        <w:r w:rsidR="00604132" w:rsidRPr="00FF3848">
          <w:rPr>
            <w:rStyle w:val="Hyperlink"/>
            <w:rFonts w:cstheme="minorHAnsi"/>
          </w:rPr>
          <w:t>https://studentprivacy.ed.gov/file-a-complaint</w:t>
        </w:r>
      </w:hyperlink>
      <w:r w:rsidR="00604132" w:rsidRPr="00FF3848">
        <w:rPr>
          <w:rFonts w:cstheme="minorHAnsi"/>
        </w:rPr>
        <w:t xml:space="preserve">. </w:t>
      </w:r>
    </w:p>
  </w:footnote>
  <w:footnote w:id="49">
    <w:p w14:paraId="6EFF36AF" w14:textId="31671C37" w:rsidR="0061496C" w:rsidRPr="00FF3848" w:rsidRDefault="0061496C">
      <w:pPr>
        <w:pStyle w:val="FootnoteText"/>
        <w:rPr>
          <w:rFonts w:cstheme="minorHAnsi"/>
        </w:rPr>
      </w:pPr>
      <w:r w:rsidRPr="00FF3848">
        <w:rPr>
          <w:rStyle w:val="FootnoteReference"/>
          <w:rFonts w:cstheme="minorHAnsi"/>
        </w:rPr>
        <w:footnoteRef/>
      </w:r>
      <w:r w:rsidRPr="00FF3848">
        <w:rPr>
          <w:rFonts w:cstheme="minorHAnsi"/>
        </w:rPr>
        <w:t xml:space="preserve"> 34 CFR </w:t>
      </w:r>
      <w:r w:rsidR="0045114E" w:rsidRPr="00FF3848">
        <w:rPr>
          <w:rFonts w:cstheme="minorHAnsi"/>
        </w:rPr>
        <w:t>99.67</w:t>
      </w:r>
      <w:r w:rsidRPr="00FF3848">
        <w:rPr>
          <w:rFonts w:cstheme="minorHAnsi"/>
        </w:rPr>
        <w:t xml:space="preserve">. </w:t>
      </w:r>
    </w:p>
  </w:footnote>
  <w:footnote w:id="50">
    <w:p w14:paraId="37D25298" w14:textId="3BA2B4DE" w:rsidR="0061496C" w:rsidRPr="00FF3848" w:rsidRDefault="0061496C">
      <w:pPr>
        <w:pStyle w:val="FootnoteText"/>
        <w:rPr>
          <w:rFonts w:cstheme="minorHAnsi"/>
        </w:rPr>
      </w:pPr>
      <w:r w:rsidRPr="00FF3848">
        <w:rPr>
          <w:rStyle w:val="FootnoteReference"/>
          <w:rFonts w:cstheme="minorHAnsi"/>
        </w:rPr>
        <w:footnoteRef/>
      </w:r>
      <w:r w:rsidRPr="00FF3848">
        <w:rPr>
          <w:rFonts w:cstheme="minorHAnsi"/>
        </w:rPr>
        <w:t xml:space="preserve"> </w:t>
      </w:r>
      <w:r w:rsidR="00604132" w:rsidRPr="00FF3848">
        <w:rPr>
          <w:rFonts w:cstheme="minorHAnsi"/>
        </w:rPr>
        <w:t>34 CFR 99.67.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9F8EE" w14:textId="3DB393F9" w:rsidR="00BF0A14" w:rsidRDefault="00BF0A14" w:rsidP="00BF0A14">
    <w:pPr>
      <w:pStyle w:val="Header"/>
      <w:jc w:val="center"/>
      <w:rPr>
        <w:b/>
        <w:bCs/>
      </w:rPr>
    </w:pPr>
    <w:r w:rsidRPr="00BF0A14">
      <w:rPr>
        <w:b/>
        <w:bCs/>
        <w:highlight w:val="yellow"/>
      </w:rPr>
      <w:t>DRAFT 1</w:t>
    </w:r>
  </w:p>
  <w:p w14:paraId="2D4099B1" w14:textId="673B8DF5" w:rsidR="00BF0A14" w:rsidRPr="00BF0A14" w:rsidRDefault="00BF0A14" w:rsidP="00BF0A14">
    <w:pPr>
      <w:pStyle w:val="Header"/>
      <w:jc w:val="center"/>
      <w:rPr>
        <w:i/>
        <w:iCs/>
        <w:sz w:val="18"/>
        <w:szCs w:val="18"/>
      </w:rPr>
    </w:pPr>
    <w:r w:rsidRPr="00971B39">
      <w:rPr>
        <w:i/>
        <w:iCs/>
        <w:sz w:val="18"/>
        <w:szCs w:val="18"/>
      </w:rPr>
      <w:t>(for use in Info Sharing and Schools toolkits)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F5889"/>
    <w:multiLevelType w:val="hybridMultilevel"/>
    <w:tmpl w:val="AC002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A131853"/>
    <w:multiLevelType w:val="hybridMultilevel"/>
    <w:tmpl w:val="DF26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A14"/>
    <w:rsid w:val="00025A31"/>
    <w:rsid w:val="00056F39"/>
    <w:rsid w:val="000D07FF"/>
    <w:rsid w:val="000D2A7F"/>
    <w:rsid w:val="000D70EA"/>
    <w:rsid w:val="00113BB6"/>
    <w:rsid w:val="00151278"/>
    <w:rsid w:val="0015560B"/>
    <w:rsid w:val="001909EC"/>
    <w:rsid w:val="001A0C3D"/>
    <w:rsid w:val="001A5C87"/>
    <w:rsid w:val="001E6629"/>
    <w:rsid w:val="00205BCE"/>
    <w:rsid w:val="00206282"/>
    <w:rsid w:val="00243014"/>
    <w:rsid w:val="00290619"/>
    <w:rsid w:val="00313B96"/>
    <w:rsid w:val="0035120A"/>
    <w:rsid w:val="0038197B"/>
    <w:rsid w:val="003A24A0"/>
    <w:rsid w:val="003B2294"/>
    <w:rsid w:val="003D3257"/>
    <w:rsid w:val="004102C2"/>
    <w:rsid w:val="00417EEC"/>
    <w:rsid w:val="0045114E"/>
    <w:rsid w:val="00476446"/>
    <w:rsid w:val="00481253"/>
    <w:rsid w:val="00486586"/>
    <w:rsid w:val="00496EE7"/>
    <w:rsid w:val="004E37B9"/>
    <w:rsid w:val="00501664"/>
    <w:rsid w:val="00503DE1"/>
    <w:rsid w:val="00537D94"/>
    <w:rsid w:val="00552A88"/>
    <w:rsid w:val="005B2755"/>
    <w:rsid w:val="005E40E6"/>
    <w:rsid w:val="00604132"/>
    <w:rsid w:val="0061496C"/>
    <w:rsid w:val="00662A97"/>
    <w:rsid w:val="00676392"/>
    <w:rsid w:val="00700B8C"/>
    <w:rsid w:val="00712DDF"/>
    <w:rsid w:val="007F7CE3"/>
    <w:rsid w:val="00842846"/>
    <w:rsid w:val="00857C7C"/>
    <w:rsid w:val="00883465"/>
    <w:rsid w:val="00891948"/>
    <w:rsid w:val="00900E88"/>
    <w:rsid w:val="009047D5"/>
    <w:rsid w:val="009343FC"/>
    <w:rsid w:val="00951B3C"/>
    <w:rsid w:val="009A76FA"/>
    <w:rsid w:val="00A460ED"/>
    <w:rsid w:val="00A54DD6"/>
    <w:rsid w:val="00A60467"/>
    <w:rsid w:val="00A97A16"/>
    <w:rsid w:val="00AF61E5"/>
    <w:rsid w:val="00B249CB"/>
    <w:rsid w:val="00B32772"/>
    <w:rsid w:val="00B63A3B"/>
    <w:rsid w:val="00B65D4B"/>
    <w:rsid w:val="00B75B7F"/>
    <w:rsid w:val="00BD585B"/>
    <w:rsid w:val="00BF0A14"/>
    <w:rsid w:val="00BF6E7F"/>
    <w:rsid w:val="00C007B4"/>
    <w:rsid w:val="00C0507A"/>
    <w:rsid w:val="00C81824"/>
    <w:rsid w:val="00C8476B"/>
    <w:rsid w:val="00CC3CA5"/>
    <w:rsid w:val="00CE3DF8"/>
    <w:rsid w:val="00D4069E"/>
    <w:rsid w:val="00D766FB"/>
    <w:rsid w:val="00D96FCD"/>
    <w:rsid w:val="00DC1AD5"/>
    <w:rsid w:val="00FB0981"/>
    <w:rsid w:val="00FF08EE"/>
    <w:rsid w:val="00FF3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0B56AED"/>
  <w15:chartTrackingRefBased/>
  <w15:docId w15:val="{F2FCBB42-2E8F-4A8E-B512-397756E3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A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15">
    <w:name w:val="norm 1.5"/>
    <w:basedOn w:val="Normal"/>
    <w:qFormat/>
    <w:rsid w:val="00C007B4"/>
    <w:pPr>
      <w:spacing w:line="360" w:lineRule="auto"/>
    </w:pPr>
  </w:style>
  <w:style w:type="paragraph" w:customStyle="1" w:styleId="15para">
    <w:name w:val="1.5 para"/>
    <w:basedOn w:val="Normal"/>
    <w:qFormat/>
    <w:rsid w:val="00D766FB"/>
    <w:pPr>
      <w:spacing w:line="360" w:lineRule="auto"/>
    </w:pPr>
    <w:rPr>
      <w:rFonts w:ascii="Calibri" w:eastAsia="Times New Roman" w:hAnsi="Calibri" w:cs="Calibri"/>
      <w:szCs w:val="20"/>
    </w:rPr>
  </w:style>
  <w:style w:type="paragraph" w:styleId="ListParagraph">
    <w:name w:val="List Paragraph"/>
    <w:basedOn w:val="Normal"/>
    <w:uiPriority w:val="34"/>
    <w:qFormat/>
    <w:rsid w:val="00BF0A14"/>
    <w:pPr>
      <w:ind w:left="720"/>
      <w:contextualSpacing/>
    </w:pPr>
  </w:style>
  <w:style w:type="paragraph" w:styleId="Header">
    <w:name w:val="header"/>
    <w:basedOn w:val="Normal"/>
    <w:link w:val="HeaderChar"/>
    <w:uiPriority w:val="99"/>
    <w:unhideWhenUsed/>
    <w:rsid w:val="00BF0A14"/>
    <w:pPr>
      <w:tabs>
        <w:tab w:val="center" w:pos="4680"/>
        <w:tab w:val="right" w:pos="9360"/>
      </w:tabs>
    </w:pPr>
  </w:style>
  <w:style w:type="character" w:customStyle="1" w:styleId="HeaderChar">
    <w:name w:val="Header Char"/>
    <w:basedOn w:val="DefaultParagraphFont"/>
    <w:link w:val="Header"/>
    <w:uiPriority w:val="99"/>
    <w:rsid w:val="00BF0A14"/>
  </w:style>
  <w:style w:type="paragraph" w:styleId="Footer">
    <w:name w:val="footer"/>
    <w:basedOn w:val="Normal"/>
    <w:link w:val="FooterChar"/>
    <w:uiPriority w:val="99"/>
    <w:unhideWhenUsed/>
    <w:rsid w:val="00BF0A14"/>
    <w:pPr>
      <w:tabs>
        <w:tab w:val="center" w:pos="4680"/>
        <w:tab w:val="right" w:pos="9360"/>
      </w:tabs>
    </w:pPr>
  </w:style>
  <w:style w:type="character" w:customStyle="1" w:styleId="FooterChar">
    <w:name w:val="Footer Char"/>
    <w:basedOn w:val="DefaultParagraphFont"/>
    <w:link w:val="Footer"/>
    <w:uiPriority w:val="99"/>
    <w:rsid w:val="00BF0A14"/>
  </w:style>
  <w:style w:type="character" w:styleId="Hyperlink">
    <w:name w:val="Hyperlink"/>
    <w:basedOn w:val="DefaultParagraphFont"/>
    <w:uiPriority w:val="99"/>
    <w:unhideWhenUsed/>
    <w:rsid w:val="00B65D4B"/>
    <w:rPr>
      <w:color w:val="0563C1" w:themeColor="hyperlink"/>
      <w:u w:val="single"/>
    </w:rPr>
  </w:style>
  <w:style w:type="character" w:styleId="UnresolvedMention">
    <w:name w:val="Unresolved Mention"/>
    <w:basedOn w:val="DefaultParagraphFont"/>
    <w:uiPriority w:val="99"/>
    <w:semiHidden/>
    <w:unhideWhenUsed/>
    <w:rsid w:val="00B65D4B"/>
    <w:rPr>
      <w:color w:val="605E5C"/>
      <w:shd w:val="clear" w:color="auto" w:fill="E1DFDD"/>
    </w:rPr>
  </w:style>
  <w:style w:type="paragraph" w:styleId="FootnoteText">
    <w:name w:val="footnote text"/>
    <w:basedOn w:val="Normal"/>
    <w:link w:val="FootnoteTextChar"/>
    <w:uiPriority w:val="99"/>
    <w:semiHidden/>
    <w:unhideWhenUsed/>
    <w:rsid w:val="00CE3DF8"/>
    <w:rPr>
      <w:sz w:val="20"/>
      <w:szCs w:val="20"/>
    </w:rPr>
  </w:style>
  <w:style w:type="character" w:customStyle="1" w:styleId="FootnoteTextChar">
    <w:name w:val="Footnote Text Char"/>
    <w:basedOn w:val="DefaultParagraphFont"/>
    <w:link w:val="FootnoteText"/>
    <w:uiPriority w:val="99"/>
    <w:semiHidden/>
    <w:rsid w:val="00CE3DF8"/>
    <w:rPr>
      <w:sz w:val="20"/>
      <w:szCs w:val="20"/>
    </w:rPr>
  </w:style>
  <w:style w:type="character" w:styleId="FootnoteReference">
    <w:name w:val="footnote reference"/>
    <w:basedOn w:val="DefaultParagraphFont"/>
    <w:uiPriority w:val="99"/>
    <w:semiHidden/>
    <w:unhideWhenUsed/>
    <w:rsid w:val="00CE3DF8"/>
    <w:rPr>
      <w:vertAlign w:val="superscript"/>
    </w:rPr>
  </w:style>
  <w:style w:type="character" w:styleId="FollowedHyperlink">
    <w:name w:val="FollowedHyperlink"/>
    <w:basedOn w:val="DefaultParagraphFont"/>
    <w:uiPriority w:val="99"/>
    <w:semiHidden/>
    <w:unhideWhenUsed/>
    <w:rsid w:val="00025A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studentprivacy.ed.gov/sites/default/files/resource_document/file/2019%20HIPAA%20FERPA%20Joint%20Guidance%20508.pdf" TargetMode="External"/><Relationship Id="rId13" Type="http://schemas.openxmlformats.org/officeDocument/2006/relationships/hyperlink" Target="http://www2.ed.gov/policy/gen/guid/fpco/pdf/ferpa-h1n1.pdf" TargetMode="External"/><Relationship Id="rId3" Type="http://schemas.openxmlformats.org/officeDocument/2006/relationships/hyperlink" Target="https://studentprivacy.ed.gov/sites/default/files/resource_document/file/2019%20HIPAA%20FERPA%20Joint%20Guidance%20508.pdf" TargetMode="External"/><Relationship Id="rId7" Type="http://schemas.openxmlformats.org/officeDocument/2006/relationships/hyperlink" Target="https://studentprivacy.ed.gov/sites/default/files/resource_document/file/2019%20HIPAA%20FERPA%20Joint%20Guidance%20508.pdf" TargetMode="External"/><Relationship Id="rId12" Type="http://schemas.openxmlformats.org/officeDocument/2006/relationships/hyperlink" Target="http://www2.ed.gov/policy/gen/guid/fpco/pdf/ferpa-h1n1.pdf" TargetMode="External"/><Relationship Id="rId2" Type="http://schemas.openxmlformats.org/officeDocument/2006/relationships/hyperlink" Target="https://studentprivacy.ed.gov/sites/default/files/resource_document/file/2019%20HIPAA%20FERPA%20Joint%20Guidance%20508.pdf" TargetMode="External"/><Relationship Id="rId16" Type="http://schemas.openxmlformats.org/officeDocument/2006/relationships/hyperlink" Target="https://studentprivacy.ed.gov/file-a-complaint" TargetMode="External"/><Relationship Id="rId1" Type="http://schemas.openxmlformats.org/officeDocument/2006/relationships/hyperlink" Target="https://studentprivacy.ed.gov/?src=fpco" TargetMode="External"/><Relationship Id="rId6" Type="http://schemas.openxmlformats.org/officeDocument/2006/relationships/hyperlink" Target="https://studentprivacy.ed.gov/sites/default/files/resource_document/file/2019%20HIPAA%20FERPA%20Joint%20Guidance%20508.pdf" TargetMode="External"/><Relationship Id="rId11" Type="http://schemas.openxmlformats.org/officeDocument/2006/relationships/hyperlink" Target="https://studentprivacy.ed.gov/resources/guidance-reasonable-methods-and-written-agreements" TargetMode="External"/><Relationship Id="rId5" Type="http://schemas.openxmlformats.org/officeDocument/2006/relationships/hyperlink" Target="https://studentprivacy.ed.gov/sites/default/files/resource_document/file/2019%20HIPAA%20FERPA%20Joint%20Guidance%20508.pdf" TargetMode="External"/><Relationship Id="rId15" Type="http://schemas.openxmlformats.org/officeDocument/2006/relationships/hyperlink" Target="https://studentprivacy.ed.gov/resources/guidance-reasonable-methods-and-written-agreements" TargetMode="External"/><Relationship Id="rId10" Type="http://schemas.openxmlformats.org/officeDocument/2006/relationships/hyperlink" Target="https://www2.ed.gov/policy/gen/guid/secletter/030130.html" TargetMode="External"/><Relationship Id="rId4" Type="http://schemas.openxmlformats.org/officeDocument/2006/relationships/hyperlink" Target="https://studentprivacy.ed.gov/sites/default/files/resource_document/file/2019%20HIPAA%20FERPA%20Joint%20Guidance%20508.pdf" TargetMode="External"/><Relationship Id="rId9" Type="http://schemas.openxmlformats.org/officeDocument/2006/relationships/hyperlink" Target="https://studentprivacy.ed.gov/?src=fpco" TargetMode="External"/><Relationship Id="rId14" Type="http://schemas.openxmlformats.org/officeDocument/2006/relationships/hyperlink" Target="http://www2.ed.gov/policy/gen/guid/fpco/ferpa/library/baiseunmsl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A690-CBB4-4ABE-892F-98AB24D4B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10</Pages>
  <Words>2539</Words>
  <Characters>14474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60</cp:revision>
  <dcterms:created xsi:type="dcterms:W3CDTF">2020-03-09T15:38:00Z</dcterms:created>
  <dcterms:modified xsi:type="dcterms:W3CDTF">2020-03-09T23:23:00Z</dcterms:modified>
</cp:coreProperties>
</file>