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9455E" w14:textId="522C8A16" w:rsidR="006459B4" w:rsidRDefault="006459B4" w:rsidP="00FA3E7F">
      <w:pPr>
        <w:spacing w:line="360" w:lineRule="auto"/>
        <w:contextualSpacing/>
        <w:jc w:val="center"/>
        <w:rPr>
          <w:rFonts w:eastAsia="Times New Roman" w:cstheme="minorHAnsi"/>
          <w:b/>
          <w:bCs/>
          <w:color w:val="333333"/>
          <w:spacing w:val="15"/>
          <w:kern w:val="36"/>
          <w:sz w:val="24"/>
          <w:szCs w:val="24"/>
        </w:rPr>
      </w:pPr>
      <w:r>
        <w:rPr>
          <w:rFonts w:eastAsia="Times New Roman" w:cstheme="minorHAnsi"/>
          <w:b/>
          <w:bCs/>
          <w:color w:val="333333"/>
          <w:spacing w:val="15"/>
          <w:kern w:val="36"/>
          <w:sz w:val="24"/>
          <w:szCs w:val="24"/>
        </w:rPr>
        <w:t>SCOPE OF PRACTICE</w:t>
      </w:r>
      <w:r w:rsidRPr="00FB2B3B">
        <w:rPr>
          <w:rFonts w:eastAsia="Times New Roman" w:cstheme="minorHAnsi"/>
          <w:b/>
          <w:bCs/>
          <w:color w:val="333333"/>
          <w:spacing w:val="15"/>
          <w:kern w:val="36"/>
          <w:sz w:val="24"/>
          <w:szCs w:val="24"/>
        </w:rPr>
        <w:t xml:space="preserve"> </w:t>
      </w:r>
      <w:r>
        <w:rPr>
          <w:rFonts w:eastAsia="Times New Roman" w:cstheme="minorHAnsi"/>
          <w:b/>
          <w:bCs/>
          <w:color w:val="333333"/>
          <w:spacing w:val="15"/>
          <w:kern w:val="36"/>
          <w:sz w:val="24"/>
          <w:szCs w:val="24"/>
        </w:rPr>
        <w:t>TOOLKIT</w:t>
      </w:r>
    </w:p>
    <w:p w14:paraId="2A46E63D" w14:textId="77777777" w:rsidR="006459B4" w:rsidRPr="00FB2B3B" w:rsidRDefault="006459B4" w:rsidP="00FA3E7F">
      <w:pPr>
        <w:spacing w:line="360" w:lineRule="auto"/>
        <w:contextualSpacing/>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7CFB89C0" w14:textId="77777777" w:rsidR="006459B4" w:rsidRDefault="006459B4" w:rsidP="00FA3E7F">
      <w:pPr>
        <w:spacing w:line="360" w:lineRule="auto"/>
        <w:contextualSpacing/>
        <w:jc w:val="center"/>
        <w:rPr>
          <w:b/>
          <w:bCs/>
          <w:sz w:val="24"/>
          <w:szCs w:val="24"/>
        </w:rPr>
      </w:pPr>
    </w:p>
    <w:p w14:paraId="34280521" w14:textId="1D2D8394" w:rsidR="006459B4" w:rsidRDefault="006459B4" w:rsidP="00FA3E7F">
      <w:pPr>
        <w:spacing w:line="360" w:lineRule="auto"/>
        <w:contextualSpacing/>
        <w:rPr>
          <w:rFonts w:eastAsia="Times New Roman" w:cstheme="minorHAnsi"/>
          <w:szCs w:val="20"/>
        </w:rPr>
      </w:pPr>
      <w:r>
        <w:rPr>
          <w:rFonts w:ascii="Calibri" w:eastAsia="Times New Roman" w:hAnsi="Calibri" w:cs="Calibri"/>
          <w:szCs w:val="20"/>
        </w:rPr>
        <w:t>This document provides an overview of important concepts and laws related to</w:t>
      </w:r>
      <w:r w:rsidR="00FA3E7F" w:rsidRPr="00724268">
        <w:rPr>
          <w:rFonts w:eastAsia="Times New Roman" w:cstheme="minorHAnsi"/>
          <w:szCs w:val="20"/>
        </w:rPr>
        <w:t xml:space="preserve"> scope of practice in public health emergency response </w:t>
      </w:r>
      <w:r w:rsidR="00200A9D" w:rsidRPr="00724268">
        <w:rPr>
          <w:rFonts w:eastAsia="Times New Roman" w:cstheme="minorHAnsi"/>
          <w:szCs w:val="20"/>
        </w:rPr>
        <w:t>activities</w:t>
      </w:r>
      <w:r w:rsidR="00200A9D">
        <w:rPr>
          <w:rFonts w:eastAsia="Times New Roman" w:cstheme="minorHAnsi"/>
          <w:szCs w:val="20"/>
        </w:rPr>
        <w:t>.</w:t>
      </w:r>
      <w:r>
        <w:rPr>
          <w:rFonts w:ascii="Calibri" w:eastAsia="Times New Roman" w:hAnsi="Calibri" w:cs="Calibri"/>
          <w:szCs w:val="20"/>
        </w:rPr>
        <w:t xml:space="preserve"> </w:t>
      </w:r>
      <w:r w:rsidRPr="00BC079F">
        <w:rPr>
          <w:rFonts w:eastAsia="Times New Roman" w:cstheme="minorHAnsi"/>
          <w:szCs w:val="20"/>
        </w:rPr>
        <w:t xml:space="preserve">More information about these and other related concepts are contained in </w:t>
      </w:r>
      <w:r>
        <w:rPr>
          <w:rFonts w:eastAsia="Times New Roman" w:cstheme="minorHAnsi"/>
          <w:szCs w:val="20"/>
        </w:rPr>
        <w:t xml:space="preserve">the </w:t>
      </w:r>
      <w:r>
        <w:rPr>
          <w:rFonts w:eastAsia="Times New Roman" w:cstheme="minorHAnsi"/>
          <w:szCs w:val="20"/>
        </w:rPr>
        <w:t>Scope of Practice</w:t>
      </w:r>
      <w:r>
        <w:rPr>
          <w:rFonts w:eastAsia="Times New Roman" w:cstheme="minorHAnsi"/>
          <w:szCs w:val="20"/>
        </w:rPr>
        <w:t xml:space="preserve"> </w:t>
      </w:r>
      <w:r w:rsidRPr="00BC079F">
        <w:rPr>
          <w:rFonts w:eastAsia="Times New Roman" w:cstheme="minorHAnsi"/>
          <w:szCs w:val="20"/>
        </w:rPr>
        <w:t>Toolkit.</w:t>
      </w:r>
    </w:p>
    <w:p w14:paraId="2C476062" w14:textId="77777777" w:rsidR="00200A9D" w:rsidRPr="00724268" w:rsidRDefault="00200A9D" w:rsidP="00FA3E7F">
      <w:pPr>
        <w:shd w:val="clear" w:color="auto" w:fill="FFFFFF"/>
        <w:spacing w:line="360" w:lineRule="auto"/>
        <w:contextualSpacing/>
        <w:textAlignment w:val="baseline"/>
        <w:rPr>
          <w:rFonts w:eastAsia="Times New Roman" w:cstheme="minorHAnsi"/>
          <w:szCs w:val="20"/>
        </w:rPr>
      </w:pPr>
      <w:bookmarkStart w:id="0" w:name="_GoBack"/>
      <w:bookmarkEnd w:id="0"/>
    </w:p>
    <w:p w14:paraId="40D3A284" w14:textId="77777777" w:rsidR="00FA3E7F" w:rsidRPr="00200A9D" w:rsidRDefault="00CC27FD" w:rsidP="00FA3E7F">
      <w:pPr>
        <w:shd w:val="clear" w:color="auto" w:fill="FFFFFF"/>
        <w:spacing w:line="360" w:lineRule="auto"/>
        <w:contextualSpacing/>
        <w:textAlignment w:val="baseline"/>
        <w:rPr>
          <w:rFonts w:eastAsia="Times New Roman" w:cstheme="minorHAnsi"/>
          <w:b/>
          <w:bCs/>
          <w:sz w:val="24"/>
          <w:bdr w:val="none" w:sz="0" w:space="0" w:color="auto" w:frame="1"/>
        </w:rPr>
      </w:pPr>
      <w:r w:rsidRPr="00200A9D">
        <w:rPr>
          <w:rFonts w:eastAsia="Times New Roman" w:cstheme="minorHAnsi"/>
          <w:b/>
          <w:bCs/>
          <w:sz w:val="24"/>
          <w:bdr w:val="none" w:sz="0" w:space="0" w:color="auto" w:frame="1"/>
        </w:rPr>
        <w:t>Overview</w:t>
      </w:r>
    </w:p>
    <w:p w14:paraId="40861D97" w14:textId="120E6C83"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The “scope of practice” for a regulated profession includes those activities that a person with a specified level of education, training, and competency is authorized to engage in under the laws of the state in which the person practices. Scope of practice can also incorporate conditions that may limit the exercise of authorized activities and procedures. Persons meeting a state’s requirements for that field are issued a license, certification, or some other type of authorization to practice in that state. Practitioners are expected to know what activities they are authorized to conduct and keep their actions within this scope. Should a practitioner exceed the authorized scope of practice, they could be liable for violation of the state’s practice laws, as well as potentially more severe claims such as malpractice.</w:t>
      </w:r>
    </w:p>
    <w:p w14:paraId="742A05DD"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7DA7D1FD" w14:textId="77777777" w:rsidR="007D11F4" w:rsidRPr="007D11F4" w:rsidRDefault="00CC27FD" w:rsidP="00FA3E7F">
      <w:pPr>
        <w:shd w:val="clear" w:color="auto" w:fill="FFFFFF"/>
        <w:spacing w:line="360" w:lineRule="auto"/>
        <w:contextualSpacing/>
        <w:textAlignment w:val="baseline"/>
        <w:rPr>
          <w:rFonts w:eastAsia="Times New Roman" w:cstheme="minorHAnsi"/>
          <w:b/>
          <w:bCs/>
          <w:sz w:val="24"/>
          <w:bdr w:val="none" w:sz="0" w:space="0" w:color="auto" w:frame="1"/>
        </w:rPr>
      </w:pPr>
      <w:r w:rsidRPr="007D11F4">
        <w:rPr>
          <w:rFonts w:eastAsia="Times New Roman" w:cstheme="minorHAnsi"/>
          <w:b/>
          <w:bCs/>
          <w:sz w:val="24"/>
          <w:bdr w:val="none" w:sz="0" w:space="0" w:color="auto" w:frame="1"/>
        </w:rPr>
        <w:t>Modifying SOP</w:t>
      </w:r>
    </w:p>
    <w:p w14:paraId="0B2FF197" w14:textId="143E9FA3" w:rsidR="00CC27FD" w:rsidRPr="00724268" w:rsidRDefault="007D11F4" w:rsidP="00FA3E7F">
      <w:pPr>
        <w:shd w:val="clear" w:color="auto" w:fill="FFFFFF"/>
        <w:spacing w:line="360" w:lineRule="auto"/>
        <w:contextualSpacing/>
        <w:textAlignment w:val="baseline"/>
        <w:rPr>
          <w:rFonts w:eastAsia="Times New Roman" w:cstheme="minorHAnsi"/>
          <w:szCs w:val="20"/>
        </w:rPr>
      </w:pPr>
      <w:r>
        <w:rPr>
          <w:rFonts w:eastAsia="Times New Roman" w:cstheme="minorHAnsi"/>
          <w:szCs w:val="20"/>
        </w:rPr>
        <w:t>S</w:t>
      </w:r>
      <w:r w:rsidR="00CC27FD" w:rsidRPr="00724268">
        <w:rPr>
          <w:rFonts w:eastAsia="Times New Roman" w:cstheme="minorHAnsi"/>
          <w:szCs w:val="20"/>
        </w:rPr>
        <w:t>tates may find it necessary to modify the scope of practice for some of its regulated professions to meet increased demand for important services during an emergency. Modifying scope of practice can be accomplished by expanding or altering the scope of activities a practitioner is allowed to engage in and by removing or adding conditions on the permitted activities. Overlapping and closely related skills are the foundation for modifying and expanding scopes of practice during emergencies. This practice allows practitioners to conduct activities they are not normally permitted to conduct or alters the conditions under which they practice (e.g., replacing direct supervision requirements with written protocols).</w:t>
      </w:r>
    </w:p>
    <w:p w14:paraId="4953DC89"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314053D4" w14:textId="1D762770"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 xml:space="preserve">During the 2009 H1N1 influenza pandemic, a number of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sufficient to respond to </w:t>
      </w:r>
      <w:r w:rsidRPr="00724268">
        <w:rPr>
          <w:rFonts w:eastAsia="Times New Roman" w:cstheme="minorHAnsi"/>
          <w:szCs w:val="20"/>
        </w:rPr>
        <w:lastRenderedPageBreak/>
        <w:t>the outbreak in the state; some states pursued other strategies, such as the use of volunteer healthcare providers, to supplement their response capacity.</w:t>
      </w:r>
    </w:p>
    <w:p w14:paraId="0BDCC09D"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4F55FA8E" w14:textId="2B9F4AB6" w:rsidR="0097041E" w:rsidRPr="0097041E" w:rsidRDefault="00B86D63" w:rsidP="00FA3E7F">
      <w:pPr>
        <w:shd w:val="clear" w:color="auto" w:fill="FFFFFF"/>
        <w:spacing w:line="360" w:lineRule="auto"/>
        <w:contextualSpacing/>
        <w:textAlignment w:val="baseline"/>
        <w:rPr>
          <w:rFonts w:eastAsia="Times New Roman" w:cstheme="minorHAnsi"/>
          <w:b/>
          <w:bCs/>
          <w:sz w:val="24"/>
          <w:bdr w:val="none" w:sz="0" w:space="0" w:color="auto" w:frame="1"/>
        </w:rPr>
      </w:pPr>
      <w:r>
        <w:rPr>
          <w:rFonts w:eastAsia="Times New Roman" w:cstheme="minorHAnsi"/>
          <w:b/>
          <w:bCs/>
          <w:sz w:val="24"/>
          <w:bdr w:val="none" w:sz="0" w:space="0" w:color="auto" w:frame="1"/>
        </w:rPr>
        <w:t xml:space="preserve">Licensing Boards and </w:t>
      </w:r>
      <w:r w:rsidR="0097041E" w:rsidRPr="0097041E">
        <w:rPr>
          <w:rFonts w:eastAsia="Times New Roman" w:cstheme="minorHAnsi"/>
          <w:b/>
          <w:bCs/>
          <w:sz w:val="24"/>
          <w:bdr w:val="none" w:sz="0" w:space="0" w:color="auto" w:frame="1"/>
        </w:rPr>
        <w:t xml:space="preserve">Legal </w:t>
      </w:r>
      <w:r w:rsidR="00CC27FD" w:rsidRPr="0097041E">
        <w:rPr>
          <w:rFonts w:eastAsia="Times New Roman" w:cstheme="minorHAnsi"/>
          <w:b/>
          <w:bCs/>
          <w:sz w:val="24"/>
          <w:bdr w:val="none" w:sz="0" w:space="0" w:color="auto" w:frame="1"/>
        </w:rPr>
        <w:t xml:space="preserve">Authorities to </w:t>
      </w:r>
      <w:r w:rsidR="00F6095D">
        <w:rPr>
          <w:rFonts w:eastAsia="Times New Roman" w:cstheme="minorHAnsi"/>
          <w:b/>
          <w:bCs/>
          <w:sz w:val="24"/>
          <w:bdr w:val="none" w:sz="0" w:space="0" w:color="auto" w:frame="1"/>
        </w:rPr>
        <w:t>Modify</w:t>
      </w:r>
      <w:r w:rsidR="00CC27FD" w:rsidRPr="0097041E">
        <w:rPr>
          <w:rFonts w:eastAsia="Times New Roman" w:cstheme="minorHAnsi"/>
          <w:b/>
          <w:bCs/>
          <w:sz w:val="24"/>
          <w:bdr w:val="none" w:sz="0" w:space="0" w:color="auto" w:frame="1"/>
        </w:rPr>
        <w:t xml:space="preserve"> SOP</w:t>
      </w:r>
    </w:p>
    <w:p w14:paraId="6E61B1CB" w14:textId="54CB4551" w:rsidR="00A27BA9" w:rsidRDefault="003F232B" w:rsidP="00FA3E7F">
      <w:pPr>
        <w:shd w:val="clear" w:color="auto" w:fill="FFFFFF"/>
        <w:spacing w:line="360" w:lineRule="auto"/>
        <w:contextualSpacing/>
        <w:textAlignment w:val="baseline"/>
        <w:rPr>
          <w:rFonts w:eastAsia="Times New Roman" w:cstheme="minorHAnsi"/>
          <w:szCs w:val="20"/>
        </w:rPr>
      </w:pPr>
      <w:r>
        <w:rPr>
          <w:rFonts w:eastAsia="Times New Roman" w:cstheme="minorHAnsi"/>
          <w:szCs w:val="20"/>
        </w:rPr>
        <w:t>All states have multiple licensure boards created by statute and/or regulation governing a wide variety of professions</w:t>
      </w:r>
      <w:r>
        <w:rPr>
          <w:rStyle w:val="FootnoteReference"/>
          <w:rFonts w:eastAsia="Times New Roman" w:cstheme="minorHAnsi"/>
          <w:szCs w:val="20"/>
        </w:rPr>
        <w:footnoteReference w:id="1"/>
      </w:r>
      <w:r>
        <w:rPr>
          <w:rFonts w:eastAsia="Times New Roman" w:cstheme="minorHAnsi"/>
          <w:szCs w:val="20"/>
        </w:rPr>
        <w:t xml:space="preserve">. </w:t>
      </w:r>
      <w:r w:rsidR="00C15514">
        <w:rPr>
          <w:rFonts w:eastAsia="Times New Roman" w:cstheme="minorHAnsi"/>
          <w:szCs w:val="20"/>
        </w:rPr>
        <w:t>B</w:t>
      </w:r>
      <w:r w:rsidR="00C15514" w:rsidRPr="00D73A09">
        <w:rPr>
          <w:rFonts w:eastAsia="Times New Roman" w:cstheme="minorHAnsi"/>
          <w:szCs w:val="20"/>
        </w:rPr>
        <w:t xml:space="preserve">ecause </w:t>
      </w:r>
      <w:r w:rsidR="00C15514">
        <w:rPr>
          <w:rFonts w:eastAsia="Times New Roman" w:cstheme="minorHAnsi"/>
          <w:szCs w:val="20"/>
        </w:rPr>
        <w:t xml:space="preserve">each state generally established its </w:t>
      </w:r>
      <w:r w:rsidR="00C15514" w:rsidRPr="00D73A09">
        <w:rPr>
          <w:rFonts w:eastAsia="Times New Roman" w:cstheme="minorHAnsi"/>
          <w:szCs w:val="20"/>
        </w:rPr>
        <w:t>licensing laws independently</w:t>
      </w:r>
      <w:r w:rsidR="00C15514">
        <w:rPr>
          <w:rFonts w:eastAsia="Times New Roman" w:cstheme="minorHAnsi"/>
          <w:szCs w:val="20"/>
        </w:rPr>
        <w:t xml:space="preserve">, there may be </w:t>
      </w:r>
      <w:r w:rsidR="00C15514" w:rsidRPr="00D73A09">
        <w:rPr>
          <w:rFonts w:eastAsia="Times New Roman" w:cstheme="minorHAnsi"/>
          <w:szCs w:val="20"/>
        </w:rPr>
        <w:t>significant differences and disparities in licensing requirements</w:t>
      </w:r>
      <w:r w:rsidR="00C15514">
        <w:rPr>
          <w:rFonts w:eastAsia="Times New Roman" w:cstheme="minorHAnsi"/>
          <w:szCs w:val="20"/>
        </w:rPr>
        <w:t xml:space="preserve"> among jurisdictions.</w:t>
      </w:r>
      <w:r w:rsidR="00C15514">
        <w:rPr>
          <w:rStyle w:val="FootnoteReference"/>
          <w:rFonts w:eastAsia="Times New Roman" w:cstheme="minorHAnsi"/>
          <w:szCs w:val="20"/>
        </w:rPr>
        <w:footnoteReference w:id="2"/>
      </w:r>
      <w:r w:rsidR="00605D35">
        <w:rPr>
          <w:rFonts w:eastAsia="Times New Roman" w:cstheme="minorHAnsi"/>
          <w:szCs w:val="20"/>
        </w:rPr>
        <w:t xml:space="preserve"> A state’s l</w:t>
      </w:r>
      <w:r w:rsidR="00605D35" w:rsidRPr="00EB7D2D">
        <w:rPr>
          <w:rFonts w:eastAsia="Times New Roman" w:cstheme="minorHAnsi"/>
          <w:szCs w:val="20"/>
        </w:rPr>
        <w:t xml:space="preserve">icensing requirements </w:t>
      </w:r>
      <w:r w:rsidR="00300DE5">
        <w:rPr>
          <w:rFonts w:eastAsia="Times New Roman" w:cstheme="minorHAnsi"/>
          <w:szCs w:val="20"/>
        </w:rPr>
        <w:t xml:space="preserve">for </w:t>
      </w:r>
      <w:r w:rsidR="008264BC">
        <w:rPr>
          <w:rFonts w:eastAsia="Times New Roman" w:cstheme="minorHAnsi"/>
          <w:szCs w:val="20"/>
        </w:rPr>
        <w:t xml:space="preserve">a regulated profession </w:t>
      </w:r>
      <w:r w:rsidR="00605D35">
        <w:rPr>
          <w:rFonts w:eastAsia="Times New Roman" w:cstheme="minorHAnsi"/>
          <w:szCs w:val="20"/>
        </w:rPr>
        <w:t xml:space="preserve">may be set </w:t>
      </w:r>
      <w:r w:rsidR="005777F6">
        <w:rPr>
          <w:rFonts w:eastAsia="Times New Roman" w:cstheme="minorHAnsi"/>
          <w:szCs w:val="20"/>
        </w:rPr>
        <w:t xml:space="preserve">by statute and/or in regulations created by a state agency or a </w:t>
      </w:r>
      <w:r w:rsidR="00605D35" w:rsidRPr="00EB7D2D">
        <w:rPr>
          <w:rFonts w:eastAsia="Times New Roman" w:cstheme="minorHAnsi"/>
          <w:szCs w:val="20"/>
        </w:rPr>
        <w:t>state-sponsored independent board</w:t>
      </w:r>
      <w:r w:rsidR="00300DE5">
        <w:rPr>
          <w:rFonts w:eastAsia="Times New Roman" w:cstheme="minorHAnsi"/>
          <w:szCs w:val="20"/>
        </w:rPr>
        <w:t xml:space="preserve">. </w:t>
      </w:r>
    </w:p>
    <w:p w14:paraId="152F244C" w14:textId="77777777" w:rsidR="00B90545" w:rsidRDefault="00B90545" w:rsidP="00FA3E7F">
      <w:pPr>
        <w:shd w:val="clear" w:color="auto" w:fill="FFFFFF"/>
        <w:spacing w:line="360" w:lineRule="auto"/>
        <w:contextualSpacing/>
        <w:textAlignment w:val="baseline"/>
        <w:rPr>
          <w:rFonts w:eastAsia="Times New Roman" w:cstheme="minorHAnsi"/>
          <w:szCs w:val="20"/>
        </w:rPr>
      </w:pPr>
    </w:p>
    <w:p w14:paraId="2ED5FD49" w14:textId="4446E23A"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States’ legal authorities and mechanisms for modifying scope of practice for a public health emergency vary. Some states have permanently authorized modified scopes of practice in emergencies for selected professions, either by statute or regulation, which are then activated by an emergency declaration by a governor, health officer, practice regulatory body, or other authorized official. Other states have used orders from a governor, health officer, or practice regulatory bodies during a declared emergency to authorize and specify the modified scope of practice applicable for that emergency. Modified practice authority granted in an emergency generally lasts until the underlying emergency declaration expires or is otherwise cancelled by the health agency or professional regulatory body.</w:t>
      </w:r>
    </w:p>
    <w:p w14:paraId="6262A07A"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65214CF8" w14:textId="77777777" w:rsidR="00573493" w:rsidRPr="004F638E" w:rsidRDefault="00CC27FD" w:rsidP="00D849A0">
      <w:pPr>
        <w:keepNext/>
        <w:shd w:val="clear" w:color="auto" w:fill="FFFFFF"/>
        <w:spacing w:line="360" w:lineRule="auto"/>
        <w:contextualSpacing/>
        <w:textAlignment w:val="baseline"/>
        <w:rPr>
          <w:rFonts w:eastAsia="Times New Roman" w:cstheme="minorHAnsi"/>
          <w:b/>
          <w:bCs/>
          <w:sz w:val="24"/>
          <w:bdr w:val="none" w:sz="0" w:space="0" w:color="auto" w:frame="1"/>
        </w:rPr>
      </w:pPr>
      <w:r w:rsidRPr="004F638E">
        <w:rPr>
          <w:rFonts w:eastAsia="Times New Roman" w:cstheme="minorHAnsi"/>
          <w:b/>
          <w:bCs/>
          <w:sz w:val="24"/>
          <w:bdr w:val="none" w:sz="0" w:space="0" w:color="auto" w:frame="1"/>
        </w:rPr>
        <w:t>Modified SOP in Emergencies</w:t>
      </w:r>
    </w:p>
    <w:p w14:paraId="7CB342AE" w14:textId="334E2F59"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Modifying scope of practice in emergencies generally involves addressing several factors:</w:t>
      </w:r>
    </w:p>
    <w:p w14:paraId="04120FAA" w14:textId="77777777" w:rsidR="00CC27FD" w:rsidRPr="00724268" w:rsidRDefault="00CC27FD" w:rsidP="00FA3E7F">
      <w:pPr>
        <w:shd w:val="clear" w:color="auto" w:fill="FFFFFF"/>
        <w:spacing w:line="360" w:lineRule="auto"/>
        <w:contextualSpacing/>
        <w:textAlignment w:val="baseline"/>
        <w:rPr>
          <w:rFonts w:eastAsia="Times New Roman" w:cstheme="minorHAnsi"/>
          <w:szCs w:val="20"/>
        </w:rPr>
      </w:pPr>
    </w:p>
    <w:p w14:paraId="43EFA960" w14:textId="798059E0" w:rsidR="00CC27FD" w:rsidRDefault="00CC27FD" w:rsidP="00FA3E7F">
      <w:pPr>
        <w:pStyle w:val="ListParagraph"/>
        <w:numPr>
          <w:ilvl w:val="0"/>
          <w:numId w:val="2"/>
        </w:numPr>
        <w:spacing w:line="360" w:lineRule="auto"/>
        <w:textAlignment w:val="baseline"/>
        <w:rPr>
          <w:rFonts w:eastAsia="Times New Roman" w:cstheme="minorHAnsi"/>
          <w:szCs w:val="20"/>
        </w:rPr>
      </w:pPr>
      <w:r w:rsidRPr="00724268">
        <w:rPr>
          <w:rFonts w:eastAsia="Times New Roman" w:cstheme="minorHAnsi"/>
          <w:b/>
          <w:bCs/>
          <w:szCs w:val="20"/>
          <w:bdr w:val="none" w:sz="0" w:space="0" w:color="auto" w:frame="1"/>
        </w:rPr>
        <w:t>Permitted Activities and Practitioners Undertaking Them—</w:t>
      </w:r>
      <w:r w:rsidRPr="00724268">
        <w:rPr>
          <w:rFonts w:eastAsia="Times New Roman" w:cstheme="minorHAnsi"/>
          <w:szCs w:val="20"/>
        </w:rPr>
        <w:t xml:space="preserve">States’ approaches to modifying the types of practitioners and the activities they are allowed to conduct in an emergency vary (e.g., administering drugs and giving vaccinations or other injections). Practitioners with the same or </w:t>
      </w:r>
      <w:r w:rsidRPr="00724268">
        <w:rPr>
          <w:rFonts w:eastAsia="Times New Roman" w:cstheme="minorHAnsi"/>
          <w:szCs w:val="20"/>
        </w:rPr>
        <w:lastRenderedPageBreak/>
        <w:t>similar skill sets necessary to meet the demands of a specific emergency event are most likely to be considered for modified practice.</w:t>
      </w:r>
    </w:p>
    <w:p w14:paraId="4C04D3EB" w14:textId="77777777" w:rsidR="000449CE" w:rsidRPr="00724268" w:rsidRDefault="000449CE" w:rsidP="000449CE">
      <w:pPr>
        <w:pStyle w:val="ListParagraph"/>
        <w:spacing w:line="360" w:lineRule="auto"/>
        <w:ind w:left="360"/>
        <w:textAlignment w:val="baseline"/>
        <w:rPr>
          <w:rFonts w:eastAsia="Times New Roman" w:cstheme="minorHAnsi"/>
          <w:szCs w:val="20"/>
        </w:rPr>
      </w:pPr>
    </w:p>
    <w:p w14:paraId="5C419FB1" w14:textId="7042CDC9" w:rsidR="00CC27FD" w:rsidRDefault="00CC27FD" w:rsidP="00FA3E7F">
      <w:pPr>
        <w:pStyle w:val="ListParagraph"/>
        <w:numPr>
          <w:ilvl w:val="0"/>
          <w:numId w:val="2"/>
        </w:numPr>
        <w:spacing w:line="360" w:lineRule="auto"/>
        <w:textAlignment w:val="baseline"/>
        <w:rPr>
          <w:rFonts w:eastAsia="Times New Roman" w:cstheme="minorHAnsi"/>
          <w:szCs w:val="20"/>
        </w:rPr>
      </w:pPr>
      <w:r w:rsidRPr="00724268">
        <w:rPr>
          <w:rFonts w:eastAsia="Times New Roman" w:cstheme="minorHAnsi"/>
          <w:b/>
          <w:bCs/>
          <w:szCs w:val="20"/>
          <w:bdr w:val="none" w:sz="0" w:space="0" w:color="auto" w:frame="1"/>
        </w:rPr>
        <w:t>Medical Control and Supervision—</w:t>
      </w:r>
      <w:r w:rsidRPr="00724268">
        <w:rPr>
          <w:rFonts w:eastAsia="Times New Roman" w:cstheme="minorHAnsi"/>
          <w:szCs w:val="20"/>
        </w:rPr>
        <w:t>Medical control or supervision is accomplished through personal oversight or written directions in the form of prescriptions, protocols, or orders. Temporarily modifying medical control and supervision requirements, either by altering, removing, or adding requirements, is a strategy used to change a professional scope of practice during public health emergencies.</w:t>
      </w:r>
    </w:p>
    <w:p w14:paraId="4DDD9C0B" w14:textId="77777777" w:rsidR="000449CE" w:rsidRPr="000449CE" w:rsidRDefault="000449CE" w:rsidP="000449CE">
      <w:pPr>
        <w:spacing w:line="360" w:lineRule="auto"/>
        <w:textAlignment w:val="baseline"/>
        <w:rPr>
          <w:rFonts w:eastAsia="Times New Roman" w:cstheme="minorHAnsi"/>
          <w:szCs w:val="20"/>
        </w:rPr>
      </w:pPr>
    </w:p>
    <w:p w14:paraId="5C981EA5" w14:textId="77777777" w:rsidR="00CC27FD" w:rsidRPr="00724268" w:rsidRDefault="00CC27FD" w:rsidP="00FA3E7F">
      <w:pPr>
        <w:pStyle w:val="ListParagraph"/>
        <w:numPr>
          <w:ilvl w:val="0"/>
          <w:numId w:val="2"/>
        </w:numPr>
        <w:spacing w:line="360" w:lineRule="auto"/>
        <w:textAlignment w:val="baseline"/>
        <w:rPr>
          <w:rFonts w:eastAsia="Times New Roman" w:cstheme="minorHAnsi"/>
          <w:szCs w:val="20"/>
        </w:rPr>
      </w:pPr>
      <w:r w:rsidRPr="00724268">
        <w:rPr>
          <w:rFonts w:eastAsia="Times New Roman" w:cstheme="minorHAnsi"/>
          <w:b/>
          <w:bCs/>
          <w:szCs w:val="20"/>
          <w:bdr w:val="none" w:sz="0" w:space="0" w:color="auto" w:frame="1"/>
        </w:rPr>
        <w:t>Training—</w:t>
      </w:r>
      <w:r w:rsidRPr="00724268">
        <w:rPr>
          <w:rFonts w:eastAsia="Times New Roman" w:cstheme="minorHAnsi"/>
          <w:szCs w:val="20"/>
        </w:rPr>
        <w:t>Training requirements can apply to practitioners who will be acting under a modified scope of practice, as well as those who are acting within their existing scope but whose daily activities do not include performing the specified activity (e.g., giving injections).</w:t>
      </w:r>
    </w:p>
    <w:p w14:paraId="52DC7582" w14:textId="77777777" w:rsidR="00CC27FD" w:rsidRPr="00724268" w:rsidRDefault="00CC27FD" w:rsidP="00FA3E7F">
      <w:pPr>
        <w:spacing w:line="360" w:lineRule="auto"/>
        <w:contextualSpacing/>
        <w:textAlignment w:val="baseline"/>
        <w:rPr>
          <w:rFonts w:eastAsia="Times New Roman" w:cstheme="minorHAnsi"/>
          <w:sz w:val="24"/>
          <w:szCs w:val="20"/>
        </w:rPr>
      </w:pPr>
    </w:p>
    <w:p w14:paraId="302B048E" w14:textId="77777777" w:rsidR="00543CAC" w:rsidRPr="00DC2AB8" w:rsidRDefault="00543CAC" w:rsidP="00543CAC">
      <w:pPr>
        <w:spacing w:line="360" w:lineRule="auto"/>
        <w:rPr>
          <w:rFonts w:eastAsia="Times New Roman" w:cstheme="minorHAnsi"/>
          <w:b/>
          <w:bCs/>
          <w:sz w:val="24"/>
        </w:rPr>
      </w:pPr>
      <w:r w:rsidRPr="00DC2AB8">
        <w:rPr>
          <w:rFonts w:eastAsia="Times New Roman" w:cstheme="minorHAnsi"/>
          <w:b/>
          <w:bCs/>
          <w:sz w:val="24"/>
        </w:rPr>
        <w:t>Concerns Regarding Modified Scope of Practice in Emergencies</w:t>
      </w:r>
    </w:p>
    <w:p w14:paraId="6E94E6B2" w14:textId="25956923" w:rsidR="00CC27FD" w:rsidRPr="00724268" w:rsidRDefault="00CC27FD" w:rsidP="00FA3E7F">
      <w:pPr>
        <w:shd w:val="clear" w:color="auto" w:fill="FFFFFF"/>
        <w:spacing w:line="360" w:lineRule="auto"/>
        <w:contextualSpacing/>
        <w:textAlignment w:val="baseline"/>
        <w:rPr>
          <w:rFonts w:eastAsia="Times New Roman" w:cstheme="minorHAnsi"/>
          <w:szCs w:val="20"/>
        </w:rPr>
      </w:pPr>
      <w:r w:rsidRPr="00724268">
        <w:rPr>
          <w:rFonts w:eastAsia="Times New Roman" w:cstheme="minorHAnsi"/>
          <w:szCs w:val="20"/>
        </w:rPr>
        <w:t xml:space="preserve">Concerns have been noted that practitioners working under modified SOPs will be performing activities they have little or no prior experience doing and that just-in-time-training will not be sufficient. The use of medical controls and supervision in concert with the modified practice activities is a strategy used to address these concerns. Practitioners operating under a modified scope of practice also voice concerns about potential liability for their actions during a public health emergency. </w:t>
      </w:r>
      <w:r w:rsidR="00BB48F3">
        <w:rPr>
          <w:rFonts w:eastAsia="Times New Roman" w:cstheme="minorHAnsi"/>
          <w:szCs w:val="20"/>
        </w:rPr>
        <w:t>F</w:t>
      </w:r>
      <w:r w:rsidRPr="00724268">
        <w:rPr>
          <w:rFonts w:eastAsia="Times New Roman" w:cstheme="minorHAnsi"/>
          <w:szCs w:val="20"/>
        </w:rPr>
        <w:t xml:space="preserve">ederal and state legal protections </w:t>
      </w:r>
      <w:r w:rsidR="00FF6854">
        <w:rPr>
          <w:rFonts w:eastAsia="Times New Roman" w:cstheme="minorHAnsi"/>
          <w:szCs w:val="20"/>
        </w:rPr>
        <w:t xml:space="preserve">have been </w:t>
      </w:r>
      <w:r w:rsidR="00BB48F3">
        <w:rPr>
          <w:rFonts w:eastAsia="Times New Roman" w:cstheme="minorHAnsi"/>
          <w:szCs w:val="20"/>
        </w:rPr>
        <w:t>de</w:t>
      </w:r>
      <w:r w:rsidR="001C22E2">
        <w:rPr>
          <w:rFonts w:eastAsia="Times New Roman" w:cstheme="minorHAnsi"/>
          <w:szCs w:val="20"/>
        </w:rPr>
        <w:t xml:space="preserve">veloped in the last twenty years </w:t>
      </w:r>
      <w:r w:rsidR="00FF6854">
        <w:rPr>
          <w:rFonts w:eastAsia="Times New Roman" w:cstheme="minorHAnsi"/>
          <w:szCs w:val="20"/>
        </w:rPr>
        <w:t>to</w:t>
      </w:r>
      <w:r w:rsidR="00755530">
        <w:rPr>
          <w:rFonts w:eastAsia="Times New Roman" w:cstheme="minorHAnsi"/>
          <w:szCs w:val="20"/>
        </w:rPr>
        <w:t xml:space="preserve"> </w:t>
      </w:r>
      <w:r w:rsidRPr="00724268">
        <w:rPr>
          <w:rFonts w:eastAsia="Times New Roman" w:cstheme="minorHAnsi"/>
          <w:szCs w:val="20"/>
        </w:rPr>
        <w:t xml:space="preserve">address these </w:t>
      </w:r>
      <w:r w:rsidR="00755530">
        <w:rPr>
          <w:rFonts w:eastAsia="Times New Roman" w:cstheme="minorHAnsi"/>
          <w:szCs w:val="20"/>
        </w:rPr>
        <w:t xml:space="preserve">liability </w:t>
      </w:r>
      <w:r w:rsidRPr="00724268">
        <w:rPr>
          <w:rFonts w:eastAsia="Times New Roman" w:cstheme="minorHAnsi"/>
          <w:szCs w:val="20"/>
        </w:rPr>
        <w:t>concerns.</w:t>
      </w:r>
    </w:p>
    <w:p w14:paraId="61633F23" w14:textId="77777777" w:rsidR="00CC27FD" w:rsidRPr="00724268" w:rsidRDefault="00CC27FD" w:rsidP="00FA3E7F">
      <w:pPr>
        <w:spacing w:line="360" w:lineRule="auto"/>
        <w:contextualSpacing/>
        <w:rPr>
          <w:rFonts w:cstheme="minorHAnsi"/>
          <w:sz w:val="24"/>
        </w:rPr>
      </w:pPr>
    </w:p>
    <w:p w14:paraId="0C22605D" w14:textId="77777777" w:rsidR="00B75B7F" w:rsidRDefault="00B75B7F" w:rsidP="00FA3E7F">
      <w:pPr>
        <w:spacing w:line="360" w:lineRule="auto"/>
        <w:contextualSpacing/>
      </w:pPr>
    </w:p>
    <w:sectPr w:rsidR="00B75B7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0EE9F" w14:textId="77777777" w:rsidR="007227E7" w:rsidRDefault="007227E7" w:rsidP="003F232B">
      <w:r>
        <w:separator/>
      </w:r>
    </w:p>
  </w:endnote>
  <w:endnote w:type="continuationSeparator" w:id="0">
    <w:p w14:paraId="3D439025" w14:textId="77777777" w:rsidR="007227E7" w:rsidRDefault="007227E7" w:rsidP="003F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9298218"/>
      <w:docPartObj>
        <w:docPartGallery w:val="Page Numbers (Bottom of Page)"/>
        <w:docPartUnique/>
      </w:docPartObj>
    </w:sdtPr>
    <w:sdtEndPr>
      <w:rPr>
        <w:noProof/>
      </w:rPr>
    </w:sdtEndPr>
    <w:sdtContent>
      <w:p w14:paraId="326FF59E" w14:textId="6D48F086" w:rsidR="00143CC2" w:rsidRDefault="00143CC2" w:rsidP="00143C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59EB1" w14:textId="77777777" w:rsidR="007227E7" w:rsidRDefault="007227E7" w:rsidP="003F232B">
      <w:r>
        <w:separator/>
      </w:r>
    </w:p>
  </w:footnote>
  <w:footnote w:type="continuationSeparator" w:id="0">
    <w:p w14:paraId="366A7D20" w14:textId="77777777" w:rsidR="007227E7" w:rsidRDefault="007227E7" w:rsidP="003F232B">
      <w:r>
        <w:continuationSeparator/>
      </w:r>
    </w:p>
  </w:footnote>
  <w:footnote w:id="1">
    <w:p w14:paraId="254B6813" w14:textId="77777777" w:rsidR="003F232B" w:rsidRPr="00E153B6" w:rsidRDefault="003F232B" w:rsidP="003F232B">
      <w:pPr>
        <w:pStyle w:val="FootnoteText"/>
        <w:tabs>
          <w:tab w:val="left" w:pos="686"/>
        </w:tabs>
        <w:rPr>
          <w:b/>
          <w:bCs/>
        </w:rPr>
      </w:pPr>
      <w:r>
        <w:rPr>
          <w:b/>
          <w:bCs/>
          <w:highlight w:val="yellow"/>
        </w:rPr>
        <w:t>Footnotes will be streamlined and edited to style guide once text is finalized</w:t>
      </w:r>
    </w:p>
    <w:p w14:paraId="58E456ED" w14:textId="77777777" w:rsidR="003F232B" w:rsidRDefault="003F232B" w:rsidP="003F232B">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1" w:history="1">
        <w:r w:rsidRPr="003A1523">
          <w:rPr>
            <w:rStyle w:val="Hyperlink"/>
          </w:rPr>
          <w:t>https://www.ncsl.org/research/labor-and-employment/occupational-licensing-statute-database.aspx</w:t>
        </w:r>
      </w:hyperlink>
      <w:r>
        <w:t>. NCSL note: “</w:t>
      </w:r>
      <w:r w:rsidRPr="00992C2A">
        <w:t>Over the last 60 years, the number of jobs requiring an occupational license, or government approval to practice a profession, has grown from about 1-in-20 to almost 1-in-4.</w:t>
      </w:r>
      <w:r>
        <w:t>”</w:t>
      </w:r>
    </w:p>
  </w:footnote>
  <w:footnote w:id="2">
    <w:p w14:paraId="40F320A5" w14:textId="77777777" w:rsidR="00C15514" w:rsidRDefault="00C15514" w:rsidP="00C15514">
      <w:pPr>
        <w:pStyle w:val="FootnoteText"/>
      </w:pPr>
      <w:r>
        <w:rPr>
          <w:rStyle w:val="FootnoteReference"/>
        </w:rPr>
        <w:footnoteRef/>
      </w:r>
      <w:r>
        <w:t xml:space="preserve"> National Conference of State Legislatures. </w:t>
      </w:r>
      <w:r w:rsidRPr="00620398">
        <w:t>The National Occupational Licensing Database</w:t>
      </w:r>
      <w:r>
        <w:t xml:space="preserve">. Website reviewed as of February 7, 2020. Retrieved from </w:t>
      </w:r>
      <w:hyperlink r:id="rId2" w:history="1">
        <w:r w:rsidRPr="003A1523">
          <w:rPr>
            <w:rStyle w:val="Hyperlink"/>
          </w:rPr>
          <w:t>https://www.ncsl.org/research/labor-and-employment/occupational-licensing-statute-database.aspx</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051E8"/>
    <w:multiLevelType w:val="hybridMultilevel"/>
    <w:tmpl w:val="CB68E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9B4"/>
    <w:rsid w:val="00007DA4"/>
    <w:rsid w:val="000449CE"/>
    <w:rsid w:val="000D78E1"/>
    <w:rsid w:val="00112396"/>
    <w:rsid w:val="00143CC2"/>
    <w:rsid w:val="00151278"/>
    <w:rsid w:val="001C22E2"/>
    <w:rsid w:val="00200A9D"/>
    <w:rsid w:val="00300DE5"/>
    <w:rsid w:val="003F232B"/>
    <w:rsid w:val="00474E65"/>
    <w:rsid w:val="00476446"/>
    <w:rsid w:val="004F638E"/>
    <w:rsid w:val="00543CAC"/>
    <w:rsid w:val="00573493"/>
    <w:rsid w:val="005777F6"/>
    <w:rsid w:val="00605D35"/>
    <w:rsid w:val="006459B4"/>
    <w:rsid w:val="007227E7"/>
    <w:rsid w:val="00755530"/>
    <w:rsid w:val="007D11F4"/>
    <w:rsid w:val="008264BC"/>
    <w:rsid w:val="0097041E"/>
    <w:rsid w:val="00A13CE8"/>
    <w:rsid w:val="00A27BA9"/>
    <w:rsid w:val="00A9516F"/>
    <w:rsid w:val="00B75B7F"/>
    <w:rsid w:val="00B86D63"/>
    <w:rsid w:val="00B90545"/>
    <w:rsid w:val="00BB48F3"/>
    <w:rsid w:val="00C007B4"/>
    <w:rsid w:val="00C15514"/>
    <w:rsid w:val="00CC27FD"/>
    <w:rsid w:val="00D766FB"/>
    <w:rsid w:val="00D849A0"/>
    <w:rsid w:val="00E92776"/>
    <w:rsid w:val="00F6095D"/>
    <w:rsid w:val="00FA3E7F"/>
    <w:rsid w:val="00FF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AE18"/>
  <w15:chartTrackingRefBased/>
  <w15:docId w15:val="{30A7B497-6600-4B04-B21F-293C61FE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9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6459B4"/>
    <w:pPr>
      <w:ind w:left="720"/>
      <w:contextualSpacing/>
    </w:pPr>
  </w:style>
  <w:style w:type="character" w:styleId="Hyperlink">
    <w:name w:val="Hyperlink"/>
    <w:basedOn w:val="DefaultParagraphFont"/>
    <w:uiPriority w:val="99"/>
    <w:unhideWhenUsed/>
    <w:rsid w:val="003F232B"/>
    <w:rPr>
      <w:color w:val="0000FF"/>
      <w:u w:val="single"/>
    </w:rPr>
  </w:style>
  <w:style w:type="paragraph" w:styleId="FootnoteText">
    <w:name w:val="footnote text"/>
    <w:basedOn w:val="Normal"/>
    <w:link w:val="FootnoteTextChar"/>
    <w:uiPriority w:val="99"/>
    <w:semiHidden/>
    <w:unhideWhenUsed/>
    <w:rsid w:val="003F232B"/>
    <w:rPr>
      <w:sz w:val="20"/>
      <w:szCs w:val="20"/>
    </w:rPr>
  </w:style>
  <w:style w:type="character" w:customStyle="1" w:styleId="FootnoteTextChar">
    <w:name w:val="Footnote Text Char"/>
    <w:basedOn w:val="DefaultParagraphFont"/>
    <w:link w:val="FootnoteText"/>
    <w:uiPriority w:val="99"/>
    <w:semiHidden/>
    <w:rsid w:val="003F232B"/>
    <w:rPr>
      <w:sz w:val="20"/>
      <w:szCs w:val="20"/>
    </w:rPr>
  </w:style>
  <w:style w:type="character" w:styleId="FootnoteReference">
    <w:name w:val="footnote reference"/>
    <w:basedOn w:val="DefaultParagraphFont"/>
    <w:uiPriority w:val="99"/>
    <w:semiHidden/>
    <w:unhideWhenUsed/>
    <w:rsid w:val="003F232B"/>
    <w:rPr>
      <w:vertAlign w:val="superscript"/>
    </w:rPr>
  </w:style>
  <w:style w:type="paragraph" w:styleId="Header">
    <w:name w:val="header"/>
    <w:basedOn w:val="Normal"/>
    <w:link w:val="HeaderChar"/>
    <w:uiPriority w:val="99"/>
    <w:unhideWhenUsed/>
    <w:rsid w:val="00143CC2"/>
    <w:pPr>
      <w:tabs>
        <w:tab w:val="center" w:pos="4680"/>
        <w:tab w:val="right" w:pos="9360"/>
      </w:tabs>
    </w:pPr>
  </w:style>
  <w:style w:type="character" w:customStyle="1" w:styleId="HeaderChar">
    <w:name w:val="Header Char"/>
    <w:basedOn w:val="DefaultParagraphFont"/>
    <w:link w:val="Header"/>
    <w:uiPriority w:val="99"/>
    <w:rsid w:val="00143CC2"/>
  </w:style>
  <w:style w:type="paragraph" w:styleId="Footer">
    <w:name w:val="footer"/>
    <w:basedOn w:val="Normal"/>
    <w:link w:val="FooterChar"/>
    <w:uiPriority w:val="99"/>
    <w:unhideWhenUsed/>
    <w:rsid w:val="00143CC2"/>
    <w:pPr>
      <w:tabs>
        <w:tab w:val="center" w:pos="4680"/>
        <w:tab w:val="right" w:pos="9360"/>
      </w:tabs>
    </w:pPr>
  </w:style>
  <w:style w:type="character" w:customStyle="1" w:styleId="FooterChar">
    <w:name w:val="Footer Char"/>
    <w:basedOn w:val="DefaultParagraphFont"/>
    <w:link w:val="Footer"/>
    <w:uiPriority w:val="99"/>
    <w:rsid w:val="00143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ncsl.org/research/labor-and-employment/occupational-licensing-statute-database.aspx" TargetMode="External"/><Relationship Id="rId1" Type="http://schemas.openxmlformats.org/officeDocument/2006/relationships/hyperlink" Target="https://www.ncsl.org/research/labor-and-employment/occupational-licensing-statute-databas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856</Words>
  <Characters>4881</Characters>
  <Application>Microsoft Office Word</Application>
  <DocSecurity>0</DocSecurity>
  <Lines>40</Lines>
  <Paragraphs>11</Paragraphs>
  <ScaleCrop>false</ScaleCrop>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33</cp:revision>
  <dcterms:created xsi:type="dcterms:W3CDTF">2020-03-17T03:30:00Z</dcterms:created>
  <dcterms:modified xsi:type="dcterms:W3CDTF">2020-03-17T03:49:00Z</dcterms:modified>
</cp:coreProperties>
</file>